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Date of Report (Date of earliest event reported) July 17,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197485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5.02</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Effective as of July 17, 2007, the Board of Trustees (the “Board”) of Federal Realty Investment Trust (the “Trust”): (a) increased the number of Trustees from six to seven and categorized the new Trustee position as part of the class of Trustees designated as “Class III” Trustees, which is the class of Trustees that will next stand for election at the Annual Meeting of Shareholders to be held in May 2008; and (b) elected Mr. Warren M. Thompson to serve as a Class III Trustee to fill the vacancy created by the increase in the size of the Board. In addition, the Nominating and Corporate Governance Committee recommended, and the Board of Trustees approved, the appointment of Mr. Thompson as a member of both the Audit Committee and the Nominating and Corporate Governance Committee, also effective as of July 17, 2007.</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his service on the Board, Mr. Thompson will receive the same compensation as that paid to all other non-executive Trustees (other than the Chairman of the Board). Specifically, Mr. Thompson will be paid an annual retainer of $80,000, pro rated for the portion of the calendar year during which he serves as a Trustee, with a minimum of 20% of that annual fee required to be paid in the form of common shares of beneficial interest of the Trust, subject to Mr. Thompson’s right to elect to take up to 100% of that annual fee in common shares. Mr. Thompson will not receive any additional compensation for his attendance at any Board meetings.</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Payment of the portion of the annual fee that Mr. Thompson elects to receive in common shares (the “Equity Fee”) will be contingent on the Trust’s achieving pre-established performance levels for three separate performance measures, with those performance levels calculated for the prior three-year period. 50% of the Equity Fee will be contingent on the Trust’s relative total return to shareholders (taking into account both stock price appreciation and dividends, assuming all dividends are reinvested) as compared with the Bloomberg REIT Shopping Center Index, 25% of the Equity Fee will be contingent on the Trust’s absolute total return to shareholders (taking into account both stock price appreciation and dividends, assuming all dividends are reinvested), and the remaining 25% of the Equity Fee will be contingent on the Trust’s return on invested capital.</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each of these three performance measures, threshold, target, and stretch levels of performance were established at the beginning of 2007. If the Trust performs below the threshold level on any one or more of the performance measures, the portion(s) of the Equity Fee contingent on that measure(s) will not be paid. For any performance measure as to which the Trust performs between the threshold and target levels, between 50% and 100% of the portion of the Equity Fee contingent on that measure will be paid, with between 100% and 150% of the Equity Fee to be paid for any performance measure as to which the Trust performs between the target and stretch levels. For any performance measure as to which the Trust performs beyond the stretch level, 150% of the portion of the Equity Fee contingent on that measure will be paid. For each performance measure, target levels of performance are intended to reflect the performance required by the Trust to meet its business objectives for 2007, with stretch levels representing a substantial achievement that puts the Trust at or near the top of its peer group and threshold levels representing minimally acceptable levels of performance.</w:t>
      </w:r>
    </w:p>
    <w:p>
      <w:pPr>
        <w:sectPr>
          <w:pgSz w:w="11900" w:h="16838" w:orient="portrait"/>
          <w:cols w:equalWidth="0" w:num="1">
            <w:col w:w="11400"/>
          </w:cols>
          <w:pgMar w:left="240" w:top="274" w:right="25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July 17, 2007, the Trust issued a press release announcing the election of Mr. Warren M. Thompson to the Board of Trustees of the Trust. In accordance with General Instruction B.2 of Form 8-K, the press release, which is included as Exhibit 99.1 to this Form 8-K, shall not be deemed “filed” for purposes of Section 18 of the Securities Exchange Act of 1934, as amended (the “Exchange Act”), nor shall such exhibit be deemed incorporated by reference in any filing under the Securities Act of 1933, as amended, except to the extent, if any, expressly set forth by specific reference in such a filing. This report on Form 8-K (including Exhibit 99.1 hereto) shall not be deemed an admission as to the materiality of any information in this report that is required to be disclosed solely to satisfy the requirements of Regulation FD.</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1140" w:right="8820" w:hanging="457"/>
        <w:spacing w:after="0" w:line="413" w:lineRule="auto"/>
        <w:tabs>
          <w:tab w:leader="none" w:pos="1120" w:val="left"/>
        </w:tabs>
        <w:numPr>
          <w:ilvl w:val="0"/>
          <w:numId w:val="2"/>
        </w:numPr>
        <w:rPr>
          <w:rFonts w:ascii="Arial" w:cs="Arial" w:eastAsia="Arial" w:hAnsi="Arial"/>
          <w:sz w:val="15"/>
          <w:szCs w:val="15"/>
          <w:color w:val="auto"/>
        </w:rPr>
      </w:pPr>
      <w:r>
        <w:rPr>
          <w:rFonts w:ascii="Arial" w:cs="Arial" w:eastAsia="Arial" w:hAnsi="Arial"/>
          <w:sz w:val="15"/>
          <w:szCs w:val="15"/>
          <w:color w:val="auto"/>
        </w:rPr>
        <w:t>Financial Statements Not applicable.</w:t>
      </w:r>
    </w:p>
    <w:p>
      <w:pPr>
        <w:ind w:left="1140" w:right="7960" w:hanging="457"/>
        <w:spacing w:after="0" w:line="344" w:lineRule="auto"/>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 Not applicable.</w:t>
      </w:r>
    </w:p>
    <w:p>
      <w:pPr>
        <w:ind w:left="1140" w:right="8260" w:hanging="457"/>
        <w:spacing w:after="0" w:line="387" w:lineRule="auto"/>
        <w:tabs>
          <w:tab w:leader="none" w:pos="1120" w:val="left"/>
        </w:tabs>
        <w:numPr>
          <w:ilvl w:val="0"/>
          <w:numId w:val="2"/>
        </w:numPr>
        <w:rPr>
          <w:rFonts w:ascii="Arial" w:cs="Arial" w:eastAsia="Arial" w:hAnsi="Arial"/>
          <w:sz w:val="16"/>
          <w:szCs w:val="16"/>
          <w:color w:val="auto"/>
        </w:rPr>
      </w:pPr>
      <w:r>
        <w:rPr>
          <w:rFonts w:ascii="Arial" w:cs="Arial" w:eastAsia="Arial" w:hAnsi="Arial"/>
          <w:sz w:val="16"/>
          <w:szCs w:val="16"/>
          <w:color w:val="auto"/>
        </w:rPr>
        <w:t>Shell Company Transactions Not applicable.</w:t>
      </w:r>
    </w:p>
    <w:p>
      <w:pPr>
        <w:ind w:left="1120" w:hanging="437"/>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in the Form 8-K: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15"/>
                <w:szCs w:val="15"/>
                <w:color w:val="auto"/>
              </w:rPr>
            </w:pPr>
          </w:p>
        </w:tc>
        <w:tc>
          <w:tcPr>
            <w:tcW w:w="10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Press release dated July 17, 2007 of Federal Realty Investment Trust</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17, 2007</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74"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118110</wp:posOffset>
            </wp:positionV>
            <wp:extent cx="5788660" cy="1217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88660"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80"/>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Media Inquiries</w:t>
            </w:r>
          </w:p>
        </w:tc>
        <w:tc>
          <w:tcPr>
            <w:tcW w:w="4820" w:type="dxa"/>
            <w:vAlign w:val="bottom"/>
            <w:gridSpan w:val="2"/>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5960" w:type="dxa"/>
            <w:vAlign w:val="bottom"/>
            <w:gridSpan w:val="3"/>
          </w:tcPr>
          <w:p>
            <w:pPr>
              <w:spacing w:after="0"/>
              <w:rPr>
                <w:sz w:val="20"/>
                <w:szCs w:val="20"/>
                <w:color w:val="auto"/>
              </w:rPr>
            </w:pPr>
            <w:r>
              <w:rPr>
                <w:rFonts w:ascii="Arial" w:cs="Arial" w:eastAsia="Arial" w:hAnsi="Arial"/>
                <w:sz w:val="18"/>
                <w:szCs w:val="18"/>
                <w:color w:val="auto"/>
              </w:rPr>
              <w:t>Andrew Blocher</w:t>
            </w:r>
          </w:p>
        </w:tc>
        <w:tc>
          <w:tcPr>
            <w:tcW w:w="3000" w:type="dxa"/>
            <w:vAlign w:val="bottom"/>
            <w:gridSpan w:val="2"/>
          </w:tcPr>
          <w:p>
            <w:pPr>
              <w:spacing w:after="0"/>
              <w:rPr>
                <w:sz w:val="20"/>
                <w:szCs w:val="20"/>
                <w:color w:val="auto"/>
              </w:rPr>
            </w:pPr>
            <w:r>
              <w:rPr>
                <w:rFonts w:ascii="Arial" w:cs="Arial" w:eastAsia="Arial" w:hAnsi="Arial"/>
                <w:sz w:val="18"/>
                <w:szCs w:val="18"/>
                <w:color w:val="auto"/>
              </w:rPr>
              <w:t>Vikki Kayne</w:t>
            </w: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Senior Vice President,</w:t>
            </w:r>
          </w:p>
        </w:tc>
        <w:tc>
          <w:tcPr>
            <w:tcW w:w="30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Capital Markets and Investor Relations</w:t>
            </w:r>
          </w:p>
        </w:tc>
        <w:tc>
          <w:tcPr>
            <w:tcW w:w="3000" w:type="dxa"/>
            <w:vAlign w:val="bottom"/>
            <w:gridSpan w:val="2"/>
          </w:tcPr>
          <w:p>
            <w:pPr>
              <w:spacing w:after="0"/>
              <w:rPr>
                <w:sz w:val="20"/>
                <w:szCs w:val="20"/>
                <w:color w:val="auto"/>
              </w:rPr>
            </w:pPr>
            <w:r>
              <w:rPr>
                <w:rFonts w:ascii="Arial" w:cs="Arial" w:eastAsia="Arial" w:hAnsi="Arial"/>
                <w:sz w:val="18"/>
                <w:szCs w:val="18"/>
                <w:color w:val="auto"/>
                <w:w w:val="88"/>
              </w:rPr>
              <w:t>Marketing and Corporate Communications</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301/998-8166</w:t>
            </w:r>
          </w:p>
        </w:tc>
        <w:tc>
          <w:tcPr>
            <w:tcW w:w="8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301/998-8178</w:t>
            </w:r>
          </w:p>
        </w:tc>
        <w:tc>
          <w:tcPr>
            <w:tcW w:w="1140" w:type="dxa"/>
            <w:vAlign w:val="bottom"/>
          </w:tcPr>
          <w:p>
            <w:pPr>
              <w:spacing w:after="0"/>
              <w:rPr>
                <w:sz w:val="18"/>
                <w:szCs w:val="18"/>
                <w:color w:val="auto"/>
              </w:rPr>
            </w:pPr>
          </w:p>
        </w:tc>
      </w:tr>
      <w:tr>
        <w:trPr>
          <w:trHeight w:val="184"/>
        </w:trPr>
        <w:tc>
          <w:tcPr>
            <w:tcW w:w="5960" w:type="dxa"/>
            <w:vAlign w:val="bottom"/>
            <w:gridSpan w:val="3"/>
          </w:tcPr>
          <w:p>
            <w:pPr>
              <w:spacing w:after="0" w:line="184" w:lineRule="exact"/>
              <w:rPr>
                <w:sz w:val="20"/>
                <w:szCs w:val="20"/>
                <w:color w:val="auto"/>
              </w:rPr>
            </w:pPr>
            <w:r>
              <w:rPr>
                <w:rFonts w:ascii="Arial" w:cs="Arial" w:eastAsia="Arial" w:hAnsi="Arial"/>
                <w:sz w:val="18"/>
                <w:szCs w:val="18"/>
                <w:i w:val="1"/>
                <w:iCs w:val="1"/>
                <w:color w:val="auto"/>
              </w:rPr>
              <w:t>ablocher@federalrealty.com</w:t>
            </w:r>
          </w:p>
        </w:tc>
        <w:tc>
          <w:tcPr>
            <w:tcW w:w="3000" w:type="dxa"/>
            <w:vAlign w:val="bottom"/>
            <w:gridSpan w:val="2"/>
          </w:tcPr>
          <w:p>
            <w:pPr>
              <w:spacing w:after="0" w:line="184" w:lineRule="exact"/>
              <w:rPr>
                <w:sz w:val="20"/>
                <w:szCs w:val="20"/>
                <w:color w:val="auto"/>
              </w:rPr>
            </w:pPr>
            <w:r>
              <w:rPr>
                <w:rFonts w:ascii="Arial" w:cs="Arial" w:eastAsia="Arial" w:hAnsi="Arial"/>
                <w:sz w:val="18"/>
                <w:szCs w:val="18"/>
                <w:i w:val="1"/>
                <w:iCs w:val="1"/>
                <w:color w:val="auto"/>
              </w:rPr>
              <w:t>vkayne@federalrealty.com</w:t>
            </w:r>
          </w:p>
        </w:tc>
      </w:tr>
      <w:tr>
        <w:trPr>
          <w:trHeight w:val="20"/>
        </w:trPr>
        <w:tc>
          <w:tcPr>
            <w:tcW w:w="1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APPOINTS WARREN M. THOMPSON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BOARD OF TRUSTEES</w:t>
      </w:r>
    </w:p>
    <w:p>
      <w:pPr>
        <w:spacing w:after="0" w:line="16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ROCKVILLE, Md. (July 17, 2007) – Federal Realty Investment Trust (NYSE: FRT) today announced that Warren M. Thompson, president and chairman of Thompson Hospitality Corporation, was nominated and appointed to serve on Federal Realty’s board of trustees. Mr. Thompson’s term will run until the Trust’s annual meeting of shareholders in May 2008, and he will serve on the Trust’s audit committee and nominating and corporate governance committee.</w:t>
      </w:r>
    </w:p>
    <w:p>
      <w:pPr>
        <w:spacing w:after="0" w:line="10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“Thompson Hospitality’s leadership position in the food service industry is a direct result of Warren’s determination, hard work and entrepreneurial spirit,” said Joseph S. Vassalluzzo, chairman of Federal Realty’s board of trustees. “Those same qualities will positively complement the diverse strengths and experience of the existing members of our board of trustees and senior management team as we execute the Trust’s business strategy.”</w:t>
      </w:r>
    </w:p>
    <w:p>
      <w:pPr>
        <w:spacing w:after="0" w:line="107"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Mr. Thompson founded Thompson Hospitality Corporation in 1992 through a leveraged buyout and purchase of thirty one Bob’s Big Boy restaurants. Today, Thompson Hospitality has more than 2,800 employees, is one of the largest minority-owned businesses in the United States, and is the largest minority-owned food service company in the world. Mr. Thompson also serves on the Board of Directors of several corporations and universities, including: University of Virginia’s Board of Visitors, Compass Group North America, the Pepsi-Cola African American Advisory Board, and HILB ROGAL &amp; HOBBS.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9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19.4 million square feet located primarily in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APPOINTS WARREN M. THOMPSON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BOARD OF TRUSTEES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17,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strategic metropolitan markets in the Northeast, Mid-Atlantic, and California. In addition, the Trust has an ownership interest in approximately 0.9 million square feet of retail space through its joint venture with Clarion Lion Properties Fund in which the Trust has a 30% interest. Our operating portfolio (excluding joint venture properties) was 96.6% leased to national, regional, and local retailers as of March 31, 2007, with no single tenant accounting for more than approximately 2.9% of annualized base rent. Federal Realty has paid quarterly dividends to its shareholders continuously since its founding in 1962, and has increased its dividend rate for 39 consecutive years, the longest record in the REIT industry. Shares of Federal Realty are traded on the NYSE under the symbol FRT.</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2019-12-11T17:13:38Z</dcterms:created>
  <dcterms:modified xsi:type="dcterms:W3CDTF">2019-12-11T17:13:38Z</dcterms:modified>
</cp:coreProperties>
</file>