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Times New Roman" w:cs="Times New Roman" w:eastAsia="Times New Roman" w:hAnsi="Times New Roman"/>
                <w:sz w:val="22"/>
                <w:szCs w:val="22"/>
                <w:color w:val="auto"/>
                <w:w w:val="96"/>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7"/>
        </w:trPr>
        <w:tc>
          <w:tcPr>
            <w:tcW w:w="5440" w:type="dxa"/>
            <w:vAlign w:val="bottom"/>
            <w:gridSpan w:val="2"/>
          </w:tcPr>
          <w:p>
            <w:pPr>
              <w:jc w:val="center"/>
              <w:ind w:right="1020"/>
              <w:spacing w:after="0"/>
              <w:rPr>
                <w:sz w:val="20"/>
                <w:szCs w:val="20"/>
                <w:color w:val="auto"/>
              </w:rPr>
            </w:pPr>
            <w:r>
              <w:rPr>
                <w:rFonts w:ascii="Times New Roman" w:cs="Times New Roman" w:eastAsia="Times New Roman" w:hAnsi="Times New Roman"/>
                <w:sz w:val="22"/>
                <w:szCs w:val="22"/>
                <w:color w:val="auto"/>
                <w:w w:val="98"/>
              </w:rPr>
              <w:t>SECURITIES AND EXCHANGE COMMISSION</w:t>
            </w:r>
          </w:p>
        </w:tc>
        <w:tc>
          <w:tcPr>
            <w:tcW w:w="18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OMB Number:</w:t>
            </w:r>
          </w:p>
        </w:tc>
        <w:tc>
          <w:tcPr>
            <w:tcW w:w="18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440" w:type="dxa"/>
            <w:vAlign w:val="bottom"/>
            <w:gridSpan w:val="2"/>
            <w:vMerge w:val="restart"/>
          </w:tcPr>
          <w:p>
            <w:pPr>
              <w:jc w:val="center"/>
              <w:ind w:right="1020"/>
              <w:spacing w:after="0"/>
              <w:rPr>
                <w:sz w:val="20"/>
                <w:szCs w:val="20"/>
                <w:color w:val="auto"/>
              </w:rPr>
            </w:pPr>
            <w:r>
              <w:rPr>
                <w:rFonts w:ascii="Times New Roman" w:cs="Times New Roman" w:eastAsia="Times New Roman" w:hAnsi="Times New Roman"/>
                <w:sz w:val="22"/>
                <w:szCs w:val="22"/>
                <w:color w:val="auto"/>
                <w:w w:val="97"/>
              </w:rPr>
              <w:t>Washington, D.C. 20549</w:t>
            </w:r>
          </w:p>
        </w:tc>
        <w:tc>
          <w:tcPr>
            <w:tcW w:w="18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Expires:</w:t>
            </w:r>
          </w:p>
        </w:tc>
        <w:tc>
          <w:tcPr>
            <w:tcW w:w="1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March 31, 2018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5440" w:type="dxa"/>
            <w:vAlign w:val="bottom"/>
            <w:gridSpan w:val="2"/>
          </w:tcPr>
          <w:p>
            <w:pPr>
              <w:jc w:val="center"/>
              <w:ind w:right="1020"/>
              <w:spacing w:after="0"/>
              <w:rPr>
                <w:sz w:val="20"/>
                <w:szCs w:val="20"/>
                <w:color w:val="auto"/>
              </w:rPr>
            </w:pPr>
            <w:r>
              <w:rPr>
                <w:rFonts w:ascii="Times New Roman" w:cs="Times New Roman" w:eastAsia="Times New Roman" w:hAnsi="Times New Roman"/>
                <w:sz w:val="22"/>
                <w:szCs w:val="22"/>
                <w:color w:val="auto"/>
              </w:rPr>
              <w:t>FORM 25</w:t>
            </w:r>
          </w:p>
        </w:tc>
        <w:tc>
          <w:tcPr>
            <w:tcW w:w="184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22"/>
                <w:szCs w:val="22"/>
                <w:color w:val="auto"/>
              </w:rPr>
              <w:t>hours per response:</w:t>
            </w:r>
          </w:p>
        </w:tc>
        <w:tc>
          <w:tcPr>
            <w:tcW w:w="180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Times New Roman" w:cs="Times New Roman" w:eastAsia="Times New Roman" w:hAnsi="Times New Roman"/>
          <w:sz w:val="22"/>
          <w:szCs w:val="22"/>
          <w:color w:val="auto"/>
        </w:rPr>
        <w:t>NOTIFICATION OF REMOVAL FROM LISTING AND/OR REGISTRATION</w:t>
      </w:r>
    </w:p>
    <w:p>
      <w:pPr>
        <w:spacing w:after="0" w:line="14"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22"/>
          <w:szCs w:val="22"/>
          <w:color w:val="auto"/>
        </w:rPr>
        <w:t>UNDER SECTION 12(b) OF THE SECURITIES EXCHANGE ACT OF 1934.</w:t>
      </w:r>
    </w:p>
    <w:p>
      <w:pPr>
        <w:spacing w:after="0" w:line="20" w:lineRule="exact"/>
        <w:rPr>
          <w:sz w:val="24"/>
          <w:szCs w:val="24"/>
          <w:color w:val="auto"/>
        </w:rPr>
      </w:pPr>
    </w:p>
    <w:p>
      <w:pPr>
        <w:ind w:left="3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Commission File Number </w:t>
      </w:r>
      <w:hyperlink r:id="rId9">
        <w:r>
          <w:rPr>
            <w:rFonts w:ascii="Times New Roman" w:cs="Times New Roman" w:eastAsia="Times New Roman" w:hAnsi="Times New Roman"/>
            <w:sz w:val="22"/>
            <w:szCs w:val="22"/>
            <w:u w:val="single" w:color="auto"/>
            <w:color w:val="0000EE"/>
          </w:rPr>
          <w:t>001-07533</w:t>
        </w:r>
      </w:hyperlink>
    </w:p>
    <w:p>
      <w:pPr>
        <w:spacing w:after="0" w:line="125" w:lineRule="exact"/>
        <w:rPr>
          <w:sz w:val="24"/>
          <w:szCs w:val="24"/>
          <w:color w:val="auto"/>
        </w:rPr>
      </w:pPr>
    </w:p>
    <w:p>
      <w:pPr>
        <w:ind w:left="2500"/>
        <w:spacing w:after="0"/>
        <w:tabs>
          <w:tab w:leader="none" w:pos="3440" w:val="left"/>
        </w:tabs>
        <w:rPr>
          <w:rFonts w:ascii="Times New Roman" w:cs="Times New Roman" w:eastAsia="Times New Roman" w:hAnsi="Times New Roman"/>
          <w:sz w:val="22"/>
          <w:szCs w:val="22"/>
          <w:u w:val="single" w:color="auto"/>
          <w:color w:val="0000EE"/>
        </w:rPr>
      </w:pPr>
      <w:r>
        <w:rPr>
          <w:rFonts w:ascii="Times New Roman" w:cs="Times New Roman" w:eastAsia="Times New Roman" w:hAnsi="Times New Roman"/>
          <w:sz w:val="22"/>
          <w:szCs w:val="22"/>
          <w:color w:val="auto"/>
        </w:rPr>
        <w:t>Issuer:</w:t>
      </w:r>
      <w:r>
        <w:rPr>
          <w:sz w:val="20"/>
          <w:szCs w:val="20"/>
          <w:color w:val="auto"/>
        </w:rPr>
        <w:tab/>
      </w:r>
      <w:hyperlink r:id="rId10">
        <w:r>
          <w:rPr>
            <w:rFonts w:ascii="Times New Roman" w:cs="Times New Roman" w:eastAsia="Times New Roman" w:hAnsi="Times New Roman"/>
            <w:sz w:val="22"/>
            <w:szCs w:val="22"/>
            <w:u w:val="single" w:color="auto"/>
            <w:color w:val="0000EE"/>
          </w:rPr>
          <w:t>FEDERAL REALTY INVESTMENT TRUST</w:t>
        </w:r>
      </w:hyperlink>
    </w:p>
    <w:p>
      <w:pPr>
        <w:spacing w:after="0" w:line="4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Exchange: NEW YORK STOCK EXCHANGE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45720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22"/>
          <w:szCs w:val="22"/>
          <w:color w:val="auto"/>
        </w:rPr>
        <w:t>(Exact name of Issuer as specified in its charter, and name of Exchange where security is listed</w:t>
      </w:r>
    </w:p>
    <w:p>
      <w:pPr>
        <w:spacing w:after="0" w:line="14" w:lineRule="exact"/>
        <w:rPr>
          <w:sz w:val="24"/>
          <w:szCs w:val="24"/>
          <w:color w:val="auto"/>
        </w:rPr>
      </w:pPr>
    </w:p>
    <w:p>
      <w:pPr>
        <w:jc w:val="right"/>
        <w:ind w:right="4260"/>
        <w:spacing w:after="0"/>
        <w:rPr>
          <w:sz w:val="20"/>
          <w:szCs w:val="20"/>
          <w:color w:val="auto"/>
        </w:rPr>
      </w:pPr>
      <w:r>
        <w:rPr>
          <w:rFonts w:ascii="Times New Roman" w:cs="Times New Roman" w:eastAsia="Times New Roman" w:hAnsi="Times New Roman"/>
          <w:sz w:val="22"/>
          <w:szCs w:val="22"/>
          <w:color w:val="auto"/>
        </w:rPr>
        <w:t>and/or registered)</w:t>
      </w:r>
    </w:p>
    <w:p>
      <w:pPr>
        <w:spacing w:after="0" w:line="61" w:lineRule="exact"/>
        <w:rPr>
          <w:sz w:val="24"/>
          <w:szCs w:val="24"/>
          <w:color w:val="auto"/>
        </w:rPr>
      </w:pPr>
    </w:p>
    <w:p>
      <w:pPr>
        <w:jc w:val="right"/>
        <w:ind w:right="4240"/>
        <w:spacing w:after="0"/>
        <w:rPr>
          <w:sz w:val="20"/>
          <w:szCs w:val="20"/>
          <w:color w:val="auto"/>
        </w:rPr>
      </w:pPr>
      <w:r>
        <w:rPr>
          <w:rFonts w:ascii="Times New Roman" w:cs="Times New Roman" w:eastAsia="Times New Roman" w:hAnsi="Times New Roman"/>
          <w:sz w:val="22"/>
          <w:szCs w:val="22"/>
          <w:color w:val="auto"/>
        </w:rPr>
        <w:t>Address: 1626 East Jefferson Street</w:t>
      </w:r>
    </w:p>
    <w:p>
      <w:pPr>
        <w:spacing w:after="0" w:line="4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Rockville MARYLAND 20852-4041</w:t>
      </w:r>
    </w:p>
    <w:p>
      <w:pPr>
        <w:spacing w:after="0" w:line="44" w:lineRule="exact"/>
        <w:rPr>
          <w:sz w:val="24"/>
          <w:szCs w:val="24"/>
          <w:color w:val="auto"/>
        </w:rPr>
      </w:pPr>
    </w:p>
    <w:tbl>
      <w:tblPr>
        <w:tblLayout w:type="fixed"/>
        <w:tblInd w:w="1800" w:type="dxa"/>
        <w:tblCellMar>
          <w:top w:w="0" w:type="dxa"/>
          <w:left w:w="0" w:type="dxa"/>
          <w:bottom w:w="0" w:type="dxa"/>
          <w:right w:w="0" w:type="dxa"/>
        </w:tblCellMar>
      </w:tblPr>
      <w:tr>
        <w:trPr>
          <w:trHeight w:val="283"/>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Telephone number:</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(301) 998-8100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26670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62" w:lineRule="exact"/>
        <w:rPr>
          <w:sz w:val="24"/>
          <w:szCs w:val="24"/>
          <w:color w:val="auto"/>
        </w:rPr>
      </w:pPr>
    </w:p>
    <w:p>
      <w:pPr>
        <w:jc w:val="center"/>
        <w:ind w:right="20"/>
        <w:spacing w:after="0" w:line="256" w:lineRule="auto"/>
        <w:rPr>
          <w:sz w:val="20"/>
          <w:szCs w:val="20"/>
          <w:color w:val="auto"/>
        </w:rPr>
      </w:pPr>
      <w:r>
        <w:rPr>
          <w:rFonts w:ascii="Times New Roman" w:cs="Times New Roman" w:eastAsia="Times New Roman" w:hAnsi="Times New Roman"/>
          <w:sz w:val="22"/>
          <w:szCs w:val="22"/>
          <w:color w:val="auto"/>
        </w:rPr>
        <w:t>(Address, including zip code, and telephone number, including area code, of Issuer's principal executive offices)</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8 1/2% Series B Cumulative Redeemable Preferred Shares of Beneficial Interest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19685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(Description of class of securities)</w:t>
      </w:r>
    </w:p>
    <w:p>
      <w:pPr>
        <w:spacing w:after="0" w:line="85"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Please place an X in the box to designate the rule provision relied upon to strike the class of securities from listing and registration:</w:t>
      </w:r>
    </w:p>
    <w:p>
      <w:pPr>
        <w:spacing w:after="0" w:line="172"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17 CFR 240.12d2-2(a)(4)</w:t>
      </w:r>
    </w:p>
    <w:p>
      <w:pPr>
        <w:spacing w:after="0" w:line="179" w:lineRule="exact"/>
        <w:rPr>
          <w:sz w:val="24"/>
          <w:szCs w:val="24"/>
          <w:color w:val="auto"/>
        </w:rPr>
      </w:pPr>
    </w:p>
    <w:p>
      <w:pPr>
        <w:ind w:left="760" w:right="1200" w:firstLine="61"/>
        <w:spacing w:after="0" w:line="262" w:lineRule="auto"/>
        <w:rPr>
          <w:rFonts w:ascii="Times New Roman" w:cs="Times New Roman" w:eastAsia="Times New Roman" w:hAnsi="Times New Roman"/>
          <w:sz w:val="22"/>
          <w:szCs w:val="22"/>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Pursuant to 17 CFR 240.12d2-2(b), the Exchange has complied with its rules to strike the class of securities from listing and/or withdraw registration on the Exchange. </w:t>
      </w:r>
      <w:hyperlink w:anchor="page1">
        <w:r>
          <w:rPr>
            <w:rFonts w:ascii="Times New Roman" w:cs="Times New Roman" w:eastAsia="Times New Roman" w:hAnsi="Times New Roman"/>
            <w:sz w:val="36"/>
            <w:szCs w:val="36"/>
            <w:u w:val="single" w:color="auto"/>
            <w:color w:val="0000EE"/>
            <w:vertAlign w:val="superscript"/>
          </w:rPr>
          <w:t>1</w:t>
        </w:r>
      </w:hyperlink>
    </w:p>
    <w:p>
      <w:pPr>
        <w:spacing w:after="0" w:line="1" w:lineRule="exact"/>
        <w:rPr>
          <w:sz w:val="24"/>
          <w:szCs w:val="24"/>
          <w:color w:val="auto"/>
        </w:rPr>
      </w:pPr>
    </w:p>
    <w:p>
      <w:pPr>
        <w:ind w:left="760" w:right="800" w:firstLine="61"/>
        <w:spacing w:after="0" w:line="244" w:lineRule="auto"/>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0" w:lineRule="exact"/>
        <w:rPr>
          <w:sz w:val="24"/>
          <w:szCs w:val="24"/>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Pursuant to the requirements fo the Securities Exchange Act of 1934, NEW YORK STOCK EXCHANGE INC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83"/>
        </w:trPr>
        <w:tc>
          <w:tcPr>
            <w:tcW w:w="2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color w:val="auto"/>
              </w:rPr>
              <w:t>2006-11-27</w:t>
            </w:r>
          </w:p>
        </w:tc>
        <w:tc>
          <w:tcPr>
            <w:tcW w:w="9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By</w:t>
            </w:r>
          </w:p>
        </w:tc>
        <w:tc>
          <w:tcPr>
            <w:tcW w:w="34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22"/>
                <w:szCs w:val="22"/>
                <w:color w:val="auto"/>
              </w:rPr>
              <w:t>Paras Madho</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Director</w:t>
            </w:r>
          </w:p>
        </w:tc>
      </w:tr>
      <w:tr>
        <w:trPr>
          <w:trHeight w:val="290"/>
        </w:trPr>
        <w:tc>
          <w:tcPr>
            <w:tcW w:w="20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Title</w:t>
            </w:r>
          </w:p>
        </w:tc>
      </w:tr>
    </w:tbl>
    <w:p>
      <w:pPr>
        <w:spacing w:after="0" w:line="96" w:lineRule="exact"/>
        <w:rPr>
          <w:sz w:val="24"/>
          <w:szCs w:val="24"/>
          <w:color w:val="auto"/>
        </w:rPr>
      </w:pPr>
    </w:p>
    <w:p>
      <w:pPr>
        <w:ind w:left="1240" w:right="900" w:hanging="588"/>
        <w:spacing w:after="0" w:line="258"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Form 25 and attached Notice will be considered compliance with the provisions of 17 CFR 240.19d-1 as applicable. </w:t>
      </w:r>
      <w:r>
        <w:rPr>
          <w:rFonts w:ascii="Times New Roman" w:cs="Times New Roman" w:eastAsia="Times New Roman" w:hAnsi="Times New Roman"/>
          <w:sz w:val="22"/>
          <w:szCs w:val="22"/>
          <w:u w:val="single" w:color="auto"/>
          <w:color w:val="0000EE"/>
        </w:rPr>
        <w:t>See</w:t>
      </w:r>
      <w:r>
        <w:rPr>
          <w:rFonts w:ascii="Times New Roman" w:cs="Times New Roman" w:eastAsia="Times New Roman" w:hAnsi="Times New Roman"/>
          <w:sz w:val="22"/>
          <w:szCs w:val="22"/>
          <w:color w:val="auto"/>
        </w:rPr>
        <w:t xml:space="preserve"> General Instructions.</w:t>
      </w:r>
    </w:p>
    <w:p>
      <w:pPr>
        <w:spacing w:after="0" w:line="37" w:lineRule="exact"/>
        <w:rPr>
          <w:sz w:val="24"/>
          <w:szCs w:val="24"/>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spacing w:after="0" w:line="235" w:lineRule="auto"/>
        <w:rPr>
          <w:sz w:val="20"/>
          <w:szCs w:val="20"/>
          <w:color w:val="auto"/>
        </w:rPr>
      </w:pPr>
      <w:r>
        <w:rPr>
          <w:rFonts w:ascii="Times New Roman" w:cs="Times New Roman" w:eastAsia="Times New Roman" w:hAnsi="Times New Roman"/>
          <w:sz w:val="22"/>
          <w:szCs w:val="22"/>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December 7, 2006, pursuant to the provisions of Rule 12d2-2 (a). [ X ] 17 CFR 240.12d2-2(a)(1) That the entire class of this security was called for redemption, maturity or retirement on November 27, 2006; appropriate notice thereof was given; funds sufficient for the payment of all such securities were deposited with an agency authorized to make such payment; and such funds were made available to security holders on November 27, 2006. The Exchange also notifies the Securities and Exchange Commission that as a result of the above indicated conditions this security was suspended from trading on November 27, 2006.</w:t>
      </w:r>
    </w:p>
    <w:sectPr>
      <w:pgSz w:w="11900" w:h="16838" w:orient="portrait"/>
      <w:cols w:equalWidth="0" w:num="1">
        <w:col w:w="11360"/>
      </w:cols>
      <w:pgMar w:left="240" w:top="11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07533" TargetMode="External"/><Relationship Id="rId10" Type="http://schemas.openxmlformats.org/officeDocument/2006/relationships/hyperlink" Target="http://www.sec.gov/cgi-bin/browse-edgar?action=getcompany&amp;CIK=349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2019-12-13T00:53:33Z</dcterms:created>
  <dcterms:modified xsi:type="dcterms:W3CDTF">2019-12-13T00:53:33Z</dcterms:modified>
</cp:coreProperties>
</file>