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580" w:right="2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THE SECTION 13 OR 15(D) OF THE SECURITIES EXCHANGE ACT OF 1934</w:t>
      </w:r>
    </w:p>
    <w:p>
      <w:pPr>
        <w:spacing w:after="0" w:line="122"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For the quarterly period ended March 31, 2008</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16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560"/>
        <w:spacing w:after="0"/>
        <w:tabs>
          <w:tab w:leader="none" w:pos="3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1819275</wp:posOffset>
            </wp:positionH>
            <wp:positionV relativeFrom="paragraph">
              <wp:posOffset>-10160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1-07533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(Exact Name of Registrant as Specified in its Declaration of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6420" w:type="dxa"/>
            <w:vAlign w:val="bottom"/>
          </w:tcPr>
          <w:p>
            <w:pPr>
              <w:jc w:val="center"/>
              <w:ind w:right="2782"/>
              <w:spacing w:after="0"/>
              <w:rPr>
                <w:sz w:val="20"/>
                <w:szCs w:val="20"/>
                <w:color w:val="auto"/>
              </w:rPr>
            </w:pPr>
            <w:r>
              <w:rPr>
                <w:rFonts w:ascii="Arial" w:cs="Arial" w:eastAsia="Arial" w:hAnsi="Arial"/>
                <w:sz w:val="18"/>
                <w:szCs w:val="18"/>
                <w:b w:val="1"/>
                <w:bCs w:val="1"/>
                <w:color w:val="auto"/>
                <w:w w:val="96"/>
              </w:rPr>
              <w:t>Maryland</w:t>
            </w:r>
          </w:p>
        </w:tc>
        <w:tc>
          <w:tcPr>
            <w:tcW w:w="2160" w:type="dxa"/>
            <w:vAlign w:val="bottom"/>
          </w:tcPr>
          <w:p>
            <w:pPr>
              <w:jc w:val="right"/>
              <w:ind w:right="482"/>
              <w:spacing w:after="0"/>
              <w:rPr>
                <w:sz w:val="20"/>
                <w:szCs w:val="20"/>
                <w:color w:val="auto"/>
              </w:rPr>
            </w:pPr>
            <w:r>
              <w:rPr>
                <w:rFonts w:ascii="Arial" w:cs="Arial" w:eastAsia="Arial" w:hAnsi="Arial"/>
                <w:sz w:val="18"/>
                <w:szCs w:val="18"/>
                <w:b w:val="1"/>
                <w:bCs w:val="1"/>
                <w:color w:val="auto"/>
              </w:rPr>
              <w:t>52-0782497</w:t>
            </w:r>
          </w:p>
        </w:tc>
      </w:tr>
      <w:tr>
        <w:trPr>
          <w:trHeight w:val="174"/>
        </w:trPr>
        <w:tc>
          <w:tcPr>
            <w:tcW w:w="6420" w:type="dxa"/>
            <w:vAlign w:val="bottom"/>
          </w:tcPr>
          <w:p>
            <w:pPr>
              <w:jc w:val="center"/>
              <w:ind w:right="2782"/>
              <w:spacing w:after="0"/>
              <w:rPr>
                <w:sz w:val="20"/>
                <w:szCs w:val="20"/>
                <w:color w:val="auto"/>
              </w:rPr>
            </w:pPr>
            <w:r>
              <w:rPr>
                <w:rFonts w:ascii="Arial" w:cs="Arial" w:eastAsia="Arial" w:hAnsi="Arial"/>
                <w:sz w:val="14"/>
                <w:szCs w:val="14"/>
                <w:b w:val="1"/>
                <w:bCs w:val="1"/>
                <w:color w:val="auto"/>
                <w:w w:val="87"/>
              </w:rPr>
              <w:t>(State of Organization)</w:t>
            </w:r>
          </w:p>
        </w:tc>
        <w:tc>
          <w:tcPr>
            <w:tcW w:w="2160" w:type="dxa"/>
            <w:vAlign w:val="bottom"/>
          </w:tcPr>
          <w:p>
            <w:pPr>
              <w:jc w:val="center"/>
              <w:ind w:left="12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93"/>
        </w:trPr>
        <w:tc>
          <w:tcPr>
            <w:tcW w:w="6420" w:type="dxa"/>
            <w:vAlign w:val="bottom"/>
          </w:tcPr>
          <w:p>
            <w:pPr>
              <w:jc w:val="center"/>
              <w:ind w:right="2762"/>
              <w:spacing w:after="0"/>
              <w:rPr>
                <w:sz w:val="20"/>
                <w:szCs w:val="20"/>
                <w:color w:val="auto"/>
              </w:rPr>
            </w:pPr>
            <w:r>
              <w:rPr>
                <w:rFonts w:ascii="Arial" w:cs="Arial" w:eastAsia="Arial" w:hAnsi="Arial"/>
                <w:sz w:val="18"/>
                <w:szCs w:val="18"/>
                <w:b w:val="1"/>
                <w:bCs w:val="1"/>
                <w:color w:val="auto"/>
                <w:w w:val="88"/>
              </w:rPr>
              <w:t>1626 East Jefferson Street, Rockville, Maryland</w:t>
            </w:r>
          </w:p>
        </w:tc>
        <w:tc>
          <w:tcPr>
            <w:tcW w:w="2160" w:type="dxa"/>
            <w:vAlign w:val="bottom"/>
          </w:tcPr>
          <w:p>
            <w:pPr>
              <w:jc w:val="right"/>
              <w:ind w:right="682"/>
              <w:spacing w:after="0"/>
              <w:rPr>
                <w:sz w:val="20"/>
                <w:szCs w:val="20"/>
                <w:color w:val="auto"/>
              </w:rPr>
            </w:pPr>
            <w:r>
              <w:rPr>
                <w:rFonts w:ascii="Arial" w:cs="Arial" w:eastAsia="Arial" w:hAnsi="Arial"/>
                <w:sz w:val="18"/>
                <w:szCs w:val="18"/>
                <w:b w:val="1"/>
                <w:bCs w:val="1"/>
                <w:color w:val="auto"/>
              </w:rPr>
              <w:t>20852</w:t>
            </w:r>
          </w:p>
        </w:tc>
      </w:tr>
      <w:tr>
        <w:trPr>
          <w:trHeight w:val="174"/>
        </w:trPr>
        <w:tc>
          <w:tcPr>
            <w:tcW w:w="6420" w:type="dxa"/>
            <w:vAlign w:val="bottom"/>
          </w:tcPr>
          <w:p>
            <w:pPr>
              <w:jc w:val="center"/>
              <w:ind w:right="276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160" w:type="dxa"/>
            <w:vAlign w:val="bottom"/>
          </w:tcPr>
          <w:p>
            <w:pPr>
              <w:jc w:val="center"/>
              <w:ind w:left="142"/>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420" w:type="dxa"/>
            <w:vAlign w:val="bottom"/>
          </w:tcPr>
          <w:p>
            <w:pPr>
              <w:jc w:val="right"/>
              <w:ind w:right="1162"/>
              <w:spacing w:after="0"/>
              <w:rPr>
                <w:sz w:val="20"/>
                <w:szCs w:val="20"/>
                <w:color w:val="auto"/>
              </w:rPr>
            </w:pPr>
            <w:r>
              <w:rPr>
                <w:rFonts w:ascii="Arial" w:cs="Arial" w:eastAsia="Arial" w:hAnsi="Arial"/>
                <w:sz w:val="18"/>
                <w:szCs w:val="18"/>
                <w:b w:val="1"/>
                <w:bCs w:val="1"/>
                <w:color w:val="auto"/>
              </w:rPr>
              <w:t>(301) 998-8100</w:t>
            </w:r>
          </w:p>
        </w:tc>
        <w:tc>
          <w:tcPr>
            <w:tcW w:w="2160" w:type="dxa"/>
            <w:vAlign w:val="bottom"/>
          </w:tcPr>
          <w:p>
            <w:pPr>
              <w:spacing w:after="0"/>
              <w:rPr>
                <w:sz w:val="24"/>
                <w:szCs w:val="24"/>
                <w:color w:val="auto"/>
              </w:rPr>
            </w:pPr>
          </w:p>
        </w:tc>
      </w:tr>
      <w:tr>
        <w:trPr>
          <w:trHeight w:val="174"/>
        </w:trPr>
        <w:tc>
          <w:tcPr>
            <w:tcW w:w="6420" w:type="dxa"/>
            <w:vAlign w:val="bottom"/>
          </w:tcPr>
          <w:p>
            <w:pPr>
              <w:jc w:val="center"/>
              <w:ind w:left="2762"/>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21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5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280"/>
          </w:cols>
          <w:pgMar w:left="240" w:top="230" w:right="379" w:bottom="1440" w:gutter="0" w:footer="0" w:header="0"/>
        </w:sectPr>
      </w:pPr>
    </w:p>
    <w:p>
      <w:pPr>
        <w:spacing w:after="0" w:line="9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3">
            <w:col w:w="7060" w:space="720"/>
            <w:col w:w="1920" w:space="80"/>
            <w:col w:w="1500"/>
          </w:cols>
          <w:pgMar w:left="240" w:top="230" w:right="379" w:bottom="1440" w:gutter="0" w:footer="0" w:header="0"/>
          <w:type w:val="continuous"/>
        </w:sectPr>
      </w:pPr>
    </w:p>
    <w:p>
      <w:pPr>
        <w:ind w:right="1940"/>
        <w:spacing w:after="0" w:line="31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The number of Registrant’s common shares outstanding on May 5, 2008 was 58,788,447.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00" w:type="dxa"/>
            <w:vAlign w:val="bottom"/>
            <w:gridSpan w:val="10"/>
          </w:tcPr>
          <w:p>
            <w:pPr>
              <w:jc w:val="center"/>
              <w:ind w:right="1440"/>
              <w:spacing w:after="0"/>
              <w:rPr>
                <w:sz w:val="20"/>
                <w:szCs w:val="20"/>
                <w:color w:val="auto"/>
              </w:rPr>
            </w:pPr>
            <w:r>
              <w:rPr>
                <w:rFonts w:ascii="Arial" w:cs="Arial" w:eastAsia="Arial" w:hAnsi="Arial"/>
                <w:sz w:val="18"/>
                <w:szCs w:val="18"/>
                <w:b w:val="1"/>
                <w:bCs w:val="1"/>
                <w:color w:val="auto"/>
                <w:w w:val="99"/>
              </w:rPr>
              <w:t>FEDERAL REALTY INVESTMENT TRUST</w:t>
            </w:r>
          </w:p>
        </w:tc>
        <w:tc>
          <w:tcPr>
            <w:tcW w:w="1840" w:type="dxa"/>
            <w:vAlign w:val="bottom"/>
          </w:tcPr>
          <w:p>
            <w:pPr>
              <w:spacing w:after="0"/>
              <w:rPr>
                <w:sz w:val="19"/>
                <w:szCs w:val="19"/>
                <w:color w:val="auto"/>
              </w:rPr>
            </w:pPr>
          </w:p>
        </w:tc>
      </w:tr>
      <w:tr>
        <w:trPr>
          <w:trHeight w:val="366"/>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00" w:type="dxa"/>
            <w:vAlign w:val="bottom"/>
            <w:gridSpan w:val="10"/>
          </w:tcPr>
          <w:p>
            <w:pPr>
              <w:jc w:val="center"/>
              <w:ind w:right="1440"/>
              <w:spacing w:after="0"/>
              <w:rPr>
                <w:sz w:val="20"/>
                <w:szCs w:val="20"/>
                <w:color w:val="auto"/>
              </w:rPr>
            </w:pPr>
            <w:r>
              <w:rPr>
                <w:rFonts w:ascii="Arial" w:cs="Arial" w:eastAsia="Arial" w:hAnsi="Arial"/>
                <w:sz w:val="18"/>
                <w:szCs w:val="18"/>
                <w:b w:val="1"/>
                <w:bCs w:val="1"/>
                <w:color w:val="auto"/>
                <w:w w:val="97"/>
              </w:rPr>
              <w:t>QUARTERLY REPORT ON FORM 10-Q</w:t>
            </w:r>
          </w:p>
        </w:tc>
        <w:tc>
          <w:tcPr>
            <w:tcW w:w="1840" w:type="dxa"/>
            <w:vAlign w:val="bottom"/>
          </w:tcPr>
          <w:p>
            <w:pPr>
              <w:spacing w:after="0"/>
              <w:rPr>
                <w:sz w:val="24"/>
                <w:szCs w:val="24"/>
                <w:color w:val="auto"/>
              </w:rPr>
            </w:pPr>
          </w:p>
        </w:tc>
      </w:tr>
      <w:tr>
        <w:trPr>
          <w:trHeight w:val="228"/>
        </w:trPr>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00" w:type="dxa"/>
            <w:vAlign w:val="bottom"/>
            <w:gridSpan w:val="10"/>
          </w:tcPr>
          <w:p>
            <w:pPr>
              <w:jc w:val="center"/>
              <w:ind w:right="1420"/>
              <w:spacing w:after="0"/>
              <w:rPr>
                <w:sz w:val="20"/>
                <w:szCs w:val="20"/>
                <w:color w:val="auto"/>
              </w:rPr>
            </w:pPr>
            <w:r>
              <w:rPr>
                <w:rFonts w:ascii="Arial" w:cs="Arial" w:eastAsia="Arial" w:hAnsi="Arial"/>
                <w:sz w:val="18"/>
                <w:szCs w:val="18"/>
                <w:b w:val="1"/>
                <w:bCs w:val="1"/>
                <w:color w:val="auto"/>
                <w:w w:val="96"/>
              </w:rPr>
              <w:t>QUARTER ENDED MARCH 31, 2008</w:t>
            </w:r>
          </w:p>
        </w:tc>
        <w:tc>
          <w:tcPr>
            <w:tcW w:w="1840" w:type="dxa"/>
            <w:vAlign w:val="bottom"/>
          </w:tcPr>
          <w:p>
            <w:pPr>
              <w:spacing w:after="0"/>
              <w:rPr>
                <w:sz w:val="19"/>
                <w:szCs w:val="19"/>
                <w:color w:val="auto"/>
              </w:rPr>
            </w:pPr>
          </w:p>
        </w:tc>
      </w:tr>
      <w:tr>
        <w:trPr>
          <w:trHeight w:val="378"/>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900" w:type="dxa"/>
            <w:vAlign w:val="bottom"/>
            <w:gridSpan w:val="9"/>
          </w:tcPr>
          <w:p>
            <w:pPr>
              <w:jc w:val="center"/>
              <w:ind w:right="2820"/>
              <w:spacing w:after="0"/>
              <w:rPr>
                <w:sz w:val="20"/>
                <w:szCs w:val="20"/>
                <w:color w:val="auto"/>
              </w:rPr>
            </w:pPr>
            <w:r>
              <w:rPr>
                <w:rFonts w:ascii="Arial" w:cs="Arial" w:eastAsia="Arial" w:hAnsi="Arial"/>
                <w:sz w:val="18"/>
                <w:szCs w:val="18"/>
                <w:b w:val="1"/>
                <w:bCs w:val="1"/>
                <w:color w:val="auto"/>
                <w:w w:val="96"/>
              </w:rPr>
              <w:t>TABLE OF CONTENTS</w:t>
            </w:r>
          </w:p>
        </w:tc>
        <w:tc>
          <w:tcPr>
            <w:tcW w:w="1840" w:type="dxa"/>
            <w:vAlign w:val="bottom"/>
          </w:tcPr>
          <w:p>
            <w:pPr>
              <w:spacing w:after="0"/>
              <w:rPr>
                <w:sz w:val="24"/>
                <w:szCs w:val="24"/>
                <w:color w:val="auto"/>
              </w:rPr>
            </w:pPr>
          </w:p>
        </w:tc>
      </w:tr>
      <w:tr>
        <w:trPr>
          <w:trHeight w:val="380"/>
        </w:trPr>
        <w:tc>
          <w:tcPr>
            <w:tcW w:w="1000" w:type="dxa"/>
            <w:vAlign w:val="bottom"/>
          </w:tcPr>
          <w:p>
            <w:pPr>
              <w:spacing w:after="0"/>
              <w:rPr>
                <w:sz w:val="20"/>
                <w:szCs w:val="20"/>
                <w:color w:val="auto"/>
              </w:rPr>
            </w:pPr>
            <w:r>
              <w:rPr>
                <w:rFonts w:ascii="Arial" w:cs="Arial" w:eastAsia="Arial" w:hAnsi="Arial"/>
                <w:sz w:val="18"/>
                <w:szCs w:val="18"/>
                <w:color w:val="auto"/>
              </w:rPr>
              <w:t>PART I.</w:t>
            </w:r>
          </w:p>
        </w:tc>
        <w:tc>
          <w:tcPr>
            <w:tcW w:w="858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4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720" w:type="dxa"/>
            <w:vAlign w:val="bottom"/>
            <w:tcBorders>
              <w:top w:val="single" w:sz="8" w:color="0000EE"/>
            </w:tcBorders>
            <w:gridSpan w:val="3"/>
          </w:tcPr>
          <w:p>
            <w:pPr>
              <w:spacing w:after="0"/>
              <w:rPr>
                <w:sz w:val="17"/>
                <w:szCs w:val="17"/>
                <w:color w:val="auto"/>
              </w:rPr>
            </w:pPr>
          </w:p>
        </w:tc>
        <w:tc>
          <w:tcPr>
            <w:tcW w:w="6380" w:type="dxa"/>
            <w:vAlign w:val="bottom"/>
            <w:gridSpan w:val="11"/>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000" w:type="dxa"/>
            <w:vAlign w:val="bottom"/>
          </w:tcPr>
          <w:p>
            <w:pPr>
              <w:spacing w:after="0"/>
              <w:rPr>
                <w:sz w:val="17"/>
                <w:szCs w:val="17"/>
                <w:color w:val="auto"/>
              </w:rPr>
            </w:pPr>
          </w:p>
        </w:tc>
        <w:tc>
          <w:tcPr>
            <w:tcW w:w="858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March 31, 2008 (unaudited) and December 31, 2007</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0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688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Operations (unaudited) three months ended March 31, 2008 and 2007</w:t>
              </w:r>
            </w:hyperlink>
          </w:p>
        </w:tc>
        <w:tc>
          <w:tcPr>
            <w:tcW w:w="1700" w:type="dxa"/>
            <w:vAlign w:val="bottom"/>
            <w:gridSpan w:val="2"/>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000" w:type="dxa"/>
            <w:vAlign w:val="bottom"/>
          </w:tcPr>
          <w:p>
            <w:pPr>
              <w:spacing w:after="0"/>
              <w:rPr>
                <w:sz w:val="17"/>
                <w:szCs w:val="17"/>
                <w:color w:val="auto"/>
              </w:rPr>
            </w:pPr>
          </w:p>
        </w:tc>
        <w:tc>
          <w:tcPr>
            <w:tcW w:w="684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Statement of Shareholders’ Equity (unaudited) three months ended March 31, 2008</w:t>
              </w:r>
            </w:hyperlink>
          </w:p>
        </w:tc>
        <w:tc>
          <w:tcPr>
            <w:tcW w:w="1740" w:type="dxa"/>
            <w:vAlign w:val="bottom"/>
            <w:gridSpan w:val="3"/>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000" w:type="dxa"/>
            <w:vAlign w:val="bottom"/>
          </w:tcPr>
          <w:p>
            <w:pPr>
              <w:spacing w:after="0"/>
              <w:rPr>
                <w:sz w:val="17"/>
                <w:szCs w:val="17"/>
                <w:color w:val="auto"/>
              </w:rPr>
            </w:pPr>
          </w:p>
        </w:tc>
        <w:tc>
          <w:tcPr>
            <w:tcW w:w="694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Consolidated Statements of Cash Flows (unaudited) three months ended March 31, 2008 and 2007</w:t>
              </w:r>
            </w:hyperlink>
          </w:p>
        </w:tc>
        <w:tc>
          <w:tcPr>
            <w:tcW w:w="1640" w:type="dxa"/>
            <w:vAlign w:val="bottom"/>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000" w:type="dxa"/>
            <w:vAlign w:val="bottom"/>
          </w:tcPr>
          <w:p>
            <w:pPr>
              <w:spacing w:after="0"/>
              <w:rPr>
                <w:sz w:val="17"/>
                <w:szCs w:val="17"/>
                <w:color w:val="auto"/>
              </w:rPr>
            </w:pPr>
          </w:p>
        </w:tc>
        <w:tc>
          <w:tcPr>
            <w:tcW w:w="394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Notes to Consolidated Financial Statements (unaudited)</w:t>
              </w:r>
            </w:hyperlink>
          </w:p>
        </w:tc>
        <w:tc>
          <w:tcPr>
            <w:tcW w:w="4640" w:type="dxa"/>
            <w:vAlign w:val="bottom"/>
            <w:gridSpan w:val="8"/>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8580" w:type="dxa"/>
            <w:vAlign w:val="bottom"/>
            <w:gridSpan w:val="2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2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Quantitative and Qualitative Disclosures about Market Risk</w:t>
              </w:r>
            </w:hyperlink>
          </w:p>
        </w:tc>
        <w:tc>
          <w:tcPr>
            <w:tcW w:w="2080" w:type="dxa"/>
            <w:vAlign w:val="bottom"/>
            <w:tcBorders>
              <w:top w:val="single" w:sz="8" w:color="0000EE"/>
            </w:tcBorders>
            <w:gridSpan w:val="3"/>
          </w:tcPr>
          <w:p>
            <w:pPr>
              <w:spacing w:after="0"/>
              <w:rPr>
                <w:sz w:val="17"/>
                <w:szCs w:val="17"/>
                <w:color w:val="auto"/>
              </w:rPr>
            </w:pPr>
          </w:p>
        </w:tc>
        <w:tc>
          <w:tcPr>
            <w:tcW w:w="2280" w:type="dxa"/>
            <w:vAlign w:val="bottom"/>
            <w:gridSpan w:val="4"/>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27">
              <w:r>
                <w:rPr>
                  <w:rFonts w:ascii="Arial" w:cs="Arial" w:eastAsia="Arial" w:hAnsi="Arial"/>
                  <w:sz w:val="18"/>
                  <w:szCs w:val="18"/>
                  <w:color w:val="0000EE"/>
                  <w:w w:val="86"/>
                </w:rPr>
                <w:t>Controls and Procedures</w:t>
              </w:r>
            </w:hyperlink>
          </w:p>
        </w:tc>
        <w:tc>
          <w:tcPr>
            <w:tcW w:w="6840" w:type="dxa"/>
            <w:vAlign w:val="bottom"/>
            <w:gridSpan w:val="13"/>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PART II.</w:t>
            </w:r>
          </w:p>
        </w:tc>
        <w:tc>
          <w:tcPr>
            <w:tcW w:w="858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8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6740" w:type="dxa"/>
            <w:vAlign w:val="bottom"/>
            <w:gridSpan w:val="12"/>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Risk Factors</w:t>
              </w:r>
            </w:hyperlink>
          </w:p>
        </w:tc>
        <w:tc>
          <w:tcPr>
            <w:tcW w:w="400" w:type="dxa"/>
            <w:vAlign w:val="bottom"/>
            <w:tcBorders>
              <w:top w:val="single" w:sz="8" w:color="0000EE"/>
            </w:tcBorders>
            <w:gridSpan w:val="2"/>
          </w:tcPr>
          <w:p>
            <w:pPr>
              <w:spacing w:after="0"/>
              <w:rPr>
                <w:sz w:val="17"/>
                <w:szCs w:val="17"/>
                <w:color w:val="auto"/>
              </w:rPr>
            </w:pPr>
          </w:p>
        </w:tc>
        <w:tc>
          <w:tcPr>
            <w:tcW w:w="7280" w:type="dxa"/>
            <w:vAlign w:val="bottom"/>
            <w:gridSpan w:val="15"/>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8580" w:type="dxa"/>
            <w:vAlign w:val="bottom"/>
            <w:gridSpan w:val="2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4"/>
          </w:tcPr>
          <w:p>
            <w:pPr>
              <w:spacing w:after="0"/>
              <w:rPr>
                <w:sz w:val="17"/>
                <w:szCs w:val="17"/>
                <w:color w:val="auto"/>
              </w:rPr>
            </w:pPr>
          </w:p>
        </w:tc>
        <w:tc>
          <w:tcPr>
            <w:tcW w:w="4340" w:type="dxa"/>
            <w:vAlign w:val="bottom"/>
            <w:gridSpan w:val="6"/>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8580" w:type="dxa"/>
            <w:vAlign w:val="bottom"/>
            <w:gridSpan w:val="2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Submission of Matters to a Vote of Security Holders</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36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4900" w:type="dxa"/>
            <w:vAlign w:val="bottom"/>
            <w:gridSpan w:val="9"/>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Exhibits</w:t>
              </w:r>
            </w:hyperlink>
          </w:p>
        </w:tc>
        <w:tc>
          <w:tcPr>
            <w:tcW w:w="680" w:type="dxa"/>
            <w:vAlign w:val="bottom"/>
            <w:tcBorders>
              <w:top w:val="single" w:sz="8" w:color="0000EE"/>
            </w:tcBorders>
            <w:gridSpan w:val="2"/>
          </w:tcPr>
          <w:p>
            <w:pPr>
              <w:spacing w:after="0"/>
              <w:rPr>
                <w:sz w:val="17"/>
                <w:szCs w:val="17"/>
                <w:color w:val="auto"/>
              </w:rPr>
            </w:pPr>
          </w:p>
        </w:tc>
        <w:tc>
          <w:tcPr>
            <w:tcW w:w="7300" w:type="dxa"/>
            <w:vAlign w:val="bottom"/>
            <w:gridSpan w:val="16"/>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304"/>
        </w:trPr>
        <w:tc>
          <w:tcPr>
            <w:tcW w:w="9580" w:type="dxa"/>
            <w:vAlign w:val="bottom"/>
            <w:gridSpan w:val="2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SIGNATURES</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83"/>
        </w:trPr>
        <w:tc>
          <w:tcPr>
            <w:tcW w:w="10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700" w:type="dxa"/>
            <w:vAlign w:val="bottom"/>
            <w:gridSpan w:val="14"/>
          </w:tcPr>
          <w:p>
            <w:pPr>
              <w:jc w:val="center"/>
              <w:ind w:left="3492"/>
              <w:spacing w:after="0"/>
              <w:rPr>
                <w:sz w:val="20"/>
                <w:szCs w:val="20"/>
                <w:color w:val="auto"/>
              </w:rPr>
            </w:pPr>
            <w:r>
              <w:rPr>
                <w:rFonts w:ascii="Arial" w:cs="Arial" w:eastAsia="Arial" w:hAnsi="Arial"/>
                <w:sz w:val="18"/>
                <w:szCs w:val="18"/>
                <w:color w:val="auto"/>
                <w:w w:val="79"/>
              </w:rPr>
              <w:t>2</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1—FINANCIAL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9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The following balance sheet as of December 31, 2007, which has been derived from audited financial statements, and the unaudited interim financial statements have been prepared pursuant to the rules and regulations of the Securities and Exchange Commission. Certain information and note disclosures normally included in annual financial statements prepared in accordance with generally accepted accounting principles (GAAP) have been omitted pursuant to those rules and regulations, although the company believes that the disclosures made are adequate to make the information not misleading. It is suggested that these financial statements be read in conjunction with the financial statements and notes thereto included in the company’s latest Annual Report on Form 10-K. In the opinion of management, all adjustments (consisting of normal, recurring adjustments) necessary for a fair presentation for the periods presented have been included. The results of operations for the three months ended March 31, 2008 are not necessarily indicative of the results that may be expected for the full year.</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412"/>
              <w:spacing w:after="0"/>
              <w:rPr>
                <w:sz w:val="20"/>
                <w:szCs w:val="20"/>
                <w:color w:val="auto"/>
              </w:rPr>
            </w:pPr>
            <w:r>
              <w:rPr>
                <w:rFonts w:ascii="Arial" w:cs="Arial" w:eastAsia="Arial" w:hAnsi="Arial"/>
                <w:sz w:val="14"/>
                <w:szCs w:val="14"/>
                <w:b w:val="1"/>
                <w:bCs w:val="1"/>
                <w:color w:val="auto"/>
                <w:w w:val="92"/>
              </w:rPr>
              <w:t>March 31,</w:t>
            </w:r>
          </w:p>
        </w:tc>
        <w:tc>
          <w:tcPr>
            <w:tcW w:w="10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(In thousands,</w:t>
            </w:r>
          </w:p>
        </w:tc>
        <w:tc>
          <w:tcPr>
            <w:tcW w:w="1340" w:type="dxa"/>
            <w:vAlign w:val="bottom"/>
            <w:gridSpan w:val="3"/>
          </w:tcPr>
          <w:p>
            <w:pPr>
              <w:jc w:val="right"/>
              <w:ind w:right="73"/>
              <w:spacing w:after="0" w:line="129" w:lineRule="exact"/>
              <w:rPr>
                <w:sz w:val="20"/>
                <w:szCs w:val="20"/>
                <w:color w:val="auto"/>
              </w:rPr>
            </w:pPr>
            <w:r>
              <w:rPr>
                <w:rFonts w:ascii="Arial" w:cs="Arial" w:eastAsia="Arial" w:hAnsi="Arial"/>
                <w:sz w:val="14"/>
                <w:szCs w:val="14"/>
                <w:b w:val="1"/>
                <w:bCs w:val="1"/>
                <w:color w:val="auto"/>
                <w:w w:val="94"/>
              </w:rPr>
              <w:t>except share data)</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432"/>
              <w:spacing w:after="0"/>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Real estate, at cost</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Operating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3,350,969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3,304,922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Construction-in-progress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143,834</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3,494,803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3,452,847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80" w:type="dxa"/>
            <w:vAlign w:val="bottom"/>
          </w:tcPr>
          <w:p>
            <w:pPr>
              <w:spacing w:after="0"/>
              <w:rPr>
                <w:sz w:val="19"/>
                <w:szCs w:val="19"/>
                <w:color w:val="auto"/>
              </w:rPr>
            </w:pPr>
          </w:p>
        </w:tc>
        <w:tc>
          <w:tcPr>
            <w:tcW w:w="1200" w:type="dxa"/>
            <w:vAlign w:val="bottom"/>
            <w:gridSpan w:val="2"/>
          </w:tcPr>
          <w:p>
            <w:pPr>
              <w:jc w:val="right"/>
              <w:ind w:right="272"/>
              <w:spacing w:after="0"/>
              <w:rPr>
                <w:sz w:val="20"/>
                <w:szCs w:val="20"/>
                <w:color w:val="auto"/>
              </w:rPr>
            </w:pPr>
            <w:r>
              <w:rPr>
                <w:rFonts w:ascii="Arial" w:cs="Arial" w:eastAsia="Arial" w:hAnsi="Arial"/>
                <w:sz w:val="18"/>
                <w:szCs w:val="18"/>
                <w:color w:val="auto"/>
              </w:rPr>
              <w:t>(778,805)</w:t>
            </w:r>
          </w:p>
        </w:tc>
        <w:tc>
          <w:tcPr>
            <w:tcW w:w="1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(756,703)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 estate</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2,715,998</w:t>
            </w:r>
          </w:p>
        </w:tc>
        <w:tc>
          <w:tcPr>
            <w:tcW w:w="4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2,696,144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27,654</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50,691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notes receivable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64,588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Mortgage notes receivable</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40,698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40,638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real estate partnership</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93,626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103,620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issuance costs, net of accumulated amortization of $5,254 and $4,815, respectively</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7,015</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2,979,130</w:t>
            </w:r>
          </w:p>
        </w:tc>
        <w:tc>
          <w:tcPr>
            <w:tcW w:w="40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2,989,297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9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Liabilities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Mortgages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372,333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Capital lease obligations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75,845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Notes payable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210,766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Senior notes and debentures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977,513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977,556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95,757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Dividends payable</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36,219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36,142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Security deposits payable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Other liabilities and deferred credits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55,197</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1,834,361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1,842,847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Minority interests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32,280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31,818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Commitments and contingencies (Note 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5"/>
              </w:rPr>
              <w:t>Preferred stock, authorized 15,000,000 shares, $.01 par: 5.417% Series 1 Cumulative Convertible Preferred</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Shares, (stated at liquidation preference $25 per share), 399,896 shares issued and outstanding</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w w:val="95"/>
              </w:rPr>
              <w:t>Common shares of beneficial interest, $.01 par, 100,000,000 shares authorized, 60,268,689 and 60,133,270</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tcPr>
          <w:p>
            <w:pPr>
              <w:ind w:left="1060"/>
              <w:spacing w:after="0"/>
              <w:rPr>
                <w:sz w:val="20"/>
                <w:szCs w:val="20"/>
                <w:color w:val="auto"/>
              </w:rPr>
            </w:pPr>
            <w:r>
              <w:rPr>
                <w:rFonts w:ascii="Arial" w:cs="Arial" w:eastAsia="Arial" w:hAnsi="Arial"/>
                <w:sz w:val="18"/>
                <w:szCs w:val="18"/>
                <w:color w:val="auto"/>
              </w:rPr>
              <w:t>issued, respectively</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603</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1,545,304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1,541,020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Accumulated dividends in excess of net income</w:t>
            </w:r>
          </w:p>
        </w:tc>
        <w:tc>
          <w:tcPr>
            <w:tcW w:w="80" w:type="dxa"/>
            <w:vAlign w:val="bottom"/>
          </w:tcPr>
          <w:p>
            <w:pPr>
              <w:spacing w:after="0"/>
              <w:rPr>
                <w:sz w:val="18"/>
                <w:szCs w:val="18"/>
                <w:color w:val="auto"/>
              </w:rPr>
            </w:pPr>
          </w:p>
        </w:tc>
        <w:tc>
          <w:tcPr>
            <w:tcW w:w="1200" w:type="dxa"/>
            <w:vAlign w:val="bottom"/>
            <w:gridSpan w:val="2"/>
          </w:tcPr>
          <w:p>
            <w:pPr>
              <w:jc w:val="right"/>
              <w:ind w:right="272"/>
              <w:spacing w:after="0"/>
              <w:rPr>
                <w:sz w:val="20"/>
                <w:szCs w:val="20"/>
                <w:color w:val="auto"/>
              </w:rPr>
            </w:pPr>
            <w:r>
              <w:rPr>
                <w:rFonts w:ascii="Arial" w:cs="Arial" w:eastAsia="Arial" w:hAnsi="Arial"/>
                <w:sz w:val="18"/>
                <w:szCs w:val="18"/>
                <w:color w:val="auto"/>
              </w:rPr>
              <w:t>(413,376)</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(407,376)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Treasury shares at cost, 1,487,905 and 1,487,605 shares, respectively</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(28,807)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860"/>
              <w:spacing w:after="0"/>
              <w:rPr>
                <w:sz w:val="20"/>
                <w:szCs w:val="20"/>
                <w:color w:val="auto"/>
              </w:rPr>
            </w:pPr>
            <w:r>
              <w:rPr>
                <w:rFonts w:ascii="Arial" w:cs="Arial" w:eastAsia="Arial" w:hAnsi="Arial"/>
                <w:sz w:val="18"/>
                <w:szCs w:val="18"/>
                <w:color w:val="auto"/>
              </w:rPr>
              <w:t>Notes receivable from issuance of common shares</w:t>
            </w:r>
          </w:p>
        </w:tc>
        <w:tc>
          <w:tcPr>
            <w:tcW w:w="80" w:type="dxa"/>
            <w:vAlign w:val="bottom"/>
          </w:tcPr>
          <w:p>
            <w:pPr>
              <w:spacing w:after="0"/>
              <w:rPr>
                <w:sz w:val="18"/>
                <w:szCs w:val="18"/>
                <w:color w:val="auto"/>
              </w:rPr>
            </w:pPr>
          </w:p>
        </w:tc>
        <w:tc>
          <w:tcPr>
            <w:tcW w:w="1200" w:type="dxa"/>
            <w:vAlign w:val="bottom"/>
            <w:gridSpan w:val="2"/>
          </w:tcPr>
          <w:p>
            <w:pPr>
              <w:jc w:val="right"/>
              <w:ind w:right="272"/>
              <w:spacing w:after="0"/>
              <w:rPr>
                <w:sz w:val="20"/>
                <w:szCs w:val="20"/>
                <w:color w:val="auto"/>
              </w:rPr>
            </w:pPr>
            <w:r>
              <w:rPr>
                <w:rFonts w:ascii="Arial" w:cs="Arial" w:eastAsia="Arial" w:hAnsi="Arial"/>
                <w:sz w:val="18"/>
                <w:szCs w:val="18"/>
                <w:color w:val="auto"/>
              </w:rPr>
              <w:t>(692)</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(540)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20" w:type="dxa"/>
            <w:vAlign w:val="bottom"/>
          </w:tcPr>
          <w:p>
            <w:pPr>
              <w:ind w:left="420"/>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1,112,489</w:t>
            </w: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1,114,632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2,979,130</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2,989,297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9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center"/>
              <w:ind w:left="414"/>
              <w:spacing w:after="0"/>
              <w:rPr>
                <w:sz w:val="20"/>
                <w:szCs w:val="20"/>
                <w:color w:val="auto"/>
              </w:rPr>
            </w:pPr>
            <w:r>
              <w:rPr>
                <w:rFonts w:ascii="Arial" w:cs="Arial" w:eastAsia="Arial" w:hAnsi="Arial"/>
                <w:sz w:val="14"/>
                <w:szCs w:val="14"/>
                <w:b w:val="1"/>
                <w:bCs w:val="1"/>
                <w:color w:val="auto"/>
                <w:w w:val="89"/>
              </w:rPr>
              <w:t>March 31,</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8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gridSpan w:val="3"/>
          </w:tcPr>
          <w:p>
            <w:pPr>
              <w:jc w:val="center"/>
              <w:spacing w:after="0"/>
              <w:rPr>
                <w:sz w:val="20"/>
                <w:szCs w:val="20"/>
                <w:color w:val="auto"/>
              </w:rPr>
            </w:pPr>
            <w:r>
              <w:rPr>
                <w:rFonts w:ascii="Arial" w:cs="Arial" w:eastAsia="Arial" w:hAnsi="Arial"/>
                <w:sz w:val="12"/>
                <w:szCs w:val="12"/>
                <w:b w:val="1"/>
                <w:bCs w:val="1"/>
                <w:color w:val="auto"/>
                <w:w w:val="78"/>
              </w:rPr>
              <w:t>except</w:t>
            </w: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per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Rental income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122,721</w:t>
            </w:r>
          </w:p>
        </w:tc>
        <w:tc>
          <w:tcPr>
            <w:tcW w:w="160" w:type="dxa"/>
            <w:vAlign w:val="bottom"/>
          </w:tcPr>
          <w:p>
            <w:pPr>
              <w:spacing w:after="0"/>
              <w:rPr>
                <w:sz w:val="18"/>
                <w:szCs w:val="18"/>
                <w:color w:val="auto"/>
              </w:rPr>
            </w:pPr>
          </w:p>
        </w:tc>
        <w:tc>
          <w:tcPr>
            <w:tcW w:w="3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111,763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property income</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80" w:type="dxa"/>
            <w:vAlign w:val="bottom"/>
          </w:tcPr>
          <w:p>
            <w:pPr>
              <w:ind w:left="440"/>
              <w:spacing w:after="0"/>
              <w:rPr>
                <w:sz w:val="20"/>
                <w:szCs w:val="20"/>
                <w:color w:val="auto"/>
              </w:rPr>
            </w:pPr>
            <w:r>
              <w:rPr>
                <w:rFonts w:ascii="Arial" w:cs="Arial" w:eastAsia="Arial" w:hAnsi="Arial"/>
                <w:sz w:val="18"/>
                <w:szCs w:val="18"/>
                <w:color w:val="auto"/>
              </w:rPr>
              <w:t>Mortgage interest income</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127,223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80" w:type="dxa"/>
            <w:vAlign w:val="bottom"/>
          </w:tcPr>
          <w:p>
            <w:pPr>
              <w:spacing w:after="0"/>
              <w:rPr>
                <w:sz w:val="20"/>
                <w:szCs w:val="20"/>
                <w:color w:val="auto"/>
              </w:rPr>
            </w:pPr>
            <w:r>
              <w:rPr>
                <w:rFonts w:ascii="Arial" w:cs="Arial" w:eastAsia="Arial" w:hAnsi="Arial"/>
                <w:sz w:val="18"/>
                <w:szCs w:val="18"/>
                <w:color w:val="auto"/>
              </w:rPr>
              <w:t>EXPENSES</w:t>
            </w: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Rental expenses</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Real estate taxes</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12,563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8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72,224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80" w:type="dxa"/>
            <w:vAlign w:val="bottom"/>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54,999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49,877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interest income</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(24,353)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(27,337)</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from real estate partnership</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80" w:type="dxa"/>
            <w:vAlign w:val="bottom"/>
          </w:tcPr>
          <w:p>
            <w:pPr>
              <w:spacing w:after="0"/>
              <w:rPr>
                <w:sz w:val="20"/>
                <w:szCs w:val="20"/>
                <w:color w:val="auto"/>
              </w:rPr>
            </w:pPr>
            <w:r>
              <w:rPr>
                <w:rFonts w:ascii="Arial" w:cs="Arial" w:eastAsia="Arial" w:hAnsi="Arial"/>
                <w:sz w:val="18"/>
                <w:szCs w:val="18"/>
                <w:color w:val="auto"/>
              </w:rPr>
              <w:t>INCOME FROM CONTINUING OPERATIONS BEFORE MINORITY INTERESTS</w:t>
            </w:r>
          </w:p>
        </w:tc>
        <w:tc>
          <w:tcPr>
            <w:tcW w:w="2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31,318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Minority interests</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21"/>
        </w:trPr>
        <w:tc>
          <w:tcPr>
            <w:tcW w:w="90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29,986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80" w:type="dxa"/>
            <w:vAlign w:val="bottom"/>
          </w:tcPr>
          <w:p>
            <w:pPr>
              <w:ind w:left="44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Results from discontinued operations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8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29,986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23,136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 on preferred stock</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9080" w:type="dxa"/>
            <w:vAlign w:val="bottom"/>
            <w:vMerge w:val="restart"/>
          </w:tcPr>
          <w:p>
            <w:pPr>
              <w:spacing w:after="0"/>
              <w:rPr>
                <w:sz w:val="20"/>
                <w:szCs w:val="20"/>
                <w:color w:val="auto"/>
              </w:rPr>
            </w:pPr>
            <w:r>
              <w:rPr>
                <w:rFonts w:ascii="Arial" w:cs="Arial" w:eastAsia="Arial" w:hAnsi="Arial"/>
                <w:sz w:val="18"/>
                <w:szCs w:val="18"/>
                <w:color w:val="auto"/>
              </w:rPr>
              <w:t>NET INCOME AVAILABLE FOR COMMON SHAREHOLDERS</w:t>
            </w: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080" w:type="dxa"/>
            <w:vAlign w:val="bottom"/>
            <w:vMerge w:val="continue"/>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29,851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BASIC</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0.51</w:t>
            </w:r>
          </w:p>
        </w:tc>
        <w:tc>
          <w:tcPr>
            <w:tcW w:w="160" w:type="dxa"/>
            <w:vAlign w:val="bottom"/>
          </w:tcPr>
          <w:p>
            <w:pPr>
              <w:spacing w:after="0"/>
              <w:rPr>
                <w:sz w:val="18"/>
                <w:szCs w:val="18"/>
                <w:color w:val="auto"/>
              </w:rPr>
            </w:pPr>
          </w:p>
        </w:tc>
        <w:tc>
          <w:tcPr>
            <w:tcW w:w="3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8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0.51</w:t>
            </w:r>
          </w:p>
        </w:tc>
        <w:tc>
          <w:tcPr>
            <w:tcW w:w="160" w:type="dxa"/>
            <w:vAlign w:val="bottom"/>
          </w:tcPr>
          <w:p>
            <w:pPr>
              <w:spacing w:after="0"/>
              <w:rPr>
                <w:sz w:val="19"/>
                <w:szCs w:val="19"/>
                <w:color w:val="auto"/>
              </w:rPr>
            </w:pPr>
          </w:p>
        </w:tc>
        <w:tc>
          <w:tcPr>
            <w:tcW w:w="3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DILUTED</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tcPr>
          <w:p>
            <w:pPr>
              <w:ind w:left="44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0.51</w:t>
            </w:r>
          </w:p>
        </w:tc>
        <w:tc>
          <w:tcPr>
            <w:tcW w:w="160" w:type="dxa"/>
            <w:vAlign w:val="bottom"/>
          </w:tcPr>
          <w:p>
            <w:pPr>
              <w:spacing w:after="0"/>
              <w:rPr>
                <w:sz w:val="18"/>
                <w:szCs w:val="18"/>
                <w:color w:val="auto"/>
              </w:rPr>
            </w:pPr>
          </w:p>
        </w:tc>
        <w:tc>
          <w:tcPr>
            <w:tcW w:w="3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8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0.51</w:t>
            </w:r>
          </w:p>
        </w:tc>
        <w:tc>
          <w:tcPr>
            <w:tcW w:w="160" w:type="dxa"/>
            <w:vAlign w:val="bottom"/>
          </w:tcPr>
          <w:p>
            <w:pPr>
              <w:spacing w:after="0"/>
              <w:rPr>
                <w:sz w:val="19"/>
                <w:szCs w:val="19"/>
                <w:color w:val="auto"/>
              </w:rPr>
            </w:pPr>
          </w:p>
        </w:tc>
        <w:tc>
          <w:tcPr>
            <w:tcW w:w="3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8"/>
          </w:tcPr>
          <w:p>
            <w:pPr>
              <w:jc w:val="center"/>
              <w:ind w:left="480"/>
              <w:spacing w:after="0"/>
              <w:rPr>
                <w:sz w:val="20"/>
                <w:szCs w:val="20"/>
                <w:color w:val="auto"/>
              </w:rPr>
            </w:pPr>
            <w:r>
              <w:rPr>
                <w:rFonts w:ascii="Arial" w:cs="Arial" w:eastAsia="Arial" w:hAnsi="Arial"/>
                <w:sz w:val="14"/>
                <w:szCs w:val="14"/>
                <w:b w:val="1"/>
                <w:bCs w:val="1"/>
                <w:color w:val="auto"/>
                <w:w w:val="89"/>
              </w:rPr>
              <w:t>For the Three Months Ended March 31, 2008</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w w:val="95"/>
              </w:rPr>
              <w:t>Preferred Stock</w:t>
            </w:r>
          </w:p>
        </w:tc>
        <w:tc>
          <w:tcPr>
            <w:tcW w:w="80" w:type="dxa"/>
            <w:vAlign w:val="bottom"/>
          </w:tcPr>
          <w:p>
            <w:pPr>
              <w:spacing w:after="0"/>
              <w:rPr>
                <w:sz w:val="12"/>
                <w:szCs w:val="12"/>
                <w:color w:val="auto"/>
              </w:rPr>
            </w:pPr>
          </w:p>
        </w:tc>
        <w:tc>
          <w:tcPr>
            <w:tcW w:w="138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rPr>
              <w:t>Common Shares</w:t>
            </w:r>
          </w:p>
        </w:tc>
        <w:tc>
          <w:tcPr>
            <w:tcW w:w="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Additional</w:t>
            </w:r>
          </w:p>
        </w:tc>
        <w:tc>
          <w:tcPr>
            <w:tcW w:w="6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Dividends in</w:t>
            </w:r>
          </w:p>
        </w:tc>
        <w:tc>
          <w:tcPr>
            <w:tcW w:w="166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Treasury 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Notes Receivable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1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5"/>
            <w:vMerge w:val="continue"/>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Paid-in</w:t>
            </w:r>
          </w:p>
        </w:tc>
        <w:tc>
          <w:tcPr>
            <w:tcW w:w="60" w:type="dxa"/>
            <w:vAlign w:val="bottom"/>
          </w:tcPr>
          <w:p>
            <w:pPr>
              <w:spacing w:after="0"/>
              <w:rPr>
                <w:sz w:val="8"/>
                <w:szCs w:val="8"/>
                <w:color w:val="auto"/>
              </w:rPr>
            </w:pPr>
          </w:p>
        </w:tc>
        <w:tc>
          <w:tcPr>
            <w:tcW w:w="90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Excess of Net</w:t>
            </w:r>
          </w:p>
        </w:tc>
        <w:tc>
          <w:tcPr>
            <w:tcW w:w="166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from the Issuance of</w:t>
            </w:r>
          </w:p>
        </w:tc>
        <w:tc>
          <w:tcPr>
            <w:tcW w:w="40" w:type="dxa"/>
            <w:vAlign w:val="bottom"/>
          </w:tcPr>
          <w:p>
            <w:pPr>
              <w:spacing w:after="0"/>
              <w:rPr>
                <w:sz w:val="8"/>
                <w:szCs w:val="8"/>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88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w w:val="98"/>
              </w:rPr>
              <w:t>Shares</w:t>
            </w:r>
          </w:p>
        </w:tc>
        <w:tc>
          <w:tcPr>
            <w:tcW w:w="6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800" w:type="dxa"/>
            <w:vAlign w:val="bottom"/>
          </w:tcPr>
          <w:p>
            <w:pPr>
              <w:jc w:val="right"/>
              <w:ind w:right="137"/>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520" w:type="dxa"/>
            <w:vAlign w:val="bottom"/>
            <w:gridSpan w:val="3"/>
          </w:tcPr>
          <w:p>
            <w:pPr>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6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Income</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Common Shares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9"/>
              </w:rPr>
              <w:t>Loss</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2560" w:type="dxa"/>
            <w:vAlign w:val="bottom"/>
            <w:gridSpan w:val="6"/>
          </w:tcPr>
          <w:p>
            <w:pPr>
              <w:jc w:val="center"/>
              <w:ind w:right="300"/>
              <w:spacing w:after="0" w:line="142" w:lineRule="exact"/>
              <w:rPr>
                <w:sz w:val="20"/>
                <w:szCs w:val="20"/>
                <w:color w:val="auto"/>
              </w:rPr>
            </w:pPr>
            <w:r>
              <w:rPr>
                <w:rFonts w:ascii="Arial" w:cs="Arial" w:eastAsia="Arial" w:hAnsi="Arial"/>
                <w:sz w:val="14"/>
                <w:szCs w:val="14"/>
                <w:b w:val="1"/>
                <w:bCs w:val="1"/>
                <w:color w:val="auto"/>
                <w:w w:val="85"/>
              </w:rPr>
              <w:t>(In thousands, except share data)</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BALANCE AT</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2007</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2"/>
              </w:rPr>
              <w:t>399,896</w:t>
            </w:r>
          </w:p>
        </w:tc>
        <w:tc>
          <w:tcPr>
            <w:tcW w:w="1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$9,997 60,133,270</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601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$1,541,020</w:t>
            </w:r>
          </w:p>
        </w:tc>
        <w:tc>
          <w:tcPr>
            <w:tcW w:w="18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94"/>
              </w:rPr>
              <w:t>$ (407,376) (1,487,605)</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5"/>
              </w:rPr>
              <w:t>$ (28,807)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(803)</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$ 1,114,632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Comprehensive income:</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29,986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Change in valuation of</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interest rate swaps</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(540)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w w:val="89"/>
              </w:rPr>
              <w:t>Total comprehensive income</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Dividends declared to</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common shareholders</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(35,851)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(35,851)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to</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shareholders</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Common shares issued</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27,834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Shares issued under</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dividend reinvestment</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80" w:type="dxa"/>
            <w:vAlign w:val="bottom"/>
          </w:tcPr>
          <w:p>
            <w:pPr>
              <w:ind w:left="200"/>
              <w:spacing w:after="0"/>
              <w:rPr>
                <w:sz w:val="20"/>
                <w:szCs w:val="20"/>
                <w:color w:val="auto"/>
              </w:rPr>
            </w:pPr>
            <w:r>
              <w:rPr>
                <w:rFonts w:ascii="Arial" w:cs="Arial" w:eastAsia="Arial" w:hAnsi="Arial"/>
                <w:sz w:val="18"/>
                <w:szCs w:val="18"/>
                <w:color w:val="auto"/>
              </w:rPr>
              <w:t>plan</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9,793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560"/>
              <w:spacing w:after="0"/>
              <w:rPr>
                <w:sz w:val="20"/>
                <w:szCs w:val="20"/>
                <w:color w:val="auto"/>
              </w:rPr>
            </w:pPr>
            <w:r>
              <w:rPr>
                <w:rFonts w:ascii="Arial" w:cs="Arial" w:eastAsia="Arial" w:hAnsi="Arial"/>
                <w:sz w:val="18"/>
                <w:szCs w:val="18"/>
                <w:color w:val="auto"/>
                <w:w w:val="86"/>
              </w:rPr>
              <w:t>689</w:t>
            </w:r>
          </w:p>
        </w:tc>
        <w:tc>
          <w:tcPr>
            <w:tcW w:w="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w w:val="93"/>
              </w:rPr>
              <w:t>Share-based compensation</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97,729</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Unvested shares forfeited</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Loans paid</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00" w:type="dxa"/>
            <w:vAlign w:val="bottom"/>
            <w:gridSpan w:val="2"/>
          </w:tcPr>
          <w:p>
            <w:pPr>
              <w:spacing w:after="0"/>
              <w:rPr>
                <w:sz w:val="20"/>
                <w:szCs w:val="20"/>
                <w:color w:val="auto"/>
              </w:rPr>
            </w:pPr>
            <w:r>
              <w:rPr>
                <w:rFonts w:ascii="Arial" w:cs="Arial" w:eastAsia="Arial" w:hAnsi="Arial"/>
                <w:sz w:val="18"/>
                <w:szCs w:val="18"/>
                <w:color w:val="auto"/>
              </w:rPr>
              <w:t>BALANCE AT MARCH</w:t>
            </w:r>
          </w:p>
        </w:tc>
        <w:tc>
          <w:tcPr>
            <w:tcW w:w="5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00" w:type="dxa"/>
            <w:vAlign w:val="bottom"/>
            <w:gridSpan w:val="2"/>
          </w:tcPr>
          <w:p>
            <w:pPr>
              <w:ind w:left="220"/>
              <w:spacing w:after="0"/>
              <w:rPr>
                <w:sz w:val="20"/>
                <w:szCs w:val="20"/>
                <w:color w:val="auto"/>
              </w:rPr>
            </w:pPr>
            <w:r>
              <w:rPr>
                <w:rFonts w:ascii="Arial" w:cs="Arial" w:eastAsia="Arial" w:hAnsi="Arial"/>
                <w:sz w:val="18"/>
                <w:szCs w:val="18"/>
                <w:color w:val="auto"/>
              </w:rPr>
              <w:t>31, 2008</w:t>
            </w:r>
          </w:p>
        </w:tc>
        <w:tc>
          <w:tcPr>
            <w:tcW w:w="580" w:type="dxa"/>
            <w:vAlign w:val="bottom"/>
          </w:tcPr>
          <w:p>
            <w:pPr>
              <w:ind w:left="20"/>
              <w:spacing w:after="0"/>
              <w:rPr>
                <w:sz w:val="20"/>
                <w:szCs w:val="20"/>
                <w:color w:val="auto"/>
              </w:rPr>
            </w:pPr>
            <w:r>
              <w:rPr>
                <w:rFonts w:ascii="Arial" w:cs="Arial" w:eastAsia="Arial" w:hAnsi="Arial"/>
                <w:sz w:val="18"/>
                <w:szCs w:val="18"/>
                <w:color w:val="auto"/>
                <w:w w:val="82"/>
              </w:rPr>
              <w:t>399,896</w:t>
            </w:r>
          </w:p>
        </w:tc>
        <w:tc>
          <w:tcPr>
            <w:tcW w:w="144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9,997 60,268,689</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60"/>
              <w:spacing w:after="0"/>
              <w:rPr>
                <w:sz w:val="20"/>
                <w:szCs w:val="20"/>
                <w:color w:val="auto"/>
              </w:rPr>
            </w:pPr>
            <w:r>
              <w:rPr>
                <w:rFonts w:ascii="Arial" w:cs="Arial" w:eastAsia="Arial" w:hAnsi="Arial"/>
                <w:sz w:val="18"/>
                <w:szCs w:val="18"/>
                <w:color w:val="auto"/>
                <w:w w:val="93"/>
              </w:rPr>
              <w:t>603</w:t>
            </w: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1,545,304</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 (413,376)</w:t>
            </w:r>
          </w:p>
        </w:tc>
        <w:tc>
          <w:tcPr>
            <w:tcW w:w="1780" w:type="dxa"/>
            <w:vAlign w:val="bottom"/>
            <w:gridSpan w:val="6"/>
          </w:tcPr>
          <w:p>
            <w:pPr>
              <w:jc w:val="right"/>
              <w:spacing w:after="0"/>
              <w:rPr>
                <w:sz w:val="20"/>
                <w:szCs w:val="20"/>
                <w:color w:val="auto"/>
              </w:rPr>
            </w:pPr>
            <w:r>
              <w:rPr>
                <w:rFonts w:ascii="Arial" w:cs="Arial" w:eastAsia="Arial" w:hAnsi="Arial"/>
                <w:sz w:val="18"/>
                <w:szCs w:val="18"/>
                <w:color w:val="auto"/>
                <w:w w:val="90"/>
              </w:rPr>
              <w:t xml:space="preserve">(1,487,905) </w:t>
            </w:r>
            <w:r>
              <w:rPr>
                <w:rFonts w:ascii="Arial" w:cs="Arial" w:eastAsia="Arial" w:hAnsi="Arial"/>
                <w:sz w:val="18"/>
                <w:szCs w:val="18"/>
                <w:u w:val="single" w:color="auto"/>
                <w:color w:val="auto"/>
                <w:w w:val="90"/>
              </w:rPr>
              <w:t>$</w:t>
            </w:r>
            <w:r>
              <w:rPr>
                <w:rFonts w:ascii="Arial" w:cs="Arial" w:eastAsia="Arial" w:hAnsi="Arial"/>
                <w:sz w:val="18"/>
                <w:szCs w:val="18"/>
                <w:color w:val="auto"/>
                <w:w w:val="90"/>
              </w:rPr>
              <w:t xml:space="preserve"> (28,807) $</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(692)</w:t>
            </w:r>
          </w:p>
        </w:tc>
        <w:tc>
          <w:tcPr>
            <w:tcW w:w="2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(540)</w:t>
            </w:r>
          </w:p>
        </w:tc>
        <w:tc>
          <w:tcPr>
            <w:tcW w:w="820" w:type="dxa"/>
            <w:vAlign w:val="bottom"/>
          </w:tcPr>
          <w:p>
            <w:pPr>
              <w:jc w:val="right"/>
              <w:spacing w:after="0"/>
              <w:rPr>
                <w:sz w:val="20"/>
                <w:szCs w:val="20"/>
                <w:color w:val="auto"/>
              </w:rPr>
            </w:pPr>
            <w:r>
              <w:rPr>
                <w:rFonts w:ascii="Arial" w:cs="Arial" w:eastAsia="Arial" w:hAnsi="Arial"/>
                <w:sz w:val="18"/>
                <w:szCs w:val="18"/>
                <w:color w:val="auto"/>
                <w:w w:val="84"/>
              </w:rPr>
              <w:t>$ 1,112,489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tcPr>
          <w:p>
            <w:pPr>
              <w:spacing w:after="0"/>
              <w:rPr>
                <w:sz w:val="14"/>
                <w:szCs w:val="14"/>
                <w:color w:val="auto"/>
              </w:rPr>
            </w:pPr>
          </w:p>
        </w:tc>
        <w:tc>
          <w:tcPr>
            <w:tcW w:w="16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61"/>
        </w:trPr>
        <w:tc>
          <w:tcPr>
            <w:tcW w:w="9780" w:type="dxa"/>
            <w:vAlign w:val="bottom"/>
          </w:tcPr>
          <w:p>
            <w:pPr>
              <w:spacing w:after="0"/>
              <w:rPr>
                <w:sz w:val="14"/>
                <w:szCs w:val="14"/>
                <w:color w:val="auto"/>
              </w:rPr>
            </w:pPr>
          </w:p>
        </w:tc>
        <w:tc>
          <w:tcPr>
            <w:tcW w:w="16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7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780" w:type="dxa"/>
            <w:vAlign w:val="bottom"/>
          </w:tcPr>
          <w:p>
            <w:pPr>
              <w:spacing w:after="0"/>
              <w:rPr>
                <w:sz w:val="12"/>
                <w:szCs w:val="12"/>
                <w:color w:val="auto"/>
              </w:rPr>
            </w:pPr>
          </w:p>
        </w:tc>
        <w:tc>
          <w:tcPr>
            <w:tcW w:w="64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2"/>
          </w:tcPr>
          <w:p>
            <w:pPr>
              <w:jc w:val="right"/>
              <w:ind w:right="293"/>
              <w:spacing w:after="0" w:line="142" w:lineRule="exact"/>
              <w:rPr>
                <w:sz w:val="20"/>
                <w:szCs w:val="20"/>
                <w:color w:val="auto"/>
              </w:rPr>
            </w:pPr>
            <w:r>
              <w:rPr>
                <w:rFonts w:ascii="Arial" w:cs="Arial" w:eastAsia="Arial" w:hAnsi="Arial"/>
                <w:sz w:val="14"/>
                <w:szCs w:val="14"/>
                <w:b w:val="1"/>
                <w:bCs w:val="1"/>
                <w:color w:val="auto"/>
                <w:w w:val="71"/>
              </w:rPr>
              <w:t>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$ 29,986</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$ 23,136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 to reconcile net income to net cash provided by operating activities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880"/>
              <w:spacing w:after="0"/>
              <w:rPr>
                <w:sz w:val="20"/>
                <w:szCs w:val="20"/>
                <w:color w:val="auto"/>
              </w:rPr>
            </w:pPr>
            <w:r>
              <w:rPr>
                <w:rFonts w:ascii="Arial" w:cs="Arial" w:eastAsia="Arial" w:hAnsi="Arial"/>
                <w:sz w:val="18"/>
                <w:szCs w:val="18"/>
                <w:color w:val="auto"/>
              </w:rPr>
              <w:t>Depreciation and amortization, including discontinued operations</w:t>
            </w:r>
          </w:p>
        </w:tc>
        <w:tc>
          <w:tcPr>
            <w:tcW w:w="640" w:type="dxa"/>
            <w:vAlign w:val="bottom"/>
          </w:tcPr>
          <w:p>
            <w:pPr>
              <w:jc w:val="right"/>
              <w:spacing w:after="0"/>
              <w:rPr>
                <w:sz w:val="20"/>
                <w:szCs w:val="20"/>
                <w:color w:val="auto"/>
              </w:rPr>
            </w:pPr>
            <w:r>
              <w:rPr>
                <w:rFonts w:ascii="Arial" w:cs="Arial" w:eastAsia="Arial" w:hAnsi="Arial"/>
                <w:sz w:val="18"/>
                <w:szCs w:val="18"/>
                <w:color w:val="auto"/>
              </w:rPr>
              <w:t>25,400</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26,484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 from real estate partnership</w:t>
            </w: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(331)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9780" w:type="dxa"/>
            <w:vAlign w:val="bottom"/>
          </w:tcPr>
          <w:p>
            <w:pPr>
              <w:ind w:left="880"/>
              <w:spacing w:after="0"/>
              <w:rPr>
                <w:sz w:val="20"/>
                <w:szCs w:val="20"/>
                <w:color w:val="auto"/>
              </w:rPr>
            </w:pPr>
            <w:r>
              <w:rPr>
                <w:rFonts w:ascii="Arial" w:cs="Arial" w:eastAsia="Arial" w:hAnsi="Arial"/>
                <w:sz w:val="18"/>
                <w:szCs w:val="18"/>
                <w:color w:val="auto"/>
              </w:rPr>
              <w:t>Minority interests</w:t>
            </w:r>
          </w:p>
        </w:tc>
        <w:tc>
          <w:tcPr>
            <w:tcW w:w="640" w:type="dxa"/>
            <w:vAlign w:val="bottom"/>
          </w:tcPr>
          <w:p>
            <w:pPr>
              <w:jc w:val="right"/>
              <w:spacing w:after="0"/>
              <w:rPr>
                <w:sz w:val="20"/>
                <w:szCs w:val="20"/>
                <w:color w:val="auto"/>
              </w:rPr>
            </w:pPr>
            <w:r>
              <w:rPr>
                <w:rFonts w:ascii="Arial" w:cs="Arial" w:eastAsia="Arial" w:hAnsi="Arial"/>
                <w:sz w:val="18"/>
                <w:szCs w:val="18"/>
                <w:color w:val="auto"/>
              </w:rPr>
              <w:t>1,332</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net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9780" w:type="dxa"/>
            <w:vAlign w:val="bottom"/>
          </w:tcPr>
          <w:p>
            <w:pPr>
              <w:ind w:left="44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accounts receivable</w:t>
            </w: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(1,131)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9780" w:type="dxa"/>
            <w:vAlign w:val="bottom"/>
          </w:tcPr>
          <w:p>
            <w:pPr>
              <w:ind w:left="880"/>
              <w:spacing w:after="0"/>
              <w:rPr>
                <w:sz w:val="20"/>
                <w:szCs w:val="20"/>
                <w:color w:val="auto"/>
              </w:rPr>
            </w:pPr>
            <w:r>
              <w:rPr>
                <w:rFonts w:ascii="Arial" w:cs="Arial" w:eastAsia="Arial" w:hAnsi="Arial"/>
                <w:sz w:val="18"/>
                <w:szCs w:val="18"/>
                <w:color w:val="auto"/>
              </w:rPr>
              <w:t>Decrease in prepaid expenses and other assets</w:t>
            </w:r>
          </w:p>
        </w:tc>
        <w:tc>
          <w:tcPr>
            <w:tcW w:w="640" w:type="dxa"/>
            <w:vAlign w:val="bottom"/>
          </w:tcPr>
          <w:p>
            <w:pPr>
              <w:jc w:val="right"/>
              <w:spacing w:after="0"/>
              <w:rPr>
                <w:sz w:val="20"/>
                <w:szCs w:val="20"/>
                <w:color w:val="auto"/>
              </w:rPr>
            </w:pPr>
            <w:r>
              <w:rPr>
                <w:rFonts w:ascii="Arial" w:cs="Arial" w:eastAsia="Arial" w:hAnsi="Arial"/>
                <w:sz w:val="18"/>
                <w:szCs w:val="18"/>
                <w:color w:val="auto"/>
              </w:rPr>
              <w:t>3,366</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accounts payable and accrued expenses</w:t>
            </w: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(4,618)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780" w:type="dxa"/>
            <w:vAlign w:val="bottom"/>
          </w:tcPr>
          <w:p>
            <w:pPr>
              <w:ind w:left="880"/>
              <w:spacing w:after="0"/>
              <w:rPr>
                <w:sz w:val="20"/>
                <w:szCs w:val="20"/>
                <w:color w:val="auto"/>
              </w:rPr>
            </w:pPr>
            <w:r>
              <w:rPr>
                <w:rFonts w:ascii="Arial" w:cs="Arial" w:eastAsia="Arial" w:hAnsi="Arial"/>
                <w:sz w:val="18"/>
                <w:szCs w:val="18"/>
                <w:color w:val="auto"/>
              </w:rPr>
              <w:t>(Decrease) increase in security deposits and other liabilities</w:t>
            </w:r>
          </w:p>
        </w:tc>
        <w:tc>
          <w:tcPr>
            <w:tcW w:w="920" w:type="dxa"/>
            <w:vAlign w:val="bottom"/>
            <w:gridSpan w:val="2"/>
          </w:tcPr>
          <w:p>
            <w:pPr>
              <w:jc w:val="right"/>
              <w:ind w:right="152"/>
              <w:spacing w:after="0"/>
              <w:rPr>
                <w:sz w:val="20"/>
                <w:szCs w:val="20"/>
                <w:color w:val="auto"/>
              </w:rPr>
            </w:pPr>
            <w:r>
              <w:rPr>
                <w:rFonts w:ascii="Arial" w:cs="Arial" w:eastAsia="Arial" w:hAnsi="Arial"/>
                <w:sz w:val="18"/>
                <w:szCs w:val="18"/>
                <w:color w:val="auto"/>
              </w:rPr>
              <w:t>(1,776)</w:t>
            </w:r>
          </w:p>
        </w:tc>
        <w:tc>
          <w:tcPr>
            <w:tcW w:w="660" w:type="dxa"/>
            <w:vAlign w:val="bottom"/>
          </w:tcPr>
          <w:p>
            <w:pPr>
              <w:jc w:val="right"/>
              <w:spacing w:after="0"/>
              <w:rPr>
                <w:sz w:val="20"/>
                <w:szCs w:val="20"/>
                <w:color w:val="auto"/>
              </w:rPr>
            </w:pPr>
            <w:r>
              <w:rPr>
                <w:rFonts w:ascii="Arial" w:cs="Arial" w:eastAsia="Arial" w:hAnsi="Arial"/>
                <w:sz w:val="18"/>
                <w:szCs w:val="18"/>
                <w:color w:val="auto"/>
              </w:rPr>
              <w:t>1,461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52,420</w:t>
            </w: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INVESTING ACTIVITIES</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 of real estate</w:t>
            </w:r>
          </w:p>
        </w:tc>
        <w:tc>
          <w:tcPr>
            <w:tcW w:w="9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(24,593)</w:t>
            </w:r>
          </w:p>
        </w:tc>
        <w:tc>
          <w:tcPr>
            <w:tcW w:w="0" w:type="dxa"/>
            <w:vAlign w:val="bottom"/>
          </w:tcPr>
          <w:p>
            <w:pPr>
              <w:spacing w:after="0"/>
              <w:rPr>
                <w:sz w:val="1"/>
                <w:szCs w:val="1"/>
                <w:color w:val="auto"/>
              </w:rPr>
            </w:pPr>
          </w:p>
        </w:tc>
      </w:tr>
      <w:tr>
        <w:trPr>
          <w:trHeight w:val="216"/>
        </w:trPr>
        <w:tc>
          <w:tcPr>
            <w:tcW w:w="9780" w:type="dxa"/>
            <w:vAlign w:val="bottom"/>
          </w:tcPr>
          <w:p>
            <w:pPr>
              <w:ind w:left="440"/>
              <w:spacing w:after="0"/>
              <w:rPr>
                <w:sz w:val="20"/>
                <w:szCs w:val="20"/>
                <w:color w:val="auto"/>
              </w:rPr>
            </w:pPr>
            <w:r>
              <w:rPr>
                <w:rFonts w:ascii="Arial" w:cs="Arial" w:eastAsia="Arial" w:hAnsi="Arial"/>
                <w:sz w:val="18"/>
                <w:szCs w:val="18"/>
                <w:color w:val="auto"/>
              </w:rPr>
              <w:t>Capital expenditures—development and redevelopment</w:t>
            </w:r>
          </w:p>
        </w:tc>
        <w:tc>
          <w:tcPr>
            <w:tcW w:w="920" w:type="dxa"/>
            <w:vAlign w:val="bottom"/>
            <w:gridSpan w:val="2"/>
          </w:tcPr>
          <w:p>
            <w:pPr>
              <w:jc w:val="right"/>
              <w:ind w:right="152"/>
              <w:spacing w:after="0"/>
              <w:rPr>
                <w:sz w:val="20"/>
                <w:szCs w:val="20"/>
                <w:color w:val="auto"/>
              </w:rPr>
            </w:pPr>
            <w:r>
              <w:rPr>
                <w:rFonts w:ascii="Arial" w:cs="Arial" w:eastAsia="Arial" w:hAnsi="Arial"/>
                <w:sz w:val="18"/>
                <w:szCs w:val="18"/>
                <w:color w:val="auto"/>
              </w:rPr>
              <w:t>(28,388)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(25,983)</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expenditures—other</w:t>
            </w: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(7,842)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16"/>
        </w:trPr>
        <w:tc>
          <w:tcPr>
            <w:tcW w:w="9780" w:type="dxa"/>
            <w:vAlign w:val="bottom"/>
          </w:tcPr>
          <w:p>
            <w:pPr>
              <w:ind w:left="440"/>
              <w:spacing w:after="0"/>
              <w:rPr>
                <w:sz w:val="20"/>
                <w:szCs w:val="20"/>
                <w:color w:val="auto"/>
              </w:rPr>
            </w:pPr>
            <w:r>
              <w:rPr>
                <w:rFonts w:ascii="Arial" w:cs="Arial" w:eastAsia="Arial" w:hAnsi="Arial"/>
                <w:sz w:val="18"/>
                <w:szCs w:val="18"/>
                <w:color w:val="auto"/>
              </w:rPr>
              <w:t>Investment in real estate partnership</w:t>
            </w:r>
          </w:p>
        </w:tc>
        <w:tc>
          <w:tcPr>
            <w:tcW w:w="92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(21,628)</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Distribution from real estate partnership in excess of earnings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440"/>
              <w:spacing w:after="0"/>
              <w:rPr>
                <w:sz w:val="20"/>
                <w:szCs w:val="20"/>
                <w:color w:val="auto"/>
              </w:rPr>
            </w:pPr>
            <w:r>
              <w:rPr>
                <w:rFonts w:ascii="Arial" w:cs="Arial" w:eastAsia="Arial" w:hAnsi="Arial"/>
                <w:sz w:val="18"/>
                <w:szCs w:val="18"/>
                <w:color w:val="auto"/>
              </w:rPr>
              <w:t>Leasing costs</w:t>
            </w:r>
          </w:p>
        </w:tc>
        <w:tc>
          <w:tcPr>
            <w:tcW w:w="920" w:type="dxa"/>
            <w:vAlign w:val="bottom"/>
            <w:gridSpan w:val="2"/>
          </w:tcPr>
          <w:p>
            <w:pPr>
              <w:jc w:val="right"/>
              <w:ind w:right="152"/>
              <w:spacing w:after="0"/>
              <w:rPr>
                <w:sz w:val="20"/>
                <w:szCs w:val="20"/>
                <w:color w:val="auto"/>
              </w:rPr>
            </w:pPr>
            <w:r>
              <w:rPr>
                <w:rFonts w:ascii="Arial" w:cs="Arial" w:eastAsia="Arial" w:hAnsi="Arial"/>
                <w:sz w:val="18"/>
                <w:szCs w:val="18"/>
                <w:color w:val="auto"/>
              </w:rPr>
              <w:t>(1,996)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repayment of mortgage and other notes receivable, net</w:t>
            </w: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(684)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80" w:type="dxa"/>
            <w:vAlign w:val="bottom"/>
            <w:vMerge w:val="restart"/>
          </w:tcPr>
          <w:p>
            <w:pPr>
              <w:ind w:left="440"/>
              <w:spacing w:after="0"/>
              <w:rPr>
                <w:sz w:val="20"/>
                <w:szCs w:val="20"/>
                <w:color w:val="auto"/>
              </w:rPr>
            </w:pPr>
            <w:r>
              <w:rPr>
                <w:rFonts w:ascii="Arial" w:cs="Arial" w:eastAsia="Arial" w:hAnsi="Arial"/>
                <w:sz w:val="18"/>
                <w:szCs w:val="18"/>
                <w:color w:val="auto"/>
              </w:rPr>
              <w:t>Net cash used in investing activities</w:t>
            </w: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780" w:type="dxa"/>
            <w:vAlign w:val="bottom"/>
            <w:vMerge w:val="continue"/>
          </w:tcPr>
          <w:p>
            <w:pPr>
              <w:spacing w:after="0"/>
              <w:rPr>
                <w:sz w:val="19"/>
                <w:szCs w:val="19"/>
                <w:color w:val="auto"/>
              </w:rPr>
            </w:pPr>
          </w:p>
        </w:tc>
        <w:tc>
          <w:tcPr>
            <w:tcW w:w="920" w:type="dxa"/>
            <w:vAlign w:val="bottom"/>
            <w:gridSpan w:val="2"/>
          </w:tcPr>
          <w:p>
            <w:pPr>
              <w:jc w:val="right"/>
              <w:ind w:right="152"/>
              <w:spacing w:after="0"/>
              <w:rPr>
                <w:sz w:val="20"/>
                <w:szCs w:val="20"/>
                <w:color w:val="auto"/>
              </w:rPr>
            </w:pPr>
            <w:r>
              <w:rPr>
                <w:rFonts w:ascii="Arial" w:cs="Arial" w:eastAsia="Arial" w:hAnsi="Arial"/>
                <w:sz w:val="18"/>
                <w:szCs w:val="18"/>
                <w:color w:val="auto"/>
              </w:rPr>
              <w:t>(38,815)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(78,594)</w:t>
            </w:r>
          </w:p>
        </w:tc>
        <w:tc>
          <w:tcPr>
            <w:tcW w:w="0" w:type="dxa"/>
            <w:vAlign w:val="bottom"/>
          </w:tcPr>
          <w:p>
            <w:pPr>
              <w:spacing w:after="0"/>
              <w:rPr>
                <w:sz w:val="1"/>
                <w:szCs w:val="1"/>
                <w:color w:val="auto"/>
              </w:rPr>
            </w:pPr>
          </w:p>
        </w:tc>
      </w:tr>
      <w:tr>
        <w:trPr>
          <w:trHeight w:val="218"/>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440"/>
              <w:spacing w:after="0"/>
              <w:rPr>
                <w:sz w:val="20"/>
                <w:szCs w:val="20"/>
                <w:color w:val="auto"/>
              </w:rPr>
            </w:pPr>
            <w:r>
              <w:rPr>
                <w:rFonts w:ascii="Arial" w:cs="Arial" w:eastAsia="Arial" w:hAnsi="Arial"/>
                <w:sz w:val="18"/>
                <w:szCs w:val="18"/>
                <w:color w:val="auto"/>
              </w:rPr>
              <w:t>Net borrowings under revolving credit facility, net of costs</w:t>
            </w:r>
          </w:p>
        </w:tc>
        <w:tc>
          <w:tcPr>
            <w:tcW w:w="92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 of mortgages, capital leases and notes payable</w:t>
            </w: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(2,039)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16"/>
        </w:trPr>
        <w:tc>
          <w:tcPr>
            <w:tcW w:w="9780" w:type="dxa"/>
            <w:vAlign w:val="bottom"/>
          </w:tcPr>
          <w:p>
            <w:pPr>
              <w:ind w:left="440"/>
              <w:spacing w:after="0"/>
              <w:rPr>
                <w:sz w:val="20"/>
                <w:szCs w:val="20"/>
                <w:color w:val="auto"/>
              </w:rPr>
            </w:pPr>
            <w:r>
              <w:rPr>
                <w:rFonts w:ascii="Arial" w:cs="Arial" w:eastAsia="Arial" w:hAnsi="Arial"/>
                <w:sz w:val="18"/>
                <w:szCs w:val="18"/>
                <w:color w:val="auto"/>
              </w:rPr>
              <w:t>Issuance of common shares</w:t>
            </w:r>
          </w:p>
        </w:tc>
        <w:tc>
          <w:tcPr>
            <w:tcW w:w="640" w:type="dxa"/>
            <w:vAlign w:val="bottom"/>
          </w:tcPr>
          <w:p>
            <w:pPr>
              <w:jc w:val="right"/>
              <w:spacing w:after="0"/>
              <w:rPr>
                <w:sz w:val="20"/>
                <w:szCs w:val="20"/>
                <w:color w:val="auto"/>
              </w:rPr>
            </w:pPr>
            <w:r>
              <w:rPr>
                <w:rFonts w:ascii="Arial" w:cs="Arial" w:eastAsia="Arial" w:hAnsi="Arial"/>
                <w:sz w:val="18"/>
                <w:szCs w:val="18"/>
                <w:color w:val="auto"/>
              </w:rPr>
              <w:t>2,228</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 paid to common and preferred shareholders</w:t>
            </w: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(35,909)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(31,810)</w:t>
            </w:r>
          </w:p>
        </w:tc>
        <w:tc>
          <w:tcPr>
            <w:tcW w:w="0" w:type="dxa"/>
            <w:vAlign w:val="bottom"/>
          </w:tcPr>
          <w:p>
            <w:pPr>
              <w:spacing w:after="0"/>
              <w:rPr>
                <w:sz w:val="1"/>
                <w:szCs w:val="1"/>
                <w:color w:val="auto"/>
              </w:rPr>
            </w:pPr>
          </w:p>
        </w:tc>
      </w:tr>
      <w:tr>
        <w:trPr>
          <w:trHeight w:val="216"/>
        </w:trPr>
        <w:tc>
          <w:tcPr>
            <w:tcW w:w="9780" w:type="dxa"/>
            <w:vAlign w:val="bottom"/>
          </w:tcPr>
          <w:p>
            <w:pPr>
              <w:ind w:left="440"/>
              <w:spacing w:after="0"/>
              <w:rPr>
                <w:sz w:val="20"/>
                <w:szCs w:val="20"/>
                <w:color w:val="auto"/>
              </w:rPr>
            </w:pPr>
            <w:r>
              <w:rPr>
                <w:rFonts w:ascii="Arial" w:cs="Arial" w:eastAsia="Arial" w:hAnsi="Arial"/>
                <w:sz w:val="18"/>
                <w:szCs w:val="18"/>
                <w:color w:val="auto"/>
              </w:rPr>
              <w:t>Distributions to minority interests</w:t>
            </w:r>
          </w:p>
        </w:tc>
        <w:tc>
          <w:tcPr>
            <w:tcW w:w="920" w:type="dxa"/>
            <w:vAlign w:val="bottom"/>
            <w:gridSpan w:val="2"/>
          </w:tcPr>
          <w:p>
            <w:pPr>
              <w:jc w:val="right"/>
              <w:ind w:right="152"/>
              <w:spacing w:after="0"/>
              <w:rPr>
                <w:sz w:val="20"/>
                <w:szCs w:val="20"/>
                <w:color w:val="auto"/>
              </w:rPr>
            </w:pPr>
            <w:r>
              <w:rPr>
                <w:rFonts w:ascii="Arial" w:cs="Arial" w:eastAsia="Arial" w:hAnsi="Arial"/>
                <w:sz w:val="18"/>
                <w:szCs w:val="18"/>
                <w:color w:val="auto"/>
              </w:rPr>
              <w:t>(922)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7"/>
        </w:trPr>
        <w:tc>
          <w:tcPr>
            <w:tcW w:w="97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provided by financing activities</w:t>
            </w: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(36,642)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80" w:type="dxa"/>
            <w:vAlign w:val="bottom"/>
            <w:vMerge w:val="restart"/>
          </w:tcPr>
          <w:p>
            <w:pPr>
              <w:spacing w:after="0"/>
              <w:rPr>
                <w:sz w:val="20"/>
                <w:szCs w:val="20"/>
                <w:color w:val="auto"/>
              </w:rPr>
            </w:pPr>
            <w:r>
              <w:rPr>
                <w:rFonts w:ascii="Arial" w:cs="Arial" w:eastAsia="Arial" w:hAnsi="Arial"/>
                <w:sz w:val="18"/>
                <w:szCs w:val="18"/>
                <w:color w:val="auto"/>
              </w:rPr>
              <w:t>(Decrease) increase in cash and cash equivalents</w:t>
            </w: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780" w:type="dxa"/>
            <w:vAlign w:val="bottom"/>
            <w:vMerge w:val="continue"/>
          </w:tcPr>
          <w:p>
            <w:pPr>
              <w:spacing w:after="0"/>
              <w:rPr>
                <w:sz w:val="19"/>
                <w:szCs w:val="19"/>
                <w:color w:val="auto"/>
              </w:rPr>
            </w:pPr>
          </w:p>
        </w:tc>
        <w:tc>
          <w:tcPr>
            <w:tcW w:w="920" w:type="dxa"/>
            <w:vAlign w:val="bottom"/>
            <w:gridSpan w:val="2"/>
          </w:tcPr>
          <w:p>
            <w:pPr>
              <w:jc w:val="right"/>
              <w:ind w:right="152"/>
              <w:spacing w:after="0"/>
              <w:rPr>
                <w:sz w:val="20"/>
                <w:szCs w:val="20"/>
                <w:color w:val="auto"/>
              </w:rPr>
            </w:pPr>
            <w:r>
              <w:rPr>
                <w:rFonts w:ascii="Arial" w:cs="Arial" w:eastAsia="Arial" w:hAnsi="Arial"/>
                <w:sz w:val="18"/>
                <w:szCs w:val="18"/>
                <w:color w:val="auto"/>
              </w:rPr>
              <w:t>(23,037)</w:t>
            </w:r>
          </w:p>
        </w:tc>
        <w:tc>
          <w:tcPr>
            <w:tcW w:w="660" w:type="dxa"/>
            <w:vAlign w:val="bottom"/>
          </w:tcPr>
          <w:p>
            <w:pPr>
              <w:jc w:val="right"/>
              <w:spacing w:after="0"/>
              <w:rPr>
                <w:sz w:val="20"/>
                <w:szCs w:val="20"/>
                <w:color w:val="auto"/>
              </w:rPr>
            </w:pPr>
            <w:r>
              <w:rPr>
                <w:rFonts w:ascii="Arial" w:cs="Arial" w:eastAsia="Arial" w:hAnsi="Arial"/>
                <w:sz w:val="18"/>
                <w:szCs w:val="18"/>
                <w:color w:val="auto"/>
              </w:rPr>
              <w:t>4,492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50,691</w:t>
            </w:r>
          </w:p>
        </w:tc>
        <w:tc>
          <w:tcPr>
            <w:tcW w:w="2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$ 27,654</w:t>
            </w: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$ 15,987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Organization</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Federal Realty Investment Trust (the “Trust”) is an equity real estate investment trust specializing in the ownership, management, development and redevelopment of retail and mixed-use properties. Our properties are located primarily in densely populated and affluent communities in strategically selected metropolitan markets in the Mid-Atlantic and Northeast regions of the United States, as well as in California. As of March 31, 2008, we owned or had a majority interest in community and neighborhood shopping centers and mixed-use properties which are operated as 82 predominantly retail real estate projects.</w:t>
      </w:r>
    </w:p>
    <w:p>
      <w:pPr>
        <w:spacing w:after="0" w:line="113"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We operate in a manner intended to enable us to qualify as a real estate investment trust (or REIT) for federal income tax purposes. A REIT that distributes at least 90% of its REIT taxable income to its shareholders each year and meets certain other conditions is not taxed on that portion of its taxable income which is distributed to its shareholders. Therefore, federal income taxes on our REIT taxable income have been and are generally expected to be immaterial. We are obligated to pay state taxes, generally consisting of franchise or gross receipts taxes in certain states. Such state taxes also have not been material.</w:t>
      </w:r>
    </w:p>
    <w:p>
      <w:pPr>
        <w:spacing w:after="0" w:line="11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have elected to treat certain of our subsidiaries as taxable REIT subsidiaries, which we refer to as a TRS. In general, a TRS may engage in any real estate business and certain non-real estate businesses, subject to certain limitations under the Internal Revenue Code of 1986, as amended (the “Code”). A TRS is subject to federal and state income taxes. The sales of condominiums at Santana Row, which occurred between August 2005 and August 2006, and the sales of Bath Shopping Center, Key Road Plaza and Riverside Plaza in 2007 were conducted through a TRS. Other than these sales, our TRS activities have not been material.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consolidated financial statements include the accounts of the Trust, its corporate subsidiaries, and all entities in which the Trust has a controlling interest or has been determined to be the primary beneficiary of a variable interest entity. The equity interests of other investors are reflected as minority interests. All significant intercompany transactions and balances are eliminated in consolidation. We account for our interests in joint ventures, which we do not control or manage, using the equity method of accounting. Certain amounts in the 2007 consolidated financial statements have been reclassified to conform to current period presentation.</w:t>
      </w:r>
    </w:p>
    <w:p>
      <w:pPr>
        <w:spacing w:after="0" w:line="1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7"/>
              </w:rPr>
              <w:t>Three Months Ended March 31,</w:t>
            </w: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ind w:left="500"/>
              <w:spacing w:after="0" w:line="142" w:lineRule="exact"/>
              <w:rPr>
                <w:sz w:val="20"/>
                <w:szCs w:val="20"/>
                <w:color w:val="auto"/>
              </w:rPr>
            </w:pPr>
            <w:r>
              <w:rPr>
                <w:rFonts w:ascii="Arial" w:cs="Arial" w:eastAsia="Arial" w:hAnsi="Arial"/>
                <w:sz w:val="14"/>
                <w:szCs w:val="14"/>
                <w:b w:val="1"/>
                <w:bCs w:val="1"/>
                <w:color w:val="auto"/>
              </w:rPr>
              <w:t>(In</w:t>
            </w: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6"/>
              </w:rPr>
              <w:t>thousands)</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Total interest costs incurred</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52"/>
              <w:spacing w:after="0"/>
              <w:rPr>
                <w:sz w:val="20"/>
                <w:szCs w:val="20"/>
                <w:color w:val="auto"/>
              </w:rPr>
            </w:pPr>
            <w:r>
              <w:rPr>
                <w:rFonts w:ascii="Arial" w:cs="Arial" w:eastAsia="Arial" w:hAnsi="Arial"/>
                <w:sz w:val="18"/>
                <w:szCs w:val="18"/>
                <w:color w:val="auto"/>
              </w:rPr>
              <w:t>26,143</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31,416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capitalized</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(1,790)</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Interest expense related to discontinued operations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expense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24,353</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ind w:left="440"/>
              <w:spacing w:after="0"/>
              <w:rPr>
                <w:sz w:val="20"/>
                <w:szCs w:val="20"/>
                <w:color w:val="auto"/>
              </w:rPr>
            </w:pPr>
            <w:r>
              <w:rPr>
                <w:rFonts w:ascii="Arial" w:cs="Arial" w:eastAsia="Arial" w:hAnsi="Arial"/>
                <w:sz w:val="18"/>
                <w:szCs w:val="18"/>
                <w:color w:val="auto"/>
              </w:rPr>
              <w:t>Cash paid for interest, net of amounts capitalized</w:t>
            </w: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80" w:type="dxa"/>
            <w:vAlign w:val="bottom"/>
            <w:vMerge w:val="continue"/>
          </w:tcPr>
          <w:p>
            <w:pPr>
              <w:spacing w:after="0"/>
              <w:rPr>
                <w:sz w:val="18"/>
                <w:szCs w:val="18"/>
                <w:color w:val="auto"/>
              </w:rPr>
            </w:pP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52"/>
              <w:spacing w:after="0"/>
              <w:rPr>
                <w:sz w:val="20"/>
                <w:szCs w:val="20"/>
                <w:color w:val="auto"/>
              </w:rPr>
            </w:pPr>
            <w:r>
              <w:rPr>
                <w:rFonts w:ascii="Arial" w:cs="Arial" w:eastAsia="Arial" w:hAnsi="Arial"/>
                <w:sz w:val="18"/>
                <w:szCs w:val="18"/>
                <w:color w:val="auto"/>
              </w:rPr>
              <w:t>24,027</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23,863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for income taxes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NON-CASH FINANCING AND INVESTING TRANSACTIONS:</w:t>
            </w: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8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valuation of interest rate swap</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(540)</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Mortgage loans assumed with acquisition</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73,979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shares issued with acquisition</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Preferred shares issued with acquisition</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9,997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DownREIT operating partnership units issued with acquisition</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September 2006, the FASB issued SFAS No. 157 “Fair Value Measurements” (“SFAS No. 157”). SFAS No. 157 defines fair value, establishes a framework for measuring fair value in generally accepted accounting principles, and expands disclosures about fair value measurements. SFAS No. 157 applies to accounting pronouncements that require or permit fair value measurements, except for share-based payments under SFAS No. 123(R). We adopted the recognition and disclosure provisions of SFAS No. 157 for financial assets and financial liabilities and for nonfinancial assets and nonfinancial liabilities that are re-measured at least annually effective January 1, 2008; the adoption did not have a material impact on our financial position, results of operations or cash flows. We are required to adopt the provisions of SFAS No. 157 for all other nonfinancial assets and nonfinancial liabilities effective January 1, 2009 and do not expect the adoption to have a material impact on our financial position, results of operations or cash flows.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SFAS 157 establishes a hierarchy for inputs used in measuring fair value as follows:</w:t>
      </w:r>
    </w:p>
    <w:p>
      <w:pPr>
        <w:spacing w:after="0" w:line="90"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Inputs – quoted prices in active markets for identical assets or liabilities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Inputs – observable inputs other than quoted prices in active markets for identical assets and liabilities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Inputs – unobservable inputs</w:t>
      </w:r>
    </w:p>
    <w:p>
      <w:pPr>
        <w:spacing w:after="0" w:line="16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for disclosure purposes, the level within which the fair value measurement is categorized is based on the lowest level input that is significant to the fair value measurement. Our derivative instruments, as further discussed in Note D, are measured using Level 2 inputs.</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Including an Amendment of FASB Statement No. 115” (“SFAS No. 159”). This standard permits entities to choose to measure many financial instruments and certain other items at fair value and is effective for the first fiscal year beginning after November 15, 2007. We did not make this fair value election when we adopted SFAS No. 159 effective January 1, 2008, and, therefore, it did not have an impact on our financial position, results of operations, or cash flows.</w:t>
      </w:r>
    </w:p>
    <w:p>
      <w:pPr>
        <w:spacing w:after="0" w:line="11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March 2008, the FASB issued SFAS No. 161, “Disclosures about Derivative Instruments and Hedging Activities, an amendment of FASB Statement No. 133” (“SFAS No. 161”). SFAS No. 161 requires enhanced disclosures about an entity’s derivative instruments and hedging activities and is effective for fiscal years beginning after November 15, 2008. We do not expect the adoption of SFAS No. 161 to have a material impact on our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B—REAL ESTATE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2008, we had no acquisitions or dispositions.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The revenues from all properties included in discontinued operations were $0 and $7.7 million for the three months ended March 31, 2008 and 2007, respectively.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C—REAL ESTATE PARTNERSHIP</w:t>
      </w:r>
    </w:p>
    <w:p>
      <w:pPr>
        <w:spacing w:after="0" w:line="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have a joint venture arrangement (“the Partnership”) with affiliates of a discretionary fund created and advised by ING Clarion (“Clarion”). We own 30% of the equity in the Partnership, and Clarion owns 70%. We are the manager of the Partnership and its properties, earning fees for acquisitions, dispositions, management, leasing, and financing. We also have the opportunity to receive performance-based earnings through our Partnership interest. We account for our interest in the Partnership using the equity method.</w:t>
      </w:r>
    </w:p>
    <w:p>
      <w:pPr>
        <w:sectPr>
          <w:pgSz w:w="11900" w:h="16838" w:orient="portrait"/>
          <w:cols w:equalWidth="0" w:num="1">
            <w:col w:w="11420"/>
          </w:cols>
          <w:pgMar w:left="240" w:top="459" w:right="239"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summarized operating results and the financial position of the Partnership: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0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w w:val="92"/>
              </w:rPr>
              <w:t>Three Months Ended</w:t>
            </w:r>
          </w:p>
        </w:tc>
      </w:t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89"/>
              </w:rPr>
              <w:t>2008</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38"/>
              <w:spacing w:after="0" w:line="142" w:lineRule="exact"/>
              <w:rPr>
                <w:sz w:val="20"/>
                <w:szCs w:val="20"/>
                <w:color w:val="auto"/>
              </w:rPr>
            </w:pPr>
            <w:r>
              <w:rPr>
                <w:rFonts w:ascii="Arial" w:cs="Arial" w:eastAsia="Arial" w:hAnsi="Arial"/>
                <w:sz w:val="14"/>
                <w:szCs w:val="14"/>
                <w:b w:val="1"/>
                <w:bCs w:val="1"/>
                <w:color w:val="auto"/>
              </w:rPr>
              <w:t>(In</w:t>
            </w:r>
          </w:p>
        </w:tc>
        <w:tc>
          <w:tcPr>
            <w:tcW w:w="820" w:type="dxa"/>
            <w:vAlign w:val="bottom"/>
            <w:gridSpan w:val="3"/>
          </w:tcPr>
          <w:p>
            <w:pPr>
              <w:jc w:val="center"/>
              <w:ind w:right="195"/>
              <w:spacing w:after="0" w:line="142" w:lineRule="exact"/>
              <w:rPr>
                <w:sz w:val="20"/>
                <w:szCs w:val="20"/>
                <w:color w:val="auto"/>
              </w:rPr>
            </w:pPr>
            <w:r>
              <w:rPr>
                <w:rFonts w:ascii="Arial" w:cs="Arial" w:eastAsia="Arial" w:hAnsi="Arial"/>
                <w:sz w:val="14"/>
                <w:szCs w:val="14"/>
                <w:b w:val="1"/>
                <w:bCs w:val="1"/>
                <w:color w:val="auto"/>
                <w:w w:val="71"/>
              </w:rPr>
              <w:t>thousands)</w:t>
            </w: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OPERATING RESULTS</w:t>
            </w:r>
          </w:p>
        </w:tc>
        <w:tc>
          <w:tcPr>
            <w:tcW w:w="3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Revenue</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4,680</w:t>
            </w:r>
          </w:p>
        </w:tc>
        <w:tc>
          <w:tcPr>
            <w:tcW w:w="360" w:type="dxa"/>
            <w:vAlign w:val="bottom"/>
            <w:gridSpan w:val="2"/>
          </w:tcPr>
          <w:p>
            <w:pPr>
              <w:jc w:val="center"/>
              <w:ind w:left="97"/>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3,531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Other operating expenses</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1,339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1,185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3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1,135</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1,074</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3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3,659</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2,954</w:t>
            </w:r>
          </w:p>
        </w:tc>
        <w:tc>
          <w:tcPr>
            <w:tcW w:w="20" w:type="dxa"/>
            <w:vAlign w:val="bottom"/>
          </w:tcPr>
          <w:p>
            <w:pPr>
              <w:spacing w:after="0"/>
              <w:rPr>
                <w:sz w:val="18"/>
                <w:szCs w:val="18"/>
                <w:color w:val="auto"/>
              </w:rPr>
            </w:pPr>
          </w:p>
        </w:tc>
      </w:tr>
      <w:tr>
        <w:trPr>
          <w:trHeight w:val="222"/>
        </w:trPr>
        <w:tc>
          <w:tcPr>
            <w:tcW w:w="6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1,021</w:t>
            </w:r>
          </w:p>
        </w:tc>
        <w:tc>
          <w:tcPr>
            <w:tcW w:w="360" w:type="dxa"/>
            <w:vAlign w:val="bottom"/>
            <w:gridSpan w:val="2"/>
          </w:tcPr>
          <w:p>
            <w:pPr>
              <w:jc w:val="center"/>
              <w:ind w:left="97"/>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577</w:t>
            </w: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Our share of net income from real estate partnership</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360" w:type="dxa"/>
            <w:vAlign w:val="bottom"/>
            <w:gridSpan w:val="2"/>
            <w:shd w:val="clear" w:color="auto" w:fill="CCEEFF"/>
          </w:tcPr>
          <w:p>
            <w:pPr>
              <w:jc w:val="center"/>
              <w:ind w:left="97"/>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0" w:type="dxa"/>
            <w:vAlign w:val="bottom"/>
            <w:gridSpan w:val="3"/>
          </w:tcPr>
          <w:p>
            <w:pPr>
              <w:jc w:val="center"/>
              <w:ind w:right="272"/>
              <w:spacing w:after="0"/>
              <w:rPr>
                <w:sz w:val="20"/>
                <w:szCs w:val="20"/>
                <w:color w:val="auto"/>
              </w:rPr>
            </w:pPr>
            <w:r>
              <w:rPr>
                <w:rFonts w:ascii="Arial" w:cs="Arial" w:eastAsia="Arial" w:hAnsi="Arial"/>
                <w:sz w:val="14"/>
                <w:szCs w:val="14"/>
                <w:b w:val="1"/>
                <w:bCs w:val="1"/>
                <w:color w:val="auto"/>
                <w:w w:val="89"/>
              </w:rPr>
              <w:t>March 31,</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63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400"/>
              <w:spacing w:after="0" w:line="142" w:lineRule="exact"/>
              <w:rPr>
                <w:sz w:val="20"/>
                <w:szCs w:val="20"/>
                <w:color w:val="auto"/>
              </w:rPr>
            </w:pPr>
            <w:r>
              <w:rPr>
                <w:rFonts w:ascii="Arial" w:cs="Arial" w:eastAsia="Arial" w:hAnsi="Arial"/>
                <w:sz w:val="14"/>
                <w:szCs w:val="14"/>
                <w:b w:val="1"/>
                <w:bCs w:val="1"/>
                <w:color w:val="auto"/>
                <w:w w:val="93"/>
              </w:rPr>
              <w:t>(In</w:t>
            </w:r>
          </w:p>
        </w:tc>
        <w:tc>
          <w:tcPr>
            <w:tcW w:w="1140" w:type="dxa"/>
            <w:vAlign w:val="bottom"/>
            <w:gridSpan w:val="3"/>
          </w:tcPr>
          <w:p>
            <w:pPr>
              <w:jc w:val="right"/>
              <w:ind w:right="394"/>
              <w:spacing w:after="0" w:line="142" w:lineRule="exact"/>
              <w:rPr>
                <w:sz w:val="20"/>
                <w:szCs w:val="20"/>
                <w:color w:val="auto"/>
              </w:rPr>
            </w:pPr>
            <w:r>
              <w:rPr>
                <w:rFonts w:ascii="Arial" w:cs="Arial" w:eastAsia="Arial" w:hAnsi="Arial"/>
                <w:sz w:val="14"/>
                <w:szCs w:val="14"/>
                <w:b w:val="1"/>
                <w:bCs w:val="1"/>
                <w:color w:val="auto"/>
                <w:w w:val="84"/>
              </w:rPr>
              <w:t>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BALANCE SHEETS</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Real estate, net</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w w:val="86"/>
              </w:rPr>
              <w:t>190,747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191,747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1,869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Other assets</w:t>
            </w: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rPr>
              <w:t>6,813</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6"/>
              </w:rPr>
              <w:t>199,429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200,373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color w:val="auto"/>
              </w:rPr>
              <w:t>Mortgages payable</w:t>
            </w:r>
          </w:p>
        </w:tc>
        <w:tc>
          <w:tcPr>
            <w:tcW w:w="3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00" w:type="dxa"/>
            <w:vAlign w:val="bottom"/>
            <w:vMerge w:val="continue"/>
          </w:tcPr>
          <w:p>
            <w:pPr>
              <w:spacing w:after="0"/>
              <w:rPr>
                <w:sz w:val="18"/>
                <w:szCs w:val="18"/>
                <w:color w:val="auto"/>
              </w:rPr>
            </w:pP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rPr>
              <w:t>81,497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81,540</w:t>
            </w:r>
          </w:p>
        </w:tc>
        <w:tc>
          <w:tcPr>
            <w:tcW w:w="0" w:type="dxa"/>
            <w:vAlign w:val="bottom"/>
          </w:tcPr>
          <w:p>
            <w:pPr>
              <w:spacing w:after="0"/>
              <w:rPr>
                <w:sz w:val="1"/>
                <w:szCs w:val="1"/>
                <w:color w:val="auto"/>
              </w:rPr>
            </w:pPr>
          </w:p>
        </w:tc>
      </w:tr>
      <w:tr>
        <w:trPr>
          <w:trHeight w:val="218"/>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7,963</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Partners’ capital</w:t>
            </w: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w w:val="86"/>
              </w:rPr>
              <w:t>109,969</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partners’ capital</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6"/>
              </w:rPr>
              <w:t>199,429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200,373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color w:val="auto"/>
              </w:rPr>
              <w:t>Our share of unconsolidated debt</w:t>
            </w:r>
          </w:p>
        </w:tc>
        <w:tc>
          <w:tcPr>
            <w:tcW w:w="3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00" w:type="dxa"/>
            <w:vAlign w:val="bottom"/>
            <w:vMerge w:val="continue"/>
          </w:tcPr>
          <w:p>
            <w:pPr>
              <w:spacing w:after="0"/>
              <w:rPr>
                <w:sz w:val="18"/>
                <w:szCs w:val="18"/>
                <w:color w:val="auto"/>
              </w:rPr>
            </w:pP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rPr>
              <w:t>24,449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24,462</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Our investment in real estate partnership</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29,551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D—DEBT</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under SFAS No. 133, “Accounting for Derivative Instruments and Hedging Activities” and do not enter into derivative instruments for speculative purposes.</w:t>
      </w:r>
    </w:p>
    <w:p>
      <w:pPr>
        <w:spacing w:after="0" w:line="14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On February 21, 2008, we entered into two interest rate swap agreements to fix the variable portion of our $200 million term note through November 6, 2008. The first swap fixed the variable rate at 2.725% on a notional amount of $100 million and the second swap fixed the variable rate at 2.852% on a notional amount of $100 million for a combined fixed rate of 2.789%. Both swaps were designated and qualified as cash flow hedges and are recorded at fair value.</w:t>
      </w:r>
    </w:p>
    <w:p>
      <w:pPr>
        <w:spacing w:after="0" w:line="10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assess effectiveness of our cash flow hedges both at inception and on an ongoing basis. The effective portion of changes in fair value of our cash flow hedges is recorded in other comprehensive income, and the ineffective portion of changes in the fair value of our cash flow hedges is recognized in earnings in the period affected. Hedge ineffectiveness did not have an impact on earnings for the three months ended March 31, 2008. The change in fair value of these swaps from inception through March 31, 2008 is a liability of $0.5 million, which is included in accounts payable and accrued expenses on the balance sheet and accumulated other comprehensive loss in the statement of shareholders’ equity. The fair value of the interest rate swap agreements are based upon the estimated amounts we would receive or pay to terminate the contracts at the reporting date and are determined using interest rate market pricing models and observable inputs. Amounts reported in accumulated other comprehensive loss will be reclassified to interest expense as interest payments are made on the variable rate debt through the termination date of November 6, 2008.</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During the three months ended March 31, 2008, the maximum amount of borrowings outstanding under our $300 million revolving credit facility was $7.0 million. The weighted average amount of borrowings outstanding was $0.8 million for the three months ended March 31, 2008. Our revolving credit facility had a weighted average interest rate, before amortization of debt fees, of 4.44% for the three months ended March 31, 2008.</w:t>
      </w:r>
    </w:p>
    <w:p>
      <w:pPr>
        <w:spacing w:after="0" w:line="107"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Our credit facility and certain notes require us to comply with various financial covenants, including the maintenance of minimum shareholder’s equity and debt coverage ratios and a maximum ratio of debt to net worth. As of March 31, 2008, we were in compliance with all loan covenants.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E—COMMITMENTS AND CONTINGENCIES</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are currently a party to various legal proceedings. Other than as described below,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have a litigation matter filed against us in May 2003 which alleges that a one page document entitled “Final Proposal,” which included language that it was subject to approval of formal documentation, constituted a ground lease of a parcel of property located adjacent to our Santana Row property and gave the plaintiff the option to require that we acquire the property at a price determined in accordance with a formula included in the “Final Proposal.” A trial as to liability only was held in June 2006 and a jury rendered a verdict against us. A trial on the issue of damages was held in April 2008; however, the judge has not yet issued a ruling. Reports from our experts and the plaintiff’s experts show potential damages ranging from $600,000 to $24 million. Pending the judge’s ruling, we cannot make a reasonable estimate of potential damages. We intend to appeal the jury verdict; however, no appeal of the judgment can be taken until the judge issues his ruling on damages. If we are not successful in overturning the jury verdict, we will be liable for damages. Depending on the amount of damages awarded, it is possible there could be a material adverse impact on our net income in the period in which it becomes both probable that we will have to pay the damages and such damages can be reasonably estimated. In any event, management does not believe it will have a material impact on our financial position.</w:t>
      </w:r>
    </w:p>
    <w:p>
      <w:pPr>
        <w:spacing w:after="0" w:line="12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are also involved in a litigation matter relating to a shopping center in New Jersey where a former tenant has alleged that we and our management agent acted improperly by failing to disclose a condemnation action at the property that was pending when the lease was signed. A trial as to liability only has been concluded and post-trial briefs have been filed, but no decision has been rendered. One of the plaintiffs in the matter has filed for bankruptcy protection and as a result, the judge in our case has stayed further proceedings in the case. If we are found liable once the stay has been lifted, a trial will be held to determine the amount of damages. Based on the information available to us, we believe there is a reasonable possibility that we will be found liable. If a verdict is rendered against us, we may seek indemnification from the third party management company that negotiated the lease on our behalf. We cannot assess with any certainty at this time the potential damages for which we would be liable if a verdict is rendered against us or the potential amounts we might recover against the third party management company; however, if a verdict is rendered against us, there may be a material adverse impact on our net income in the period in which it becomes both probable that we will have to pay the damages and such damages can be reasonably estimated. In any event, management does not believe it will have a material impact on our financial position.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F—SHAREHOLDERS’ EQUITY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87"/>
              </w:rPr>
              <w:t>Three Months Ended March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40" w:type="dxa"/>
            <w:vAlign w:val="bottom"/>
            <w:tcBorders>
              <w:bottom w:val="single" w:sz="8" w:color="auto"/>
            </w:tcBorders>
            <w:gridSpan w:val="4"/>
          </w:tcPr>
          <w:p>
            <w:pPr>
              <w:jc w:val="right"/>
              <w:ind w:right="41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Declared</w:t>
            </w:r>
          </w:p>
        </w:tc>
        <w:tc>
          <w:tcPr>
            <w:tcW w:w="20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Paid</w:t>
            </w:r>
          </w:p>
        </w:tc>
        <w:tc>
          <w:tcPr>
            <w:tcW w:w="220" w:type="dxa"/>
            <w:vAlign w:val="bottom"/>
          </w:tcPr>
          <w:p>
            <w:pPr>
              <w:spacing w:after="0"/>
              <w:rPr>
                <w:sz w:val="12"/>
                <w:szCs w:val="12"/>
                <w:color w:val="auto"/>
              </w:rPr>
            </w:pPr>
          </w:p>
        </w:tc>
        <w:tc>
          <w:tcPr>
            <w:tcW w:w="9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Declared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Paid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2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$ 0.610</w:t>
            </w:r>
          </w:p>
        </w:tc>
        <w:tc>
          <w:tcPr>
            <w:tcW w:w="9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$0.610</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83"/>
              </w:rPr>
              <w:t>$ 0.575</w:t>
            </w:r>
          </w:p>
        </w:tc>
        <w:tc>
          <w:tcPr>
            <w:tcW w:w="4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0.575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40" w:type="dxa"/>
            <w:vAlign w:val="bottom"/>
          </w:tcPr>
          <w:p>
            <w:pPr>
              <w:spacing w:after="0"/>
              <w:rPr>
                <w:sz w:val="20"/>
                <w:szCs w:val="20"/>
                <w:color w:val="auto"/>
              </w:rPr>
            </w:pPr>
            <w:r>
              <w:rPr>
                <w:rFonts w:ascii="Arial" w:cs="Arial" w:eastAsia="Arial" w:hAnsi="Arial"/>
                <w:sz w:val="18"/>
                <w:szCs w:val="18"/>
                <w:color w:val="auto"/>
              </w:rPr>
              <w:t>5.417% Series 1 Cumulative Convertible Preferred</w:t>
            </w:r>
          </w:p>
        </w:tc>
        <w:tc>
          <w:tcPr>
            <w:tcW w:w="3000" w:type="dxa"/>
            <w:vAlign w:val="bottom"/>
            <w:gridSpan w:val="3"/>
          </w:tcPr>
          <w:p>
            <w:pPr>
              <w:ind w:left="2460"/>
              <w:spacing w:after="0"/>
              <w:rPr>
                <w:sz w:val="20"/>
                <w:szCs w:val="20"/>
                <w:color w:val="auto"/>
              </w:rPr>
            </w:pPr>
            <w:r>
              <w:rPr>
                <w:rFonts w:ascii="Arial" w:cs="Arial" w:eastAsia="Arial" w:hAnsi="Arial"/>
                <w:sz w:val="18"/>
                <w:szCs w:val="18"/>
                <w:color w:val="auto"/>
                <w:w w:val="86"/>
              </w:rPr>
              <w:t>$ 0.339</w:t>
            </w:r>
          </w:p>
        </w:tc>
        <w:tc>
          <w:tcPr>
            <w:tcW w:w="9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$0.339</w:t>
            </w:r>
          </w:p>
        </w:tc>
        <w:tc>
          <w:tcPr>
            <w:tcW w:w="940" w:type="dxa"/>
            <w:vAlign w:val="bottom"/>
            <w:gridSpan w:val="2"/>
          </w:tcPr>
          <w:p>
            <w:pPr>
              <w:spacing w:after="0"/>
              <w:rPr>
                <w:sz w:val="20"/>
                <w:szCs w:val="20"/>
                <w:color w:val="auto"/>
              </w:rPr>
            </w:pPr>
            <w:r>
              <w:rPr>
                <w:rFonts w:ascii="Arial" w:cs="Arial" w:eastAsia="Arial" w:hAnsi="Arial"/>
                <w:sz w:val="18"/>
                <w:szCs w:val="18"/>
                <w:color w:val="auto"/>
              </w:rPr>
              <w:t>$ 0.090(1)</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6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Series 1 Preferred Shares were issued on March 8, 2007. The dividend declared on the Series 1 Preferred Shares is for the period from March 8, 2007 through and including March 31, 2007.</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G—COMPONENTS OF RENTAL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20" w:type="dxa"/>
            <w:vAlign w:val="bottom"/>
          </w:tcPr>
          <w:p>
            <w:pPr>
              <w:spacing w:after="0"/>
              <w:rPr>
                <w:sz w:val="12"/>
                <w:szCs w:val="12"/>
                <w:color w:val="auto"/>
              </w:rPr>
            </w:pPr>
          </w:p>
        </w:tc>
        <w:tc>
          <w:tcPr>
            <w:tcW w:w="9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60"/>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3"/>
          </w:tcPr>
          <w:p>
            <w:pPr>
              <w:jc w:val="center"/>
              <w:ind w:right="315"/>
              <w:spacing w:after="0"/>
              <w:rPr>
                <w:sz w:val="20"/>
                <w:szCs w:val="20"/>
                <w:color w:val="auto"/>
              </w:rPr>
            </w:pPr>
            <w:r>
              <w:rPr>
                <w:rFonts w:ascii="Arial" w:cs="Arial" w:eastAsia="Arial" w:hAnsi="Arial"/>
                <w:sz w:val="12"/>
                <w:szCs w:val="12"/>
                <w:b w:val="1"/>
                <w:bCs w:val="1"/>
                <w:color w:val="auto"/>
                <w:w w:val="80"/>
              </w:rPr>
              <w:t>thousands)</w:t>
            </w: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Minimum rents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420"/>
              <w:spacing w:after="0"/>
              <w:rPr>
                <w:sz w:val="20"/>
                <w:szCs w:val="20"/>
                <w:color w:val="auto"/>
              </w:rPr>
            </w:pPr>
            <w:r>
              <w:rPr>
                <w:rFonts w:ascii="Arial" w:cs="Arial" w:eastAsia="Arial" w:hAnsi="Arial"/>
                <w:sz w:val="18"/>
                <w:szCs w:val="18"/>
                <w:color w:val="auto"/>
              </w:rPr>
              <w:t>Retail and commercial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90,287</w:t>
            </w:r>
          </w:p>
        </w:tc>
        <w:tc>
          <w:tcPr>
            <w:tcW w:w="340" w:type="dxa"/>
            <w:vAlign w:val="bottom"/>
            <w:gridSpan w:val="2"/>
          </w:tcPr>
          <w:p>
            <w:pPr>
              <w:jc w:val="center"/>
              <w:ind w:left="101"/>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82,917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Cost reimbursement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24,744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22,024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Percentage rent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Total 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122,721</w:t>
            </w:r>
          </w:p>
        </w:tc>
        <w:tc>
          <w:tcPr>
            <w:tcW w:w="340" w:type="dxa"/>
            <w:vAlign w:val="bottom"/>
            <w:gridSpan w:val="2"/>
            <w:shd w:val="clear" w:color="auto" w:fill="CCEEFF"/>
          </w:tcPr>
          <w:p>
            <w:pPr>
              <w:jc w:val="center"/>
              <w:ind w:left="101"/>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111,763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60"/>
        <w:spacing w:after="0" w:line="298" w:lineRule="auto"/>
        <w:rPr>
          <w:sz w:val="20"/>
          <w:szCs w:val="20"/>
          <w:color w:val="auto"/>
        </w:rPr>
      </w:pPr>
      <w:r>
        <w:rPr>
          <w:rFonts w:ascii="Arial" w:cs="Arial" w:eastAsia="Arial" w:hAnsi="Arial"/>
          <w:sz w:val="16"/>
          <w:szCs w:val="16"/>
          <w:color w:val="auto"/>
        </w:rPr>
        <w:t>Minimum rents include $1.6 million and $1.7 million for the three months ended March 31, 2008 and 2007, respectively, to recognize minimum rents on a straight-line basis. In addition, minimum rents include $0.6 million and $0.8 million for the three months ended March 31, 2008 and 2007, respectively, to recognize income from the amortization of in-place leases in accordance with SFAS No. 141. Residential minimum rents consist of the rental amounts at Rollingwood Apartments, the Crest at Congressional Plaza Apartments and residential rental units at Santana Row.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H—SHARE-BASED COMPENSATION PLANS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48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1"/>
        </w:trPr>
        <w:tc>
          <w:tcPr>
            <w:tcW w:w="41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4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540" w:type="dxa"/>
            <w:vAlign w:val="bottom"/>
          </w:tcPr>
          <w:p>
            <w:pPr>
              <w:jc w:val="right"/>
              <w:ind w:right="4"/>
              <w:spacing w:after="0" w:line="142" w:lineRule="exact"/>
              <w:rPr>
                <w:sz w:val="20"/>
                <w:szCs w:val="20"/>
                <w:color w:val="auto"/>
              </w:rPr>
            </w:pPr>
            <w:r>
              <w:rPr>
                <w:rFonts w:ascii="Arial" w:cs="Arial" w:eastAsia="Arial" w:hAnsi="Arial"/>
                <w:sz w:val="14"/>
                <w:szCs w:val="14"/>
                <w:b w:val="1"/>
                <w:bCs w:val="1"/>
                <w:color w:val="auto"/>
              </w:rPr>
              <w:t>(In</w:t>
            </w:r>
          </w:p>
        </w:tc>
        <w:tc>
          <w:tcPr>
            <w:tcW w:w="880" w:type="dxa"/>
            <w:vAlign w:val="bottom"/>
            <w:gridSpan w:val="3"/>
          </w:tcPr>
          <w:p>
            <w:pPr>
              <w:jc w:val="right"/>
              <w:ind w:right="216"/>
              <w:spacing w:after="0" w:line="142" w:lineRule="exact"/>
              <w:rPr>
                <w:sz w:val="20"/>
                <w:szCs w:val="20"/>
                <w:color w:val="auto"/>
              </w:rPr>
            </w:pPr>
            <w:r>
              <w:rPr>
                <w:rFonts w:ascii="Arial" w:cs="Arial" w:eastAsia="Arial" w:hAnsi="Arial"/>
                <w:sz w:val="14"/>
                <w:szCs w:val="14"/>
                <w:b w:val="1"/>
                <w:bCs w:val="1"/>
                <w:color w:val="auto"/>
                <w:w w:val="74"/>
              </w:rPr>
              <w:t>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incurred</w:t>
            </w:r>
          </w:p>
        </w:tc>
        <w:tc>
          <w:tcPr>
            <w:tcW w:w="5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440"/>
              <w:spacing w:after="0"/>
              <w:rPr>
                <w:sz w:val="20"/>
                <w:szCs w:val="20"/>
                <w:color w:val="auto"/>
              </w:rPr>
            </w:pPr>
            <w:r>
              <w:rPr>
                <w:rFonts w:ascii="Arial" w:cs="Arial" w:eastAsia="Arial" w:hAnsi="Arial"/>
                <w:sz w:val="18"/>
                <w:szCs w:val="18"/>
                <w:color w:val="auto"/>
              </w:rPr>
              <w:t>Grants of common shares</w:t>
            </w: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$ 1,846</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Grants of options</w:t>
            </w:r>
          </w:p>
        </w:tc>
        <w:tc>
          <w:tcPr>
            <w:tcW w:w="57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60" w:type="dxa"/>
            <w:vAlign w:val="bottom"/>
          </w:tcPr>
          <w:p>
            <w:pPr>
              <w:spacing w:after="0"/>
              <w:rPr>
                <w:sz w:val="19"/>
                <w:szCs w:val="19"/>
                <w:color w:val="auto"/>
              </w:rPr>
            </w:pP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2,169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Capitalized share-based compensation</w:t>
            </w:r>
          </w:p>
        </w:tc>
        <w:tc>
          <w:tcPr>
            <w:tcW w:w="57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1"/>
        </w:trPr>
        <w:tc>
          <w:tcPr>
            <w:tcW w:w="4160" w:type="dxa"/>
            <w:vAlign w:val="bottom"/>
          </w:tcPr>
          <w:p>
            <w:pPr>
              <w:spacing w:after="0"/>
              <w:rPr>
                <w:sz w:val="20"/>
                <w:szCs w:val="20"/>
                <w:color w:val="auto"/>
              </w:rPr>
            </w:pPr>
            <w:r>
              <w:rPr>
                <w:rFonts w:ascii="Arial" w:cs="Arial" w:eastAsia="Arial" w:hAnsi="Arial"/>
                <w:sz w:val="18"/>
                <w:szCs w:val="18"/>
                <w:color w:val="auto"/>
              </w:rPr>
              <w:t>Share-based compensation expensed</w:t>
            </w:r>
          </w:p>
        </w:tc>
        <w:tc>
          <w:tcPr>
            <w:tcW w:w="57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$ 1,872</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5780" w:type="dxa"/>
            <w:vAlign w:val="bottom"/>
            <w:vMerge w:val="restart"/>
          </w:tcPr>
          <w:p>
            <w:pPr>
              <w:jc w:val="right"/>
              <w:ind w:right="4052"/>
              <w:spacing w:after="0"/>
              <w:rPr>
                <w:sz w:val="20"/>
                <w:szCs w:val="20"/>
                <w:color w:val="auto"/>
              </w:rPr>
            </w:pPr>
            <w:r>
              <w:rPr>
                <w:rFonts w:ascii="Arial" w:cs="Arial" w:eastAsia="Arial" w:hAnsi="Arial"/>
                <w:sz w:val="18"/>
                <w:szCs w:val="18"/>
                <w:color w:val="auto"/>
              </w:rPr>
              <w:t>12</w:t>
            </w: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60" w:type="dxa"/>
            <w:vAlign w:val="bottom"/>
          </w:tcPr>
          <w:p>
            <w:pPr>
              <w:spacing w:after="0"/>
              <w:rPr>
                <w:sz w:val="24"/>
                <w:szCs w:val="24"/>
                <w:color w:val="auto"/>
              </w:rPr>
            </w:pPr>
          </w:p>
        </w:tc>
        <w:tc>
          <w:tcPr>
            <w:tcW w:w="57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I—EARNINGS PER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between basic and diluted earnings per share: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116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March 31,</w:t>
            </w:r>
          </w:p>
        </w:tc>
      </w:tr>
      <w:tr>
        <w:trPr>
          <w:trHeight w:val="142"/>
        </w:trPr>
        <w:tc>
          <w:tcPr>
            <w:tcW w:w="1160" w:type="dxa"/>
            <w:vAlign w:val="bottom"/>
          </w:tcPr>
          <w:p>
            <w:pPr>
              <w:spacing w:after="0"/>
              <w:rPr>
                <w:sz w:val="12"/>
                <w:szCs w:val="12"/>
                <w:color w:val="auto"/>
              </w:rPr>
            </w:pPr>
          </w:p>
        </w:tc>
        <w:tc>
          <w:tcPr>
            <w:tcW w:w="87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r>
      <w:tr>
        <w:trPr>
          <w:trHeight w:val="129"/>
        </w:trPr>
        <w:tc>
          <w:tcPr>
            <w:tcW w:w="1160" w:type="dxa"/>
            <w:vAlign w:val="bottom"/>
          </w:tcPr>
          <w:p>
            <w:pPr>
              <w:spacing w:after="0"/>
              <w:rPr>
                <w:sz w:val="11"/>
                <w:szCs w:val="11"/>
                <w:color w:val="auto"/>
              </w:rPr>
            </w:pPr>
          </w:p>
        </w:tc>
        <w:tc>
          <w:tcPr>
            <w:tcW w:w="8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5"/>
          </w:tcPr>
          <w:p>
            <w:pPr>
              <w:jc w:val="center"/>
              <w:ind w:right="160"/>
              <w:spacing w:after="0" w:line="129" w:lineRule="exact"/>
              <w:rPr>
                <w:sz w:val="20"/>
                <w:szCs w:val="20"/>
                <w:color w:val="auto"/>
              </w:rPr>
            </w:pPr>
            <w:r>
              <w:rPr>
                <w:rFonts w:ascii="Arial" w:cs="Arial" w:eastAsia="Arial" w:hAnsi="Arial"/>
                <w:sz w:val="14"/>
                <w:szCs w:val="14"/>
                <w:b w:val="1"/>
                <w:bCs w:val="1"/>
                <w:color w:val="auto"/>
                <w:w w:val="84"/>
              </w:rPr>
              <w:t>(In thousands, except</w:t>
            </w:r>
          </w:p>
        </w:tc>
      </w:tr>
      <w:tr>
        <w:trPr>
          <w:trHeight w:val="161"/>
        </w:trPr>
        <w:tc>
          <w:tcPr>
            <w:tcW w:w="116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per share data)</w:t>
            </w: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29,986</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21,753</w:t>
            </w:r>
          </w:p>
        </w:tc>
        <w:tc>
          <w:tcPr>
            <w:tcW w:w="60" w:type="dxa"/>
            <w:vAlign w:val="bottom"/>
          </w:tcPr>
          <w:p>
            <w:pPr>
              <w:spacing w:after="0"/>
              <w:rPr>
                <w:sz w:val="18"/>
                <w:szCs w:val="18"/>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1"/>
        </w:trPr>
        <w:tc>
          <w:tcPr>
            <w:tcW w:w="9900" w:type="dxa"/>
            <w:vAlign w:val="bottom"/>
            <w:gridSpan w:val="2"/>
          </w:tcPr>
          <w:p>
            <w:pPr>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29,851</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21,717</w:t>
            </w:r>
          </w:p>
        </w:tc>
        <w:tc>
          <w:tcPr>
            <w:tcW w:w="60" w:type="dxa"/>
            <w:vAlign w:val="bottom"/>
          </w:tcPr>
          <w:p>
            <w:pPr>
              <w:spacing w:after="0"/>
              <w:rPr>
                <w:sz w:val="19"/>
                <w:szCs w:val="19"/>
                <w:color w:val="auto"/>
              </w:rPr>
            </w:pPr>
          </w:p>
        </w:tc>
      </w:tr>
      <w:tr>
        <w:trPr>
          <w:trHeight w:val="218"/>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Results from discontinued operations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60" w:type="dxa"/>
            <w:vAlign w:val="bottom"/>
            <w:shd w:val="clear" w:color="auto" w:fill="CCEEFF"/>
          </w:tcPr>
          <w:p>
            <w:pPr>
              <w:spacing w:after="0"/>
              <w:rPr>
                <w:sz w:val="18"/>
                <w:szCs w:val="18"/>
                <w:color w:val="auto"/>
              </w:rPr>
            </w:pPr>
          </w:p>
        </w:tc>
      </w:tr>
      <w:tr>
        <w:trPr>
          <w:trHeight w:val="222"/>
        </w:trPr>
        <w:tc>
          <w:tcPr>
            <w:tcW w:w="9900" w:type="dxa"/>
            <w:vAlign w:val="bottom"/>
            <w:gridSpan w:val="2"/>
          </w:tcPr>
          <w:p>
            <w:pPr>
              <w:spacing w:after="0"/>
              <w:rPr>
                <w:sz w:val="20"/>
                <w:szCs w:val="20"/>
                <w:color w:val="auto"/>
              </w:rPr>
            </w:pPr>
            <w:r>
              <w:rPr>
                <w:rFonts w:ascii="Arial" w:cs="Arial" w:eastAsia="Arial" w:hAnsi="Arial"/>
                <w:sz w:val="18"/>
                <w:szCs w:val="18"/>
                <w:color w:val="auto"/>
              </w:rPr>
              <w:t>Net income available for common shareholders, basic and diluted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29,851</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23,100</w:t>
            </w:r>
          </w:p>
        </w:tc>
        <w:tc>
          <w:tcPr>
            <w:tcW w:w="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outstanding—basic</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58,503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55,422</w:t>
            </w:r>
          </w:p>
        </w:tc>
        <w:tc>
          <w:tcPr>
            <w:tcW w:w="60" w:type="dxa"/>
            <w:vAlign w:val="bottom"/>
          </w:tcPr>
          <w:p>
            <w:pPr>
              <w:spacing w:after="0"/>
              <w:rPr>
                <w:sz w:val="18"/>
                <w:szCs w:val="18"/>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900" w:type="dxa"/>
            <w:vAlign w:val="bottom"/>
            <w:gridSpan w:val="2"/>
          </w:tcPr>
          <w:p>
            <w:pPr>
              <w:ind w:left="440"/>
              <w:spacing w:after="0"/>
              <w:rPr>
                <w:sz w:val="20"/>
                <w:szCs w:val="20"/>
                <w:color w:val="auto"/>
              </w:rPr>
            </w:pPr>
            <w:r>
              <w:rPr>
                <w:rFonts w:ascii="Arial" w:cs="Arial" w:eastAsia="Arial" w:hAnsi="Arial"/>
                <w:sz w:val="18"/>
                <w:szCs w:val="18"/>
                <w:color w:val="auto"/>
              </w:rPr>
              <w:t>Stock options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406</w:t>
            </w:r>
          </w:p>
        </w:tc>
        <w:tc>
          <w:tcPr>
            <w:tcW w:w="60" w:type="dxa"/>
            <w:vAlign w:val="bottom"/>
          </w:tcPr>
          <w:p>
            <w:pPr>
              <w:spacing w:after="0"/>
              <w:rPr>
                <w:sz w:val="18"/>
                <w:szCs w:val="18"/>
                <w:color w:val="auto"/>
              </w:rPr>
            </w:pPr>
          </w:p>
        </w:tc>
      </w:tr>
      <w:tr>
        <w:trPr>
          <w:trHeight w:val="216"/>
        </w:trPr>
        <w:tc>
          <w:tcPr>
            <w:tcW w:w="9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Unvested stock</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8"/>
                <w:szCs w:val="18"/>
                <w:color w:val="auto"/>
              </w:rPr>
            </w:pPr>
          </w:p>
        </w:tc>
      </w:tr>
      <w:tr>
        <w:trPr>
          <w:trHeight w:val="222"/>
        </w:trPr>
        <w:tc>
          <w:tcPr>
            <w:tcW w:w="990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outstanding—diluted (1)</w:t>
            </w: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58,811</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55,921</w:t>
            </w:r>
          </w:p>
        </w:tc>
        <w:tc>
          <w:tcPr>
            <w:tcW w:w="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 BASIC</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0.51</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0.39</w:t>
            </w:r>
          </w:p>
        </w:tc>
        <w:tc>
          <w:tcPr>
            <w:tcW w:w="60" w:type="dxa"/>
            <w:vAlign w:val="bottom"/>
          </w:tcPr>
          <w:p>
            <w:pPr>
              <w:spacing w:after="0"/>
              <w:rPr>
                <w:sz w:val="18"/>
                <w:szCs w:val="18"/>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87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 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0.51</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0.39</w:t>
            </w:r>
          </w:p>
        </w:tc>
        <w:tc>
          <w:tcPr>
            <w:tcW w:w="60" w:type="dxa"/>
            <w:vAlign w:val="bottom"/>
          </w:tcPr>
          <w:p>
            <w:pPr>
              <w:spacing w:after="0"/>
              <w:rPr>
                <w:sz w:val="18"/>
                <w:szCs w:val="18"/>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87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9" w:lineRule="exact"/>
        <w:rPr>
          <w:sz w:val="20"/>
          <w:szCs w:val="20"/>
          <w:color w:val="auto"/>
        </w:rPr>
      </w:pPr>
    </w:p>
    <w:p>
      <w:pPr>
        <w:jc w:val="both"/>
        <w:ind w:left="460" w:right="10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conversion of downREIT operating partnership units and Series 1 Preferred Shares are anti-dilutive for all periods presented. Accordingly, downREIT operating partnership units and Series 1 Preferred Shares have been excluded from the weighted average common shares used to compute diluted earnings per share.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J—SEGMENT INFORMATION</w:t>
      </w:r>
    </w:p>
    <w:p>
      <w:pPr>
        <w:spacing w:after="0" w:line="96"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We operate our portfolio of properties in two geographic operating regions: East and West, which constitute our segments under Statement of Financial Accounting Standard No. 131, “Disclosures about Segments of an Enterprise and Related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operations by geographic region is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w w:val="88"/>
              </w:rPr>
              <w:t>Three Months Ended March 31, 2008</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East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West</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3"/>
          </w:tcPr>
          <w:p>
            <w:pPr>
              <w:jc w:val="right"/>
              <w:ind w:right="313"/>
              <w:spacing w:after="0"/>
              <w:rPr>
                <w:sz w:val="20"/>
                <w:szCs w:val="20"/>
                <w:color w:val="auto"/>
              </w:rPr>
            </w:pPr>
            <w:r>
              <w:rPr>
                <w:rFonts w:ascii="Arial" w:cs="Arial" w:eastAsia="Arial" w:hAnsi="Arial"/>
                <w:sz w:val="12"/>
                <w:szCs w:val="12"/>
                <w:b w:val="1"/>
                <w:bCs w:val="1"/>
                <w:color w:val="auto"/>
                <w:w w:val="80"/>
              </w:rPr>
              <w:t>thousands)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95,458</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27,263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property income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18"/>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Rental expenses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52"/>
              <w:spacing w:after="0"/>
              <w:rPr>
                <w:sz w:val="20"/>
                <w:szCs w:val="20"/>
                <w:color w:val="auto"/>
              </w:rPr>
            </w:pPr>
            <w:r>
              <w:rPr>
                <w:rFonts w:ascii="Arial" w:cs="Arial" w:eastAsia="Arial" w:hAnsi="Arial"/>
                <w:sz w:val="18"/>
                <w:szCs w:val="18"/>
                <w:color w:val="auto"/>
              </w:rPr>
              <w:t>(20,543)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8"/>
              <w:spacing w:after="0"/>
              <w:rPr>
                <w:sz w:val="20"/>
                <w:szCs w:val="20"/>
                <w:color w:val="auto"/>
              </w:rPr>
            </w:pPr>
            <w:r>
              <w:rPr>
                <w:rFonts w:ascii="Arial" w:cs="Arial" w:eastAsia="Arial" w:hAnsi="Arial"/>
                <w:sz w:val="18"/>
                <w:szCs w:val="18"/>
                <w:color w:val="auto"/>
              </w:rPr>
              <w:t>(6,784)</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(27,327)</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(10,093)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(2,470)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(12,563)</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40"/>
              <w:spacing w:after="0"/>
              <w:rPr>
                <w:sz w:val="20"/>
                <w:szCs w:val="20"/>
                <w:color w:val="auto"/>
              </w:rPr>
            </w:pPr>
            <w:r>
              <w:rPr>
                <w:rFonts w:ascii="Arial" w:cs="Arial" w:eastAsia="Arial" w:hAnsi="Arial"/>
                <w:sz w:val="18"/>
                <w:szCs w:val="18"/>
                <w:color w:val="auto"/>
              </w:rPr>
              <w:t>Property operating income</w:t>
            </w:r>
          </w:p>
        </w:tc>
        <w:tc>
          <w:tcPr>
            <w:tcW w:w="2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60" w:type="dxa"/>
            <w:vAlign w:val="bottom"/>
            <w:vMerge w:val="continue"/>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68,359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18"/>
              <w:spacing w:after="0"/>
              <w:rPr>
                <w:sz w:val="20"/>
                <w:szCs w:val="20"/>
                <w:color w:val="auto"/>
              </w:rPr>
            </w:pPr>
            <w:r>
              <w:rPr>
                <w:rFonts w:ascii="Arial" w:cs="Arial" w:eastAsia="Arial" w:hAnsi="Arial"/>
                <w:sz w:val="18"/>
                <w:szCs w:val="18"/>
                <w:color w:val="auto"/>
              </w:rPr>
              <w:t>18,974</w:t>
            </w:r>
          </w:p>
        </w:tc>
        <w:tc>
          <w:tcPr>
            <w:tcW w:w="10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87,333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(6,934)</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52"/>
              <w:spacing w:after="0"/>
              <w:rPr>
                <w:sz w:val="20"/>
                <w:szCs w:val="20"/>
                <w:color w:val="auto"/>
              </w:rPr>
            </w:pPr>
            <w:r>
              <w:rPr>
                <w:rFonts w:ascii="Arial" w:cs="Arial" w:eastAsia="Arial" w:hAnsi="Arial"/>
                <w:sz w:val="18"/>
                <w:szCs w:val="18"/>
                <w:color w:val="auto"/>
              </w:rPr>
              <w:t>(17,765)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8"/>
              <w:spacing w:after="0"/>
              <w:rPr>
                <w:sz w:val="20"/>
                <w:szCs w:val="20"/>
                <w:color w:val="auto"/>
              </w:rPr>
            </w:pPr>
            <w:r>
              <w:rPr>
                <w:rFonts w:ascii="Arial" w:cs="Arial" w:eastAsia="Arial" w:hAnsi="Arial"/>
                <w:sz w:val="18"/>
                <w:szCs w:val="18"/>
                <w:color w:val="auto"/>
              </w:rPr>
              <w:t>(7,448)</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(25,400)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(24,353)</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(24,353)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2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60" w:type="dxa"/>
            <w:vAlign w:val="bottom"/>
          </w:tcPr>
          <w:p>
            <w:pPr>
              <w:ind w:left="440"/>
              <w:spacing w:after="0"/>
              <w:rPr>
                <w:sz w:val="20"/>
                <w:szCs w:val="20"/>
                <w:color w:val="auto"/>
              </w:rPr>
            </w:pPr>
            <w:r>
              <w:rPr>
                <w:rFonts w:ascii="Arial" w:cs="Arial" w:eastAsia="Arial" w:hAnsi="Arial"/>
                <w:sz w:val="18"/>
                <w:szCs w:val="18"/>
                <w:color w:val="auto"/>
                <w:w w:val="99"/>
              </w:rPr>
              <w:t>Income from continuing operations before minority interests</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50,850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18"/>
              <w:spacing w:after="0"/>
              <w:rPr>
                <w:sz w:val="20"/>
                <w:szCs w:val="20"/>
                <w:color w:val="auto"/>
              </w:rPr>
            </w:pPr>
            <w:r>
              <w:rPr>
                <w:rFonts w:ascii="Arial" w:cs="Arial" w:eastAsia="Arial" w:hAnsi="Arial"/>
                <w:sz w:val="18"/>
                <w:szCs w:val="18"/>
                <w:color w:val="auto"/>
              </w:rPr>
              <w:t>11,611</w:t>
            </w: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(31,143)</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31,318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(1,332)</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40"/>
              <w:spacing w:after="0"/>
              <w:rPr>
                <w:sz w:val="20"/>
                <w:szCs w:val="20"/>
                <w:color w:val="auto"/>
              </w:rPr>
            </w:pPr>
            <w:r>
              <w:rPr>
                <w:rFonts w:ascii="Arial" w:cs="Arial" w:eastAsia="Arial" w:hAnsi="Arial"/>
                <w:sz w:val="18"/>
                <w:szCs w:val="18"/>
                <w:color w:val="auto"/>
              </w:rPr>
              <w:t>Net income</w:t>
            </w:r>
          </w:p>
        </w:tc>
        <w:tc>
          <w:tcPr>
            <w:tcW w:w="2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60" w:type="dxa"/>
            <w:vAlign w:val="bottom"/>
            <w:vMerge w:val="continue"/>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50,850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18"/>
              <w:spacing w:after="0"/>
              <w:rPr>
                <w:sz w:val="20"/>
                <w:szCs w:val="20"/>
                <w:color w:val="auto"/>
              </w:rPr>
            </w:pPr>
            <w:r>
              <w:rPr>
                <w:rFonts w:ascii="Arial" w:cs="Arial" w:eastAsia="Arial" w:hAnsi="Arial"/>
                <w:sz w:val="18"/>
                <w:szCs w:val="18"/>
                <w:color w:val="auto"/>
              </w:rPr>
              <w:t>11,611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(32,475)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29,986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end of period</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2,007,754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w w:val="86"/>
              </w:rPr>
              <w:t>881,294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90,082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2,979,130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w w:val="88"/>
              </w:rPr>
              <w:t>Three Months Ended March 31, 2007</w:t>
            </w: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East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West</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3"/>
          </w:tcPr>
          <w:p>
            <w:pPr>
              <w:jc w:val="right"/>
              <w:ind w:right="313"/>
              <w:spacing w:after="0"/>
              <w:rPr>
                <w:sz w:val="20"/>
                <w:szCs w:val="20"/>
                <w:color w:val="auto"/>
              </w:rPr>
            </w:pPr>
            <w:r>
              <w:rPr>
                <w:rFonts w:ascii="Arial" w:cs="Arial" w:eastAsia="Arial" w:hAnsi="Arial"/>
                <w:sz w:val="12"/>
                <w:szCs w:val="12"/>
                <w:b w:val="1"/>
                <w:bCs w:val="1"/>
                <w:color w:val="auto"/>
                <w:w w:val="80"/>
              </w:rPr>
              <w:t>thousands)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86,264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25,499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property income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18"/>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Rental expenses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52"/>
              <w:spacing w:after="0"/>
              <w:rPr>
                <w:sz w:val="20"/>
                <w:szCs w:val="20"/>
                <w:color w:val="auto"/>
              </w:rPr>
            </w:pPr>
            <w:r>
              <w:rPr>
                <w:rFonts w:ascii="Arial" w:cs="Arial" w:eastAsia="Arial" w:hAnsi="Arial"/>
                <w:sz w:val="18"/>
                <w:szCs w:val="18"/>
                <w:color w:val="auto"/>
              </w:rPr>
              <w:t>(17,725)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8"/>
              <w:spacing w:after="0"/>
              <w:rPr>
                <w:sz w:val="20"/>
                <w:szCs w:val="20"/>
                <w:color w:val="auto"/>
              </w:rPr>
            </w:pPr>
            <w:r>
              <w:rPr>
                <w:rFonts w:ascii="Arial" w:cs="Arial" w:eastAsia="Arial" w:hAnsi="Arial"/>
                <w:sz w:val="18"/>
                <w:szCs w:val="18"/>
                <w:color w:val="auto"/>
              </w:rPr>
              <w:t>(6,573)</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(24,298)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(8,443)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(2,125)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(10,568)</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40"/>
              <w:spacing w:after="0"/>
              <w:rPr>
                <w:sz w:val="20"/>
                <w:szCs w:val="20"/>
                <w:color w:val="auto"/>
              </w:rPr>
            </w:pPr>
            <w:r>
              <w:rPr>
                <w:rFonts w:ascii="Arial" w:cs="Arial" w:eastAsia="Arial" w:hAnsi="Arial"/>
                <w:sz w:val="18"/>
                <w:szCs w:val="18"/>
                <w:color w:val="auto"/>
              </w:rPr>
              <w:t>Property operating income</w:t>
            </w:r>
          </w:p>
        </w:tc>
        <w:tc>
          <w:tcPr>
            <w:tcW w:w="2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60" w:type="dxa"/>
            <w:vAlign w:val="bottom"/>
            <w:vMerge w:val="continue"/>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62,393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18"/>
              <w:spacing w:after="0"/>
              <w:rPr>
                <w:sz w:val="20"/>
                <w:szCs w:val="20"/>
                <w:color w:val="auto"/>
              </w:rPr>
            </w:pPr>
            <w:r>
              <w:rPr>
                <w:rFonts w:ascii="Arial" w:cs="Arial" w:eastAsia="Arial" w:hAnsi="Arial"/>
                <w:sz w:val="18"/>
                <w:szCs w:val="18"/>
                <w:color w:val="auto"/>
              </w:rPr>
              <w:t>18,004</w:t>
            </w:r>
          </w:p>
        </w:tc>
        <w:tc>
          <w:tcPr>
            <w:tcW w:w="10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80,397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(5,608)</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(5,608)</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52"/>
              <w:spacing w:after="0"/>
              <w:rPr>
                <w:sz w:val="20"/>
                <w:szCs w:val="20"/>
                <w:color w:val="auto"/>
              </w:rPr>
            </w:pPr>
            <w:r>
              <w:rPr>
                <w:rFonts w:ascii="Arial" w:cs="Arial" w:eastAsia="Arial" w:hAnsi="Arial"/>
                <w:sz w:val="18"/>
                <w:szCs w:val="18"/>
                <w:color w:val="auto"/>
              </w:rPr>
              <w:t>(17,320)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58"/>
              <w:spacing w:after="0"/>
              <w:rPr>
                <w:sz w:val="20"/>
                <w:szCs w:val="20"/>
                <w:color w:val="auto"/>
              </w:rPr>
            </w:pPr>
            <w:r>
              <w:rPr>
                <w:rFonts w:ascii="Arial" w:cs="Arial" w:eastAsia="Arial" w:hAnsi="Arial"/>
                <w:sz w:val="18"/>
                <w:szCs w:val="18"/>
                <w:color w:val="auto"/>
              </w:rPr>
              <w:t>(7,358)</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(24,912)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(27,337)</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(27,337)</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2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60" w:type="dxa"/>
            <w:vAlign w:val="bottom"/>
          </w:tcPr>
          <w:p>
            <w:pPr>
              <w:ind w:left="440"/>
              <w:spacing w:after="0"/>
              <w:rPr>
                <w:sz w:val="20"/>
                <w:szCs w:val="20"/>
                <w:color w:val="auto"/>
              </w:rPr>
            </w:pPr>
            <w:r>
              <w:rPr>
                <w:rFonts w:ascii="Arial" w:cs="Arial" w:eastAsia="Arial" w:hAnsi="Arial"/>
                <w:sz w:val="18"/>
                <w:szCs w:val="18"/>
                <w:color w:val="auto"/>
                <w:w w:val="99"/>
              </w:rPr>
              <w:t>Income from continuing operations before minority interests</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45,257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18"/>
              <w:spacing w:after="0"/>
              <w:rPr>
                <w:sz w:val="20"/>
                <w:szCs w:val="20"/>
                <w:color w:val="auto"/>
              </w:rPr>
            </w:pPr>
            <w:r>
              <w:rPr>
                <w:rFonts w:ascii="Arial" w:cs="Arial" w:eastAsia="Arial" w:hAnsi="Arial"/>
                <w:sz w:val="18"/>
                <w:szCs w:val="18"/>
                <w:color w:val="auto"/>
              </w:rPr>
              <w:t>10,687</w:t>
            </w: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(32,895)</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(1,296)</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2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45,257</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10,687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(32,808)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20" w:type="dxa"/>
            <w:vAlign w:val="bottom"/>
            <w:vMerge w:val="restart"/>
          </w:tcPr>
          <w:p>
            <w:pPr>
              <w:jc w:val="right"/>
              <w:ind w:right="1692"/>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16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6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2007 filed with the Securities and Exchange Commission on February 27, 2008.</w:t>
      </w:r>
    </w:p>
    <w:p>
      <w:pPr>
        <w:spacing w:after="0" w:line="14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11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2007, before making any investments in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are an equity real estate investment trust (“REIT”) specializing in the ownership, management, development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2008, we owned or had a majority interest in community and neighborhood shopping centers and mixed-use properties which are operated as 82 predominantly retail real estate projects comprising approximately 18.2 million square feet. In total, the real estate projects were 96.1% leased at March 31, 2008. A joint venture in which we own a 30% interest owned seven retail real estate projects totaling approximately 1.0 million square feet as of March 31, 2008. In total, the joint venture properties in which we own an interest were 97.8% leased at March 31, 2008. We have paid quarterly dividends to our shareholders continuously since our founding in 1962 and have increased our dividends per common share for 40 consecutive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Property Acquisitions and Dispositions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2008, we had no acquisitions or dispositions.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Significant Debt, Equity and Other Transactions</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 February 21, 2008, we entered into two interest rate swap agreements to fix the variable portion of our $200 million term note through November 6, 2008. The first swap fixed the variable rate at 2.725% on a notional amount of $100 million and the second swap fixed the variable rate at 2.852% on a notional amount of $100 million for a combined fixed rate of 2.789%. Both swaps were designated and qualified as cash flow hedges and are recorded at fair value.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anticipate our 2008 income from continuing operations to grow in comparison to our 2007 income from continuing operations. We expect this income growth primarily to be generated by a combination of the following:</w:t>
      </w:r>
    </w:p>
    <w:p>
      <w:pPr>
        <w:spacing w:after="0" w:line="51"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earnings in our same-center portfolio and from properties under redevelopment;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earnings as we expand our portfolio through property acquisitions.</w:t>
      </w:r>
    </w:p>
    <w:p>
      <w:pPr>
        <w:spacing w:after="0" w:line="171"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On February 12, 2008, we announced a regular quarterly cash dividend of $0.61 per share on our common shares, resulting in an indicated annual rate of $2.44 per share. The regular common dividend was payable on April 15, 2008, to common shareholders of record as of March 19, 2008.</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continue to see a positive impact on our income as a result of the redevelopment of our shopping centers and higher rental rates on existing spaces as leases on these spaces expire. For example, leases signed in 2006, 2007 and year-to-date 2008 on spaces for which there was a previous tenant have on average been renewed at double digit cash-basis base rent increases. On spaces where the tenant leases are expiring over the next few years, our analysis of current market rents as compared to rents on the existing leases leads us to expect that the base rents on new leases will have double-digit weighted average increases over the cash-basis base rents currently in place. We have redevelopment projects with projected costs of approximately $90 million and $73 million stabilizing in 2008 and 2009, respectively. As redevelopment properties are completed, spaces that were out of service begin generating revenue; in addition, spaces that were not out of service and that have expiring leases may generate higher revenue because we generally receive higher rent on new leases.</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At March 31, 2008, the leasable square feet in our shopping centers was 94.6% occupied and 96.1%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143"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The current economic environment may impact the success of our tenants’ retail operations and therefore the amount of rent and expense reimbursements we receive from our tenants. Any reduction in our tenants’ ability to pay base rent, percentage rent or other charges, including the filing by any of our tenants for bankruptcy protection, may adversely affect our financial condition and results of operations. We believe the locations of our centers should minimize the negative impact of the economic environment however, we continue to monitor our tenants’ operating performance as well as trends in the retail industry.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9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We anticipate growth in earnings from the acquisition of neighborhood and community shopping centers in our primary markets in the East and West regions, as well as a reduction in earnings from selective dispositions. We continue to evaluate potential acquisitions in additional markets.</w:t>
      </w:r>
    </w:p>
    <w:p>
      <w:pPr>
        <w:spacing w:after="0" w:line="8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Any growth in earnings from acquisitions is contingent, however, on our ability to find properties that meet our qualitative standards at prices that meet our financial hurdles. Changes in interest rates also may affect our success in achieving growth through acquisitions by affecting both the price that must be paid to acquire a property, as well as our ability to economically finance the property acquisition.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w:t>
      </w:r>
    </w:p>
    <w:p>
      <w:pPr>
        <w:spacing w:after="0" w:line="9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development, redevelopment or expansion occurred during either of the periods being compared and properties classified as discontinued operations.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OPERATIONS—THREE MONTHS ENDED MARCH 31, 2008 AND 2007</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0"/>
              </w:rPr>
              <w:t>(Dollar amounts</w:t>
            </w:r>
          </w:p>
        </w:tc>
        <w:tc>
          <w:tcPr>
            <w:tcW w:w="2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4"/>
              </w:rPr>
              <w:t>thousands)</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122,721</w:t>
            </w: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2"/>
              </w:rPr>
              <w:t>111,763</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10,958</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Other property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3,386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1,016</w:t>
            </w:r>
          </w:p>
        </w:tc>
        <w:tc>
          <w:tcPr>
            <w:tcW w:w="3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420"/>
              <w:spacing w:after="0"/>
              <w:rPr>
                <w:sz w:val="20"/>
                <w:szCs w:val="20"/>
                <w:color w:val="auto"/>
              </w:rPr>
            </w:pPr>
            <w:r>
              <w:rPr>
                <w:rFonts w:ascii="Arial" w:cs="Arial" w:eastAsia="Arial" w:hAnsi="Arial"/>
                <w:sz w:val="18"/>
                <w:szCs w:val="18"/>
                <w:color w:val="auto"/>
              </w:rPr>
              <w:t>Total property revenue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127,223</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12"/>
              <w:spacing w:after="0"/>
              <w:rPr>
                <w:sz w:val="20"/>
                <w:szCs w:val="20"/>
                <w:color w:val="auto"/>
              </w:rPr>
            </w:pPr>
            <w:r>
              <w:rPr>
                <w:rFonts w:ascii="Arial" w:cs="Arial" w:eastAsia="Arial" w:hAnsi="Arial"/>
                <w:sz w:val="18"/>
                <w:szCs w:val="18"/>
                <w:color w:val="auto"/>
                <w:w w:val="82"/>
              </w:rPr>
              <w:t>115,263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11,960</w:t>
            </w:r>
          </w:p>
        </w:tc>
        <w:tc>
          <w:tcPr>
            <w:tcW w:w="30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24,298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Real estate taxes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10,568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w:t>
            </w: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property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34,866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5,024</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20" w:type="dxa"/>
            <w:vAlign w:val="bottom"/>
          </w:tcPr>
          <w:p>
            <w:pPr>
              <w:ind w:left="860"/>
              <w:spacing w:after="0"/>
              <w:rPr>
                <w:sz w:val="20"/>
                <w:szCs w:val="20"/>
                <w:color w:val="auto"/>
              </w:rPr>
            </w:pPr>
            <w:r>
              <w:rPr>
                <w:rFonts w:ascii="Arial" w:cs="Arial" w:eastAsia="Arial" w:hAnsi="Arial"/>
                <w:sz w:val="18"/>
                <w:szCs w:val="18"/>
                <w:color w:val="auto"/>
              </w:rPr>
              <w:t>Property operating income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87,333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80,397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6,936</w:t>
            </w: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(24,353)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9"/>
              </w:rPr>
              <w:t>(27,337)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(6,934)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52"/>
              <w:spacing w:after="0"/>
              <w:rPr>
                <w:sz w:val="20"/>
                <w:szCs w:val="20"/>
                <w:color w:val="auto"/>
              </w:rPr>
            </w:pPr>
            <w:r>
              <w:rPr>
                <w:rFonts w:ascii="Arial" w:cs="Arial" w:eastAsia="Arial" w:hAnsi="Arial"/>
                <w:sz w:val="18"/>
                <w:szCs w:val="18"/>
                <w:color w:val="auto"/>
              </w:rPr>
              <w:t>(5,608)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(1,326)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(25,400)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9"/>
              </w:rPr>
              <w:t>(24,912)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color w:val="auto"/>
              </w:rPr>
              <w:t>Total other, net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line="20" w:lineRule="exact"/>
              <w:rPr>
                <w:sz w:val="1"/>
                <w:szCs w:val="1"/>
                <w:color w:val="auto"/>
              </w:rPr>
            </w:pPr>
          </w:p>
        </w:tc>
      </w:tr>
      <w:tr>
        <w:trPr>
          <w:trHeight w:val="230"/>
        </w:trPr>
        <w:tc>
          <w:tcPr>
            <w:tcW w:w="80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(56,015)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52"/>
              <w:spacing w:after="0"/>
              <w:rPr>
                <w:sz w:val="20"/>
                <w:szCs w:val="20"/>
                <w:color w:val="auto"/>
              </w:rPr>
            </w:pPr>
            <w:r>
              <w:rPr>
                <w:rFonts w:ascii="Arial" w:cs="Arial" w:eastAsia="Arial" w:hAnsi="Arial"/>
                <w:sz w:val="18"/>
                <w:szCs w:val="18"/>
                <w:color w:val="auto"/>
                <w:w w:val="89"/>
              </w:rPr>
              <w:t>(57,348)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1,333</w:t>
            </w:r>
          </w:p>
        </w:tc>
        <w:tc>
          <w:tcPr>
            <w:tcW w:w="30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 before minority interests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23,049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8,269</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Minority interests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52"/>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(1,383)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29,986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23,136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6,850</w:t>
            </w: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Total property revenue increased $12.0 million, or 10.4%, to $127.2 million in the three months ended March 31, 2008 compared to $115.3 million in the three months ended March 31, 2007. The percentage leased at our shopping centers decreased slightly to 96.1% at March 31, 2008 compared to 96.6% at March 31, 2007. Changes in the components of property revenue are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Rental income consists primarily of minimum rent, cost recoveries from tenants and percentage rent. Rental income increased $11.0 million, or 9.8%, to $122.7 million in the three months ended March 31, 2008 compared to $111.8 million in the three months ended March 31, 2007 due primarily to the following:</w:t>
      </w:r>
    </w:p>
    <w:p>
      <w:pPr>
        <w:spacing w:after="0" w:line="4"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$6.4 million attributable to properties acquired in 2007,</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$3.0 million at same-center properties due to increased rental rates on new leases, increased cost recoveries and increased percentage rent,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$1.6 million at redevelopment properties due primarily to increased rental rates on new leases.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Other property income increased $1.0 million, or 42.9%, to $3.4 million in the three months ended March 31, 2008 compared to $2.4 million in the three months ended March 31, 2007. Included in other property income are items which, although recurring, tend to fluctuate more than rental income from period to period, such as lease termination fees. This increase is due primarily to an increase in lease and other termination fees at same-center and redevelopment properties.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Total property expenses increased $5.0 million, or 14.4%, to $39.9 million in the three months ended March 31, 2008 compared to $34.9 million in the three months ended March 31, 2007. Changes in the components of property expenses are discussed below.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Rental expenses increased $3.0 million, or 12.5%, to $27.3 million in the three months ended March 31, 2008 compared to $24.3 million in the three months ended March 31, 2007. This increase is due primarily to the following:</w:t>
      </w:r>
    </w:p>
    <w:p>
      <w:pPr>
        <w:spacing w:after="0" w:line="51"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$1.2 million attributable to properties acquired in 2007,</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$0.8 million in repairs and maintenance at same-center and redevelopment properties,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$0.4 million in marketing expense at redevelopment properties,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$0.4 million in bad debt expense at same-center properties,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$0.3 million in utility costs at same-center and redevelopment properties.</w:t>
      </w:r>
    </w:p>
    <w:p>
      <w:pPr>
        <w:spacing w:after="0" w:line="17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As a result of the changes in rental income, rental expenses and other property income described above, rental expenses as a percentage of rental income plus other property income increased slightly to 21.7% in the three months ended March 31, 2008 from 21.3% in the three months ended March 31,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Real estate tax expense increased $2.0 million, or 18.9%, to $12.6 million in the three months ended March 31, 2008 compared to $10.6 million in the three months ended March 31, 2007. This increase is due primarily to an increase of $1.0 million related to properties acquired in 2007 and an increase of $0.9 million related to higher tax assessments at same-center properties.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Property operating income increased $6.9 million, or 8.6%, to $87.3 million in the three months ended March 31, 2008 compared to $80.4 million in the three months ended March 31, 2007. This increase is due primarily to the following:</w:t>
      </w:r>
    </w:p>
    <w:p>
      <w:pPr>
        <w:spacing w:after="0" w:line="51"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earnings attributable to properties acquired in 2007,</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in same-center earnings,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in earnings at redevelopment properties.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Interest expense decreased $3.0 million, or 10.9%, to $24.4 million in the three months ended March 31, 2008 compared to $27.3 million in the three months ended March 31, 2007. This decrease is due primarily to the following:</w:t>
      </w:r>
    </w:p>
    <w:p>
      <w:pPr>
        <w:spacing w:after="0" w:line="51" w:lineRule="exact"/>
        <w:rPr>
          <w:sz w:val="20"/>
          <w:szCs w:val="20"/>
          <w:color w:val="auto"/>
        </w:rPr>
      </w:pPr>
    </w:p>
    <w:p>
      <w:pPr>
        <w:ind w:left="900" w:right="2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of $1.5 million due to the termination of the Mid-Pike and Huntington capital leases on October 26, 2007, as part of the acquisition of the fee interests in these properties,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of $1.1 million due to a lower overall weighted average borrowing rate,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of $0.5 million due to lower borrowings.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Gross interest costs were $26.1 million and $29.3 million in the three months ended March 31, 2008 and 2007, respectively. Capitalized interest was $1.8 million and $1.9 million in the three months ended March 31, 2008 and 2007,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General and administrative expense increased $1.3 million, or 23.6%, to $6.9 million in the three months ended March 31, 2008 compared to $5.6 million in the three months ended March 31, 2007. Approximately $0.9 million of the increase is due to legal and other fees related to the litigation over a parcel of land adjacent to Santana Row and other legal matters. The remaining increase is primarily due to an increase in personnel and share-based and other compensation expense.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Depreciation and amortization expense increased $0.5 million, or 2.0%, to $25.4 million in the three months ended March 31, 2008 from $24.9 million in the three months ended March 31, 2007. This increase is due primarily to acquisitions and capital improvements at same-center and redevelopment properties.</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Discontinued Operations</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Income from discontinued operations represents the operating income of properties that have been disposed or will be disposed, which is required to be reported separately from results of ongoing operations. No properties were sold or to be sold for the three months ended March 31, 2008. The reported operating income of $1.4 million for the three months ended March 31, 2007, represents the operating income for the period during which we owned properties sold or to be sold in 2007.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operate our business on an asset management model, where asset management teams are responsible for a portfolio of assets. We manage our portfolio as two operating regions: East and West. Asset management teams consist of asset managers, leasing agents, development staff and financial personnel, each of whom has responsibility for a distinct portfolio.</w:t>
      </w:r>
    </w:p>
    <w:p>
      <w:pPr>
        <w:spacing w:after="0" w:line="14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following table provides selected key segment data for the three months ended March 31, 2008 and 2007. The results of properties classified as discontinued operations have been excluded for rental income, total revenue and property operating income from the following table.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83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2008</w:t>
            </w:r>
          </w:p>
        </w:tc>
        <w:tc>
          <w:tcPr>
            <w:tcW w:w="5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r>
      <w:tr>
        <w:trPr>
          <w:trHeight w:val="142"/>
        </w:trPr>
        <w:tc>
          <w:tcPr>
            <w:tcW w:w="8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60" w:type="dxa"/>
            <w:vAlign w:val="bottom"/>
            <w:gridSpan w:val="6"/>
          </w:tcPr>
          <w:p>
            <w:pPr>
              <w:jc w:val="right"/>
              <w:ind w:right="520"/>
              <w:spacing w:after="0" w:line="142" w:lineRule="exact"/>
              <w:rPr>
                <w:sz w:val="20"/>
                <w:szCs w:val="20"/>
                <w:color w:val="auto"/>
              </w:rPr>
            </w:pPr>
            <w:r>
              <w:rPr>
                <w:rFonts w:ascii="Arial" w:cs="Arial" w:eastAsia="Arial" w:hAnsi="Arial"/>
                <w:sz w:val="14"/>
                <w:szCs w:val="14"/>
                <w:b w:val="1"/>
                <w:bCs w:val="1"/>
                <w:color w:val="auto"/>
                <w:w w:val="90"/>
              </w:rPr>
              <w:t>(Dollars and square feet in thousands)</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East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340" w:type="dxa"/>
            <w:vAlign w:val="bottom"/>
          </w:tcPr>
          <w:p>
            <w:pPr>
              <w:ind w:left="440"/>
              <w:spacing w:after="0"/>
              <w:rPr>
                <w:sz w:val="20"/>
                <w:szCs w:val="20"/>
                <w:color w:val="auto"/>
              </w:rPr>
            </w:pPr>
            <w:r>
              <w:rPr>
                <w:rFonts w:ascii="Arial" w:cs="Arial" w:eastAsia="Arial" w:hAnsi="Arial"/>
                <w:sz w:val="18"/>
                <w:szCs w:val="18"/>
                <w:color w:val="auto"/>
              </w:rPr>
              <w:t>Rental income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95,458</w:t>
            </w:r>
          </w:p>
        </w:tc>
        <w:tc>
          <w:tcPr>
            <w:tcW w:w="5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86,264</w:t>
            </w:r>
          </w:p>
        </w:tc>
      </w:tr>
      <w:tr>
        <w:trPr>
          <w:trHeight w:val="216"/>
        </w:trPr>
        <w:tc>
          <w:tcPr>
            <w:tcW w:w="8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98,995</w:t>
            </w:r>
          </w:p>
        </w:tc>
        <w:tc>
          <w:tcPr>
            <w:tcW w:w="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88,561</w:t>
            </w:r>
          </w:p>
        </w:tc>
      </w:tr>
      <w:tr>
        <w:trPr>
          <w:trHeight w:val="216"/>
        </w:trPr>
        <w:tc>
          <w:tcPr>
            <w:tcW w:w="8340" w:type="dxa"/>
            <w:vAlign w:val="bottom"/>
          </w:tcPr>
          <w:p>
            <w:pPr>
              <w:ind w:left="440"/>
              <w:spacing w:after="0"/>
              <w:rPr>
                <w:sz w:val="20"/>
                <w:szCs w:val="20"/>
                <w:color w:val="auto"/>
              </w:rPr>
            </w:pPr>
            <w:r>
              <w:rPr>
                <w:rFonts w:ascii="Arial" w:cs="Arial" w:eastAsia="Arial" w:hAnsi="Arial"/>
                <w:sz w:val="18"/>
                <w:szCs w:val="18"/>
                <w:color w:val="auto"/>
              </w:rPr>
              <w:t>Property operating income (1)</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68,359</w:t>
            </w:r>
          </w:p>
        </w:tc>
        <w:tc>
          <w:tcPr>
            <w:tcW w:w="5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62,393</w:t>
            </w:r>
          </w:p>
        </w:tc>
      </w:tr>
      <w:tr>
        <w:trPr>
          <w:trHeight w:val="216"/>
        </w:trPr>
        <w:tc>
          <w:tcPr>
            <w:tcW w:w="8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69.1%</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16"/>
        </w:trPr>
        <w:tc>
          <w:tcPr>
            <w:tcW w:w="8340" w:type="dxa"/>
            <w:vAlign w:val="bottom"/>
          </w:tcPr>
          <w:p>
            <w:pPr>
              <w:ind w:left="440"/>
              <w:spacing w:after="0"/>
              <w:rPr>
                <w:sz w:val="20"/>
                <w:szCs w:val="20"/>
                <w:color w:val="auto"/>
              </w:rPr>
            </w:pPr>
            <w:r>
              <w:rPr>
                <w:rFonts w:ascii="Arial" w:cs="Arial" w:eastAsia="Arial" w:hAnsi="Arial"/>
                <w:sz w:val="18"/>
                <w:szCs w:val="18"/>
                <w:color w:val="auto"/>
              </w:rPr>
              <w:t>Gross leasable area (square feet)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15,569</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16,981</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West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340" w:type="dxa"/>
            <w:vAlign w:val="bottom"/>
          </w:tcPr>
          <w:p>
            <w:pPr>
              <w:ind w:left="440"/>
              <w:spacing w:after="0"/>
              <w:rPr>
                <w:sz w:val="20"/>
                <w:szCs w:val="20"/>
                <w:color w:val="auto"/>
              </w:rPr>
            </w:pPr>
            <w:r>
              <w:rPr>
                <w:rFonts w:ascii="Arial" w:cs="Arial" w:eastAsia="Arial" w:hAnsi="Arial"/>
                <w:sz w:val="18"/>
                <w:szCs w:val="18"/>
                <w:color w:val="auto"/>
              </w:rPr>
              <w:t>Rental income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27,263</w:t>
            </w:r>
          </w:p>
        </w:tc>
        <w:tc>
          <w:tcPr>
            <w:tcW w:w="5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25,499</w:t>
            </w:r>
          </w:p>
        </w:tc>
      </w:tr>
      <w:tr>
        <w:trPr>
          <w:trHeight w:val="216"/>
        </w:trPr>
        <w:tc>
          <w:tcPr>
            <w:tcW w:w="8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28,228</w:t>
            </w:r>
          </w:p>
        </w:tc>
        <w:tc>
          <w:tcPr>
            <w:tcW w:w="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26,702</w:t>
            </w:r>
          </w:p>
        </w:tc>
      </w:tr>
      <w:tr>
        <w:trPr>
          <w:trHeight w:val="216"/>
        </w:trPr>
        <w:tc>
          <w:tcPr>
            <w:tcW w:w="8340" w:type="dxa"/>
            <w:vAlign w:val="bottom"/>
          </w:tcPr>
          <w:p>
            <w:pPr>
              <w:ind w:left="440"/>
              <w:spacing w:after="0"/>
              <w:rPr>
                <w:sz w:val="20"/>
                <w:szCs w:val="20"/>
                <w:color w:val="auto"/>
              </w:rPr>
            </w:pPr>
            <w:r>
              <w:rPr>
                <w:rFonts w:ascii="Arial" w:cs="Arial" w:eastAsia="Arial" w:hAnsi="Arial"/>
                <w:sz w:val="18"/>
                <w:szCs w:val="18"/>
                <w:color w:val="auto"/>
              </w:rPr>
              <w:t>Property operating income (1)</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18,974</w:t>
            </w:r>
          </w:p>
        </w:tc>
        <w:tc>
          <w:tcPr>
            <w:tcW w:w="5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18,004</w:t>
            </w:r>
          </w:p>
        </w:tc>
      </w:tr>
      <w:tr>
        <w:trPr>
          <w:trHeight w:val="216"/>
        </w:trPr>
        <w:tc>
          <w:tcPr>
            <w:tcW w:w="8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67.2%</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w:t>
            </w:r>
          </w:p>
        </w:tc>
      </w:tr>
      <w:tr>
        <w:trPr>
          <w:trHeight w:val="222"/>
        </w:trPr>
        <w:tc>
          <w:tcPr>
            <w:tcW w:w="8340" w:type="dxa"/>
            <w:vAlign w:val="bottom"/>
          </w:tcPr>
          <w:p>
            <w:pPr>
              <w:ind w:left="440"/>
              <w:spacing w:after="0"/>
              <w:rPr>
                <w:sz w:val="20"/>
                <w:szCs w:val="20"/>
                <w:color w:val="auto"/>
              </w:rPr>
            </w:pPr>
            <w:r>
              <w:rPr>
                <w:rFonts w:ascii="Arial" w:cs="Arial" w:eastAsia="Arial" w:hAnsi="Arial"/>
                <w:sz w:val="18"/>
                <w:szCs w:val="18"/>
                <w:color w:val="auto"/>
              </w:rPr>
              <w:t>Gross leasable area (square feet)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2,628</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2,626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0" w:hanging="452"/>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Property operating income consists of rental income, other property income and mortgage interest income, less rental expenses and real estate taxes. This measure is used internally to evaluate the performance of our regional operations, and we consider it to be a significant measure.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East</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Rental income for the East region increased $9.2 million, or 10.7%, to $95.5 million in the three months ended March 31, 2008 compared to $86.3 million in the three months ended March 31, 2007 due primarily to the following:</w:t>
      </w:r>
    </w:p>
    <w:p>
      <w:pPr>
        <w:spacing w:after="0" w:line="5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$6.2 million attributable to properties acquired in 2007,</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$1.7 million at same-center properties due primarily to increased rental rates on new leases, increased cost recoveries and increased percentage rent,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$1.3 million at redevelopment properties.</w:t>
      </w:r>
    </w:p>
    <w:p>
      <w:pPr>
        <w:spacing w:after="0" w:line="171"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Property operating income for the East region increased $6.0 million due primarily to the increase in rental income discussed above and an increase in lease and other termination income. These increases in income were partially offset by a $2.8 million increase in rental expense due to the acquisition of properties and increases in expenses at same-center and redevelopment properties, and a $1.7 million increase in real estate taxes due primarily to the acquisition of properties and higher assessments on our same-center properties. As a result of these changes, the ratio of property operating income to total revenue for the East region decreased to 69.1% in the three months ended March 31, 2008 from 70.5% in the three months ended March 31, 2007.</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t>
      </w:r>
    </w:p>
    <w:p>
      <w:pPr>
        <w:spacing w:after="0" w:line="9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Rental income for the West region increased $1.8 million, or 6.9%, to $27.3 million in the three months ended March 31, 2008 from $25.5 million in the three months ended March 31, 2007 due primarily to the following:</w:t>
      </w:r>
    </w:p>
    <w:p>
      <w:pPr>
        <w:spacing w:after="0" w:line="51" w:lineRule="exact"/>
        <w:rPr>
          <w:sz w:val="20"/>
          <w:szCs w:val="20"/>
          <w:color w:val="auto"/>
        </w:rPr>
      </w:pPr>
    </w:p>
    <w:p>
      <w:pPr>
        <w:ind w:left="900" w:right="10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$1.3 million at same-center properties due primarily to increased residential rental rates at Santana Row, increased rental rates on new retail leases, and increased percentage rent,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$0.3 million at redevelopment projects,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$0.2 million attributable to a property acquired in 2007.</w:t>
      </w:r>
    </w:p>
    <w:p>
      <w:pPr>
        <w:spacing w:after="0" w:line="171"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Property operating income for the West region increased $1.0 million due primarily to the increase in rental income discussed above partially offset by a $0.6 million increase in rental expenses and real estate taxes. As a result of these changes, the ratio of property operating income to total revenue for the West region decreased to 67.2% in the three months ended March 31, 2008 from 67.4% in the three months ended March 31, 2007.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September 2006, the FASB issued SFAS No. 157 “Fair Value Measurements” (“SFAS No. 157”). SFAS No. 157 defines fair value, establishes a framework for measuring fair value in generally accepted accounting principles, and expands disclosures about fair value measurements. SFAS No. 157 applies to accounting pronouncements that require or permit fair value measurements, except for share-based payments under SFAS No. 123(R). We adopted the recognition and disclosure provisions of SFAS No. 157 for financial assets and financial liabilities and for nonfinancial assets and nonfinancial liabilities that are re-measured at least annually effective January 1, 2008; the adoption did not have a material impact on our financial position, results of operations or cash flows. We are required to adopt the provisions of SFAS No. 157 for all other nonfinancial assets and nonfinancial liabilities effective January 1, 2009 and do not expect the adoption to have a material impact on our financial position, results of operations or cash flows.</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Including an Amendment of FASB Statement No. 115” (“SFAS No. 159”). This standard permits entities to choose to measure many financial instruments and certain other items at fair value and is effective for the first fiscal year beginning after November 15, 2007. We did not make this fair value election when we adopted SFAS No. 159 effective January 1, 2008, and, therefore, it did not have an impact on our financial position, results of operations, or cash flows.</w:t>
      </w:r>
    </w:p>
    <w:p>
      <w:pPr>
        <w:spacing w:after="0" w:line="11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March 2008, the FASB issued SFAS No. 161, “Disclosures about Derivative Instruments and Hedging Activities, an amendment of FASB Statement No. 133” (“SFAS No. 161”). SFAS No. 161 requires enhanced disclosures about an entity’s derivative instruments and hedging activities and is effective for fiscal years beginning after November 15, 2008. We do not expect the adoption of SFAS No. 161 to have a material impact on our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Due to the nature of our business and strategy, we generally generate significant amounts of cash from operations. The cash generated from operations is primarily paid to our shareholders in the form of dividends. As a REIT, we must generally make annual distributions to shareholders of at least 90% of our REIT taxable income.</w:t>
      </w:r>
    </w:p>
    <w:p>
      <w:pPr>
        <w:spacing w:after="0" w:line="14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short-term liquidity requirements consist primarily of obligations under our capital and operating leases, normal recurring operating expenses,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Overall capital requirements in 2008 will depend upon acquisition opportunities, the level of improvements and redevelopments on existing properties and the timing and cost of development of future phases of existing properties.</w:t>
      </w:r>
    </w:p>
    <w:p>
      <w:pPr>
        <w:spacing w:after="0" w:line="14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Our long-term capital requirements consist primarily of maturities under our long-term debt, development and redevelopment costs and potential acquisitions. We expect to fund these through a combination of sources which we believe will be available to us, including additional and replacement secured and unsecured borrowings, issuance of additional equity, joint venture relationships relating to existing properties or new acquisitions and property dispositions.</w:t>
      </w:r>
    </w:p>
    <w:p>
      <w:pPr>
        <w:spacing w:after="0" w:line="10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cash needed to execute our strategy and invest in new properties, as well as to pay our debt at maturity, must come from one or more of the following sources:</w:t>
      </w:r>
    </w:p>
    <w:p>
      <w:pPr>
        <w:spacing w:after="0" w:line="51"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cash provided by operations that is not distributed to shareholders,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proceeds from the issuance of new debt or equity securities,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proceeds from property dispositions.</w:t>
      </w:r>
    </w:p>
    <w:p>
      <w:pPr>
        <w:spacing w:after="0" w:line="171"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It is management’s intention that we continually have access to the capital resources necessary to expand and develop our business. As a result, we intend to operate with and maintain a conservative capital structure that will allow us to maintain strong debt service coverage and fixed-charge coverage ratios as part of our commitment to investment-grade debt ratings. We may, from time to time, seek to obtain funds by the following means:</w:t>
      </w:r>
    </w:p>
    <w:p>
      <w:pPr>
        <w:spacing w:after="0" w:line="26"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additional equity offerings,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unsecured debt financing and/or mortgage financings, and</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debt and equity alternatives, including formation of joint ventures, in a manner consistent with our intention to operate with a conservative debt structure.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could affect our ability to meet our liquidity requirements:</w:t>
      </w:r>
    </w:p>
    <w:p>
      <w:pPr>
        <w:spacing w:after="0" w:line="90" w:lineRule="exact"/>
        <w:rPr>
          <w:sz w:val="20"/>
          <w:szCs w:val="20"/>
          <w:color w:val="auto"/>
        </w:rPr>
      </w:pPr>
    </w:p>
    <w:p>
      <w:pPr>
        <w:ind w:left="900" w:right="32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unable to obtain debt or equity financing on favorable terms, or at all, as a result of our financial condition or market conditions at the time we seek additional financing;</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stock equity may prohibit us from incurring debt or issuing equity at all or on acceptable terms under then-prevailing market conditions;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194"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We seek to maintain a staggered maturity schedule of debt maturities such that a disproportionate amount of debt maturities does not occur in any one year. Consistent therewith, we have less than $220 million of debt maturities occurring through December 31, 2008, $200 million of which can be extended for one-year at our option. Despite the current instability in the credit markets, we believe that we will be able to refinance these maturities.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were $27.7 million at March 31, 2008, which is a $23.0 million decrease from the balance of cash and cash equivalents at</w:t>
      </w:r>
    </w:p>
    <w:p>
      <w:pPr>
        <w:spacing w:after="0" w:line="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December 31, 2007. Cash and cash equivalents are not a good indicator of our liquidity. We have a $300.0 million unsecured revolving credit facility that matures July 27, 2010, subject to a one-year extension at our option. We utilize our revolving credit facility to finance the initial acquisition of properties and meet other short-term working capital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7"/>
              </w:rPr>
              <w:t>Three Months Ended March 31,</w:t>
            </w:r>
          </w:p>
        </w:tc>
        <w:tc>
          <w:tcPr>
            <w:tcW w:w="0" w:type="dxa"/>
            <w:vAlign w:val="bottom"/>
          </w:tcPr>
          <w:p>
            <w:pPr>
              <w:spacing w:after="0"/>
              <w:rPr>
                <w:sz w:val="1"/>
                <w:szCs w:val="1"/>
                <w:color w:val="auto"/>
              </w:rPr>
            </w:pPr>
          </w:p>
        </w:tc>
      </w:tr>
      <w:tr>
        <w:trPr>
          <w:trHeight w:val="142"/>
        </w:trPr>
        <w:tc>
          <w:tcPr>
            <w:tcW w:w="9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w w:val="83"/>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4"/>
              </w:rPr>
              <w:t>thousands)</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00" w:type="dxa"/>
            <w:vAlign w:val="bottom"/>
          </w:tcPr>
          <w:p>
            <w:pPr>
              <w:spacing w:after="0"/>
              <w:rPr>
                <w:sz w:val="18"/>
                <w:szCs w:val="18"/>
                <w:color w:val="auto"/>
              </w:rPr>
            </w:pPr>
          </w:p>
        </w:tc>
        <w:tc>
          <w:tcPr>
            <w:tcW w:w="1060" w:type="dxa"/>
            <w:vAlign w:val="bottom"/>
            <w:gridSpan w:val="2"/>
          </w:tcPr>
          <w:p>
            <w:pPr>
              <w:jc w:val="right"/>
              <w:ind w:right="172"/>
              <w:spacing w:after="0"/>
              <w:rPr>
                <w:sz w:val="20"/>
                <w:szCs w:val="20"/>
                <w:color w:val="auto"/>
              </w:rPr>
            </w:pPr>
            <w:r>
              <w:rPr>
                <w:rFonts w:ascii="Arial" w:cs="Arial" w:eastAsia="Arial" w:hAnsi="Arial"/>
                <w:sz w:val="18"/>
                <w:szCs w:val="18"/>
                <w:color w:val="auto"/>
              </w:rPr>
              <w:t>(38,815)</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(78,594)</w:t>
            </w: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(used in) provided by financing activities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(36,642)</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20" w:type="dxa"/>
            <w:vAlign w:val="bottom"/>
            <w:vMerge w:val="restart"/>
          </w:tcPr>
          <w:p>
            <w:pPr>
              <w:spacing w:after="0"/>
              <w:rPr>
                <w:sz w:val="20"/>
                <w:szCs w:val="20"/>
                <w:color w:val="auto"/>
              </w:rPr>
            </w:pPr>
            <w:r>
              <w:rPr>
                <w:rFonts w:ascii="Arial" w:cs="Arial" w:eastAsia="Arial" w:hAnsi="Arial"/>
                <w:sz w:val="18"/>
                <w:szCs w:val="18"/>
                <w:color w:val="auto"/>
              </w:rPr>
              <w:t>(Decrease) increase in cash and cash equivalents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72"/>
              <w:spacing w:after="0"/>
              <w:rPr>
                <w:sz w:val="20"/>
                <w:szCs w:val="20"/>
                <w:color w:val="auto"/>
              </w:rPr>
            </w:pPr>
            <w:r>
              <w:rPr>
                <w:rFonts w:ascii="Arial" w:cs="Arial" w:eastAsia="Arial" w:hAnsi="Arial"/>
                <w:sz w:val="18"/>
                <w:szCs w:val="18"/>
                <w:color w:val="auto"/>
              </w:rPr>
              <w:t>(23,037)</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50,691</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27,654</w:t>
            </w:r>
          </w:p>
        </w:tc>
        <w:tc>
          <w:tcPr>
            <w:tcW w:w="300" w:type="dxa"/>
            <w:vAlign w:val="bottom"/>
          </w:tcPr>
          <w:p>
            <w:pPr>
              <w:spacing w:after="0"/>
              <w:rPr>
                <w:sz w:val="19"/>
                <w:szCs w:val="19"/>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Net cash provided by operating activities decreased $3.3 million to $52.4 million during the three months ended March 31, 2008 from $55.7 million during the three months ended March 31, 2007. The decrease was primarily attributable to:</w:t>
      </w:r>
    </w:p>
    <w:p>
      <w:pPr>
        <w:spacing w:after="0" w:line="51"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$9.8 million decrease in cash provided for working capital due primarily to decreases in accounts payable, accrued expenses and prepaid rent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right="58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$6.5 million higher net income before gain on sale of real estate, income from real estate partnership, depreciation and amortization, minority interests, and other non-cash expenses.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Net cash used in investing activities decreased $39.8 million to $38.8 million during the three months ended March 31, 2008 from $78.6 million during the three months ended March 31, 2007. The decrease was primarily attributable to:</w:t>
      </w:r>
    </w:p>
    <w:p>
      <w:pPr>
        <w:spacing w:after="0" w:line="51"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$24.6 million decrease in acquisitions of real estate,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$21.6 million decrease in contributions to our unconsolidated real estate partnership due to acquisitions by the real estate partnership in 2007,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$5.6 million increase in capital expenditures.</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Net cash used in financing activities increased $64.0 million to $36.6 million during the three months ended March 31, 2008 from $27.4 million provided during the three months ended March 31, 2007. The increase was primarily attributable to:</w:t>
      </w:r>
    </w:p>
    <w:p>
      <w:pPr>
        <w:spacing w:after="0" w:line="51"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$59.5 million decrease in net borrowings on our revolving credit facility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$4.1 million increase in dividends paid to shareholders due to an increase in the dividend rate and increased number of shares outstanding.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joint venture partners in eight restaurants at Santana Row. Our investment balance in the restaurant joint ventures was approximately $7.9 million at March 31, 2008 and December 31, 2007. Our equity in earnings from the restaurant joint ventures was $0.2 million and $0.5 million for the three months ended March 31, 2008 and 2007, respectively.</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a joint venture arrangement (“the Partnership”) with affiliates of a discretionary fund created and advised by ING Clarion (“Clarion”). We own 30% of the equity in the Partnership, and Clarion owns 70%. We are the manager of the Partnership and its properties, earning fees for acquisitions, management, leasing and financing. We also have the opportunity to receive performance-based earnings through our Partnership interest. We account for our interest in the Partnership using the equity method. In total, at March 31, 2008, the Partnership had $81.5 million of mortgages payable outstanding.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March 31,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Original</w:t>
            </w:r>
          </w:p>
        </w:tc>
        <w:tc>
          <w:tcPr>
            <w:tcW w:w="2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Principal Balance</w:t>
            </w:r>
          </w:p>
        </w:tc>
        <w:tc>
          <w:tcPr>
            <w:tcW w:w="16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Stated Interest Rate</w:t>
            </w:r>
          </w:p>
        </w:tc>
        <w:tc>
          <w:tcPr>
            <w:tcW w:w="15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Debt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as of</w:t>
            </w:r>
          </w:p>
        </w:tc>
        <w:tc>
          <w:tcPr>
            <w:tcW w:w="16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79"/>
              </w:rPr>
              <w:t>as of</w:t>
            </w:r>
          </w:p>
        </w:tc>
        <w:tc>
          <w:tcPr>
            <w:tcW w:w="1520" w:type="dxa"/>
            <w:vAlign w:val="bottom"/>
          </w:tcPr>
          <w:p>
            <w:pPr>
              <w:spacing w:after="0"/>
              <w:rPr>
                <w:sz w:val="12"/>
                <w:szCs w:val="12"/>
                <w:color w:val="auto"/>
              </w:rPr>
            </w:pPr>
          </w:p>
        </w:tc>
      </w:tr>
      <w:tr>
        <w:trPr>
          <w:trHeight w:val="161"/>
        </w:trPr>
        <w:tc>
          <w:tcPr>
            <w:tcW w:w="4720" w:type="dxa"/>
            <w:vAlign w:val="bottom"/>
            <w:gridSpan w:val="3"/>
          </w:tcPr>
          <w:p>
            <w:pPr>
              <w:spacing w:after="0"/>
              <w:rPr>
                <w:sz w:val="20"/>
                <w:szCs w:val="20"/>
                <w:color w:val="auto"/>
              </w:rPr>
            </w:pPr>
            <w:r>
              <w:rPr>
                <w:rFonts w:ascii="Arial" w:cs="Arial" w:eastAsia="Arial" w:hAnsi="Arial"/>
                <w:sz w:val="14"/>
                <w:szCs w:val="14"/>
                <w:b w:val="1"/>
                <w:bCs w:val="1"/>
                <w:color w:val="auto"/>
              </w:rPr>
              <w:t>Description of Debt</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Issued</w:t>
            </w:r>
          </w:p>
        </w:tc>
        <w:tc>
          <w:tcPr>
            <w:tcW w:w="20" w:type="dxa"/>
            <w:vAlign w:val="bottom"/>
          </w:tcPr>
          <w:p>
            <w:pPr>
              <w:spacing w:after="0"/>
              <w:rPr>
                <w:sz w:val="14"/>
                <w:szCs w:val="14"/>
                <w:color w:val="auto"/>
              </w:rPr>
            </w:pPr>
          </w:p>
        </w:tc>
        <w:tc>
          <w:tcPr>
            <w:tcW w:w="14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2"/>
              </w:rPr>
              <w:t>March 31, 2008</w:t>
            </w:r>
          </w:p>
        </w:tc>
        <w:tc>
          <w:tcPr>
            <w:tcW w:w="16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March 31, 2008</w:t>
            </w:r>
          </w:p>
        </w:tc>
        <w:tc>
          <w:tcPr>
            <w:tcW w:w="1520" w:type="dxa"/>
            <w:vAlign w:val="bottom"/>
          </w:tcPr>
          <w:p>
            <w:pPr>
              <w:jc w:val="right"/>
              <w:ind w:right="253"/>
              <w:spacing w:after="0"/>
              <w:rPr>
                <w:sz w:val="20"/>
                <w:szCs w:val="20"/>
                <w:color w:val="auto"/>
              </w:rPr>
            </w:pPr>
            <w:r>
              <w:rPr>
                <w:rFonts w:ascii="Arial" w:cs="Arial" w:eastAsia="Arial" w:hAnsi="Arial"/>
                <w:sz w:val="14"/>
                <w:szCs w:val="14"/>
                <w:b w:val="1"/>
                <w:bCs w:val="1"/>
                <w:color w:val="auto"/>
              </w:rPr>
              <w:t>Maturity Date</w:t>
            </w: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6"/>
          </w:tcPr>
          <w:p>
            <w:pPr>
              <w:jc w:val="right"/>
              <w:ind w:right="8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Mortgage loans (1)</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Leesburg Plaza</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9,900</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9,597</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6.510%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 2008</w:t>
            </w:r>
          </w:p>
        </w:tc>
      </w:tr>
      <w:tr>
        <w:trPr>
          <w:trHeight w:val="216"/>
        </w:trPr>
        <w:tc>
          <w:tcPr>
            <w:tcW w:w="20" w:type="dxa"/>
            <w:vAlign w:val="bottom"/>
          </w:tcPr>
          <w:p>
            <w:pPr>
              <w:spacing w:after="0"/>
              <w:rPr>
                <w:sz w:val="18"/>
                <w:szCs w:val="18"/>
                <w:color w:val="auto"/>
              </w:rPr>
            </w:pPr>
          </w:p>
        </w:tc>
        <w:tc>
          <w:tcPr>
            <w:tcW w:w="4700" w:type="dxa"/>
            <w:vAlign w:val="bottom"/>
            <w:gridSpan w:val="2"/>
          </w:tcPr>
          <w:p>
            <w:pPr>
              <w:ind w:left="860"/>
              <w:spacing w:after="0"/>
              <w:rPr>
                <w:sz w:val="20"/>
                <w:szCs w:val="20"/>
                <w:color w:val="auto"/>
              </w:rPr>
            </w:pPr>
            <w:r>
              <w:rPr>
                <w:rFonts w:ascii="Arial" w:cs="Arial" w:eastAsia="Arial" w:hAnsi="Arial"/>
                <w:sz w:val="18"/>
                <w:szCs w:val="18"/>
                <w:color w:val="auto"/>
              </w:rPr>
              <w:t>164 E. Houston Street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7.500%</w:t>
            </w:r>
          </w:p>
        </w:tc>
        <w:tc>
          <w:tcPr>
            <w:tcW w:w="1520" w:type="dxa"/>
            <w:vAlign w:val="bottom"/>
          </w:tcPr>
          <w:p>
            <w:pPr>
              <w:jc w:val="right"/>
              <w:spacing w:after="0"/>
              <w:rPr>
                <w:sz w:val="20"/>
                <w:szCs w:val="20"/>
                <w:color w:val="auto"/>
              </w:rPr>
            </w:pPr>
            <w:r>
              <w:rPr>
                <w:rFonts w:ascii="Arial" w:cs="Arial" w:eastAsia="Arial" w:hAnsi="Arial"/>
                <w:sz w:val="18"/>
                <w:szCs w:val="18"/>
                <w:color w:val="auto"/>
              </w:rPr>
              <w:t>October 6, 2008</w:t>
            </w: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White Marsh Other</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Acquired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6.060%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December 31, 2008</w:t>
            </w:r>
          </w:p>
        </w:tc>
      </w:tr>
      <w:tr>
        <w:trPr>
          <w:trHeight w:val="216"/>
        </w:trPr>
        <w:tc>
          <w:tcPr>
            <w:tcW w:w="20" w:type="dxa"/>
            <w:vAlign w:val="bottom"/>
          </w:tcPr>
          <w:p>
            <w:pPr>
              <w:spacing w:after="0"/>
              <w:rPr>
                <w:sz w:val="18"/>
                <w:szCs w:val="18"/>
                <w:color w:val="auto"/>
              </w:rPr>
            </w:pPr>
          </w:p>
        </w:tc>
        <w:tc>
          <w:tcPr>
            <w:tcW w:w="4700" w:type="dxa"/>
            <w:vAlign w:val="bottom"/>
            <w:gridSpan w:val="2"/>
          </w:tcPr>
          <w:p>
            <w:pPr>
              <w:ind w:left="860"/>
              <w:spacing w:after="0"/>
              <w:rPr>
                <w:sz w:val="20"/>
                <w:szCs w:val="20"/>
                <w:color w:val="auto"/>
              </w:rPr>
            </w:pPr>
            <w:r>
              <w:rPr>
                <w:rFonts w:ascii="Arial" w:cs="Arial" w:eastAsia="Arial" w:hAnsi="Arial"/>
                <w:sz w:val="18"/>
                <w:szCs w:val="18"/>
                <w:color w:val="auto"/>
              </w:rPr>
              <w:t>Mercer Mall</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Acquired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4,421</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8.375%</w:t>
            </w:r>
          </w:p>
        </w:tc>
        <w:tc>
          <w:tcPr>
            <w:tcW w:w="1520" w:type="dxa"/>
            <w:vAlign w:val="bottom"/>
          </w:tcPr>
          <w:p>
            <w:pPr>
              <w:jc w:val="right"/>
              <w:spacing w:after="0"/>
              <w:rPr>
                <w:sz w:val="20"/>
                <w:szCs w:val="20"/>
                <w:color w:val="auto"/>
              </w:rPr>
            </w:pPr>
            <w:r>
              <w:rPr>
                <w:rFonts w:ascii="Arial" w:cs="Arial" w:eastAsia="Arial" w:hAnsi="Arial"/>
                <w:sz w:val="18"/>
                <w:szCs w:val="18"/>
                <w:color w:val="auto"/>
              </w:rPr>
              <w:t>April 1, 2009</w:t>
            </w: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Federal Plaza</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36,500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33,539</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1, 2011</w:t>
            </w:r>
          </w:p>
        </w:tc>
      </w:tr>
      <w:tr>
        <w:trPr>
          <w:trHeight w:val="216"/>
        </w:trPr>
        <w:tc>
          <w:tcPr>
            <w:tcW w:w="20" w:type="dxa"/>
            <w:vAlign w:val="bottom"/>
          </w:tcPr>
          <w:p>
            <w:pPr>
              <w:spacing w:after="0"/>
              <w:rPr>
                <w:sz w:val="18"/>
                <w:szCs w:val="18"/>
                <w:color w:val="auto"/>
              </w:rPr>
            </w:pPr>
          </w:p>
        </w:tc>
        <w:tc>
          <w:tcPr>
            <w:tcW w:w="4700" w:type="dxa"/>
            <w:vAlign w:val="bottom"/>
            <w:gridSpan w:val="2"/>
          </w:tcPr>
          <w:p>
            <w:pPr>
              <w:ind w:left="860"/>
              <w:spacing w:after="0"/>
              <w:rPr>
                <w:sz w:val="20"/>
                <w:szCs w:val="20"/>
                <w:color w:val="auto"/>
              </w:rPr>
            </w:pPr>
            <w:r>
              <w:rPr>
                <w:rFonts w:ascii="Arial" w:cs="Arial" w:eastAsia="Arial" w:hAnsi="Arial"/>
                <w:sz w:val="18"/>
                <w:szCs w:val="18"/>
                <w:color w:val="auto"/>
              </w:rPr>
              <w:t>Tysons Station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7,000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6,178</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7.400%</w:t>
            </w:r>
          </w:p>
        </w:tc>
        <w:tc>
          <w:tcPr>
            <w:tcW w:w="1520" w:type="dxa"/>
            <w:vAlign w:val="bottom"/>
          </w:tcPr>
          <w:p>
            <w:pPr>
              <w:jc w:val="right"/>
              <w:spacing w:after="0"/>
              <w:rPr>
                <w:sz w:val="20"/>
                <w:szCs w:val="20"/>
                <w:color w:val="auto"/>
              </w:rPr>
            </w:pPr>
            <w:r>
              <w:rPr>
                <w:rFonts w:ascii="Arial" w:cs="Arial" w:eastAsia="Arial" w:hAnsi="Arial"/>
                <w:sz w:val="18"/>
                <w:szCs w:val="18"/>
                <w:color w:val="auto"/>
                <w:w w:val="97"/>
              </w:rPr>
              <w:t>September 1, 2011</w:t>
            </w: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White Marsh Plaza (2)</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Acquired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10,289</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6.040%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 2013</w:t>
            </w:r>
          </w:p>
        </w:tc>
      </w:tr>
      <w:tr>
        <w:trPr>
          <w:trHeight w:val="216"/>
        </w:trPr>
        <w:tc>
          <w:tcPr>
            <w:tcW w:w="20" w:type="dxa"/>
            <w:vAlign w:val="bottom"/>
          </w:tcPr>
          <w:p>
            <w:pPr>
              <w:spacing w:after="0"/>
              <w:rPr>
                <w:sz w:val="18"/>
                <w:szCs w:val="18"/>
                <w:color w:val="auto"/>
              </w:rPr>
            </w:pPr>
          </w:p>
        </w:tc>
        <w:tc>
          <w:tcPr>
            <w:tcW w:w="4700" w:type="dxa"/>
            <w:vAlign w:val="bottom"/>
            <w:gridSpan w:val="2"/>
          </w:tcPr>
          <w:p>
            <w:pPr>
              <w:ind w:left="860"/>
              <w:spacing w:after="0"/>
              <w:rPr>
                <w:sz w:val="20"/>
                <w:szCs w:val="20"/>
                <w:color w:val="auto"/>
              </w:rPr>
            </w:pPr>
            <w:r>
              <w:rPr>
                <w:rFonts w:ascii="Arial" w:cs="Arial" w:eastAsia="Arial" w:hAnsi="Arial"/>
                <w:sz w:val="18"/>
                <w:szCs w:val="18"/>
                <w:color w:val="auto"/>
              </w:rPr>
              <w:t>Crow Canyon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Acquired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21,495</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5.400%</w:t>
            </w:r>
          </w:p>
        </w:tc>
        <w:tc>
          <w:tcPr>
            <w:tcW w:w="1520" w:type="dxa"/>
            <w:vAlign w:val="bottom"/>
          </w:tcPr>
          <w:p>
            <w:pPr>
              <w:jc w:val="right"/>
              <w:spacing w:after="0"/>
              <w:rPr>
                <w:sz w:val="20"/>
                <w:szCs w:val="20"/>
                <w:color w:val="auto"/>
              </w:rPr>
            </w:pPr>
            <w:r>
              <w:rPr>
                <w:rFonts w:ascii="Arial" w:cs="Arial" w:eastAsia="Arial" w:hAnsi="Arial"/>
                <w:sz w:val="18"/>
                <w:szCs w:val="18"/>
                <w:color w:val="auto"/>
              </w:rPr>
              <w:t>August 11, 2013</w:t>
            </w: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Melville Mall (3)</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Acquired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24,939</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September 1, 2014</w:t>
            </w:r>
          </w:p>
        </w:tc>
      </w:tr>
      <w:tr>
        <w:trPr>
          <w:trHeight w:val="216"/>
        </w:trPr>
        <w:tc>
          <w:tcPr>
            <w:tcW w:w="20" w:type="dxa"/>
            <w:vAlign w:val="bottom"/>
          </w:tcPr>
          <w:p>
            <w:pPr>
              <w:spacing w:after="0"/>
              <w:rPr>
                <w:sz w:val="18"/>
                <w:szCs w:val="18"/>
                <w:color w:val="auto"/>
              </w:rPr>
            </w:pPr>
          </w:p>
        </w:tc>
        <w:tc>
          <w:tcPr>
            <w:tcW w:w="4700" w:type="dxa"/>
            <w:vAlign w:val="bottom"/>
            <w:gridSpan w:val="2"/>
          </w:tcPr>
          <w:p>
            <w:pPr>
              <w:ind w:left="860"/>
              <w:spacing w:after="0"/>
              <w:rPr>
                <w:sz w:val="20"/>
                <w:szCs w:val="20"/>
                <w:color w:val="auto"/>
              </w:rPr>
            </w:pPr>
            <w:r>
              <w:rPr>
                <w:rFonts w:ascii="Arial" w:cs="Arial" w:eastAsia="Arial" w:hAnsi="Arial"/>
                <w:sz w:val="18"/>
                <w:szCs w:val="18"/>
                <w:color w:val="auto"/>
              </w:rPr>
              <w:t>THE AVENUE at White Marsh</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Acquired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60,786</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5.460%</w:t>
            </w:r>
          </w:p>
        </w:tc>
        <w:tc>
          <w:tcPr>
            <w:tcW w:w="1520" w:type="dxa"/>
            <w:vAlign w:val="bottom"/>
          </w:tcPr>
          <w:p>
            <w:pPr>
              <w:jc w:val="right"/>
              <w:spacing w:after="0"/>
              <w:rPr>
                <w:sz w:val="20"/>
                <w:szCs w:val="20"/>
                <w:color w:val="auto"/>
              </w:rPr>
            </w:pPr>
            <w:r>
              <w:rPr>
                <w:rFonts w:ascii="Arial" w:cs="Arial" w:eastAsia="Arial" w:hAnsi="Arial"/>
                <w:sz w:val="18"/>
                <w:szCs w:val="18"/>
                <w:color w:val="auto"/>
              </w:rPr>
              <w:t>January 1, 2015</w:t>
            </w: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Barracks Road</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44,300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41,823</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4700" w:type="dxa"/>
            <w:vAlign w:val="bottom"/>
            <w:gridSpan w:val="2"/>
          </w:tcPr>
          <w:p>
            <w:pPr>
              <w:ind w:left="860"/>
              <w:spacing w:after="0"/>
              <w:rPr>
                <w:sz w:val="20"/>
                <w:szCs w:val="20"/>
                <w:color w:val="auto"/>
              </w:rPr>
            </w:pPr>
            <w:r>
              <w:rPr>
                <w:rFonts w:ascii="Arial" w:cs="Arial" w:eastAsia="Arial" w:hAnsi="Arial"/>
                <w:sz w:val="18"/>
                <w:szCs w:val="18"/>
                <w:color w:val="auto"/>
              </w:rPr>
              <w:t>Hauppauge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16,700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15,766</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7.950%</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Lawrence Park</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31,400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29,644</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4700" w:type="dxa"/>
            <w:vAlign w:val="bottom"/>
            <w:gridSpan w:val="2"/>
          </w:tcPr>
          <w:p>
            <w:pPr>
              <w:ind w:left="860"/>
              <w:spacing w:after="0"/>
              <w:rPr>
                <w:sz w:val="20"/>
                <w:szCs w:val="20"/>
                <w:color w:val="auto"/>
              </w:rPr>
            </w:pPr>
            <w:r>
              <w:rPr>
                <w:rFonts w:ascii="Arial" w:cs="Arial" w:eastAsia="Arial" w:hAnsi="Arial"/>
                <w:sz w:val="18"/>
                <w:szCs w:val="18"/>
                <w:color w:val="auto"/>
              </w:rPr>
              <w:t>Wildwood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27,600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26,057</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7.950%</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Wynnewood</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30,211</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4700" w:type="dxa"/>
            <w:vAlign w:val="bottom"/>
            <w:gridSpan w:val="2"/>
          </w:tcPr>
          <w:p>
            <w:pPr>
              <w:ind w:left="860"/>
              <w:spacing w:after="0"/>
              <w:rPr>
                <w:sz w:val="20"/>
                <w:szCs w:val="20"/>
                <w:color w:val="auto"/>
              </w:rPr>
            </w:pPr>
            <w:r>
              <w:rPr>
                <w:rFonts w:ascii="Arial" w:cs="Arial" w:eastAsia="Arial" w:hAnsi="Arial"/>
                <w:sz w:val="18"/>
                <w:szCs w:val="18"/>
                <w:color w:val="auto"/>
              </w:rPr>
              <w:t>Brick Plaza</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33,000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30,996</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7.415%</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Shoppers’ World</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Acquired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5.910%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31, 2021</w:t>
            </w:r>
          </w:p>
        </w:tc>
      </w:tr>
      <w:tr>
        <w:trPr>
          <w:trHeight w:val="216"/>
        </w:trPr>
        <w:tc>
          <w:tcPr>
            <w:tcW w:w="20" w:type="dxa"/>
            <w:vAlign w:val="bottom"/>
          </w:tcPr>
          <w:p>
            <w:pPr>
              <w:spacing w:after="0"/>
              <w:rPr>
                <w:sz w:val="18"/>
                <w:szCs w:val="18"/>
                <w:color w:val="auto"/>
              </w:rPr>
            </w:pPr>
          </w:p>
        </w:tc>
        <w:tc>
          <w:tcPr>
            <w:tcW w:w="4700" w:type="dxa"/>
            <w:vAlign w:val="bottom"/>
            <w:gridSpan w:val="2"/>
          </w:tcPr>
          <w:p>
            <w:pPr>
              <w:ind w:left="860"/>
              <w:spacing w:after="0"/>
              <w:rPr>
                <w:sz w:val="20"/>
                <w:szCs w:val="20"/>
                <w:color w:val="auto"/>
              </w:rPr>
            </w:pPr>
            <w:r>
              <w:rPr>
                <w:rFonts w:ascii="Arial" w:cs="Arial" w:eastAsia="Arial" w:hAnsi="Arial"/>
                <w:sz w:val="18"/>
                <w:szCs w:val="18"/>
                <w:color w:val="auto"/>
              </w:rPr>
              <w:t>Mount Vernon (4)</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13,250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11,883</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5.660%</w:t>
            </w:r>
          </w:p>
        </w:tc>
        <w:tc>
          <w:tcPr>
            <w:tcW w:w="1520" w:type="dxa"/>
            <w:vAlign w:val="bottom"/>
          </w:tcPr>
          <w:p>
            <w:pPr>
              <w:jc w:val="right"/>
              <w:spacing w:after="0"/>
              <w:rPr>
                <w:sz w:val="20"/>
                <w:szCs w:val="20"/>
                <w:color w:val="auto"/>
              </w:rPr>
            </w:pPr>
            <w:r>
              <w:rPr>
                <w:rFonts w:ascii="Arial" w:cs="Arial" w:eastAsia="Arial" w:hAnsi="Arial"/>
                <w:sz w:val="18"/>
                <w:szCs w:val="18"/>
                <w:color w:val="auto"/>
              </w:rPr>
              <w:t>April 15, 2028</w:t>
            </w: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Chelsea</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Acquired</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8,206</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5.360%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15, 2031</w:t>
            </w: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Subtotal</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372,953</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unamortized discount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(620)</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Total mortgage loans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372,333</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Term note (5)</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200,000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LIBOR + 0.575%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6, 2008</w:t>
            </w:r>
          </w:p>
        </w:tc>
      </w:tr>
      <w:tr>
        <w:trPr>
          <w:trHeight w:val="216"/>
        </w:trPr>
        <w:tc>
          <w:tcPr>
            <w:tcW w:w="20" w:type="dxa"/>
            <w:vAlign w:val="bottom"/>
          </w:tcPr>
          <w:p>
            <w:pPr>
              <w:spacing w:after="0"/>
              <w:rPr>
                <w:sz w:val="18"/>
                <w:szCs w:val="18"/>
                <w:color w:val="auto"/>
              </w:rPr>
            </w:pPr>
          </w:p>
        </w:tc>
        <w:tc>
          <w:tcPr>
            <w:tcW w:w="4700" w:type="dxa"/>
            <w:vAlign w:val="bottom"/>
            <w:gridSpan w:val="2"/>
          </w:tcPr>
          <w:p>
            <w:pPr>
              <w:ind w:left="860"/>
              <w:spacing w:after="0"/>
              <w:rPr>
                <w:sz w:val="20"/>
                <w:szCs w:val="20"/>
                <w:color w:val="auto"/>
              </w:rPr>
            </w:pPr>
            <w:r>
              <w:rPr>
                <w:rFonts w:ascii="Arial" w:cs="Arial" w:eastAsia="Arial" w:hAnsi="Arial"/>
                <w:sz w:val="18"/>
                <w:szCs w:val="18"/>
                <w:color w:val="auto"/>
              </w:rPr>
              <w:t>Perring Plaza renovation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3,087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1,366</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10.000%</w:t>
            </w:r>
          </w:p>
        </w:tc>
        <w:tc>
          <w:tcPr>
            <w:tcW w:w="1520" w:type="dxa"/>
            <w:vAlign w:val="bottom"/>
          </w:tcPr>
          <w:p>
            <w:pPr>
              <w:jc w:val="right"/>
              <w:spacing w:after="0"/>
              <w:rPr>
                <w:sz w:val="20"/>
                <w:szCs w:val="20"/>
                <w:color w:val="auto"/>
              </w:rPr>
            </w:pPr>
            <w:r>
              <w:rPr>
                <w:rFonts w:ascii="Arial" w:cs="Arial" w:eastAsia="Arial" w:hAnsi="Arial"/>
                <w:sz w:val="18"/>
                <w:szCs w:val="18"/>
                <w:color w:val="auto"/>
              </w:rPr>
              <w:t>January 31, 2013</w:t>
            </w: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variable rate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860"/>
              <w:spacing w:after="0"/>
              <w:rPr>
                <w:sz w:val="20"/>
                <w:szCs w:val="20"/>
                <w:color w:val="auto"/>
              </w:rPr>
            </w:pPr>
            <w:r>
              <w:rPr>
                <w:rFonts w:ascii="Arial" w:cs="Arial" w:eastAsia="Arial" w:hAnsi="Arial"/>
                <w:sz w:val="18"/>
                <w:szCs w:val="18"/>
                <w:color w:val="auto"/>
              </w:rPr>
              <w:t>Revolving credit facilities (6)</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300,000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LIBOR + 0.425%</w:t>
            </w:r>
          </w:p>
        </w:tc>
        <w:tc>
          <w:tcPr>
            <w:tcW w:w="1520" w:type="dxa"/>
            <w:vAlign w:val="bottom"/>
          </w:tcPr>
          <w:p>
            <w:pPr>
              <w:jc w:val="right"/>
              <w:spacing w:after="0"/>
              <w:rPr>
                <w:sz w:val="20"/>
                <w:szCs w:val="20"/>
                <w:color w:val="auto"/>
              </w:rPr>
            </w:pPr>
            <w:r>
              <w:rPr>
                <w:rFonts w:ascii="Arial" w:cs="Arial" w:eastAsia="Arial" w:hAnsi="Arial"/>
                <w:sz w:val="18"/>
                <w:szCs w:val="18"/>
                <w:color w:val="auto"/>
              </w:rPr>
              <w:t>July 27, 2010</w:t>
            </w: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Escondido (Municipal bonds) (7)</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9,400</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2.406%</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 2016</w:t>
            </w:r>
          </w:p>
        </w:tc>
      </w:t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Total notes payable</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210,766</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 notes and debentures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8.75% notes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175,000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 2009</w:t>
            </w:r>
          </w:p>
        </w:tc>
      </w:tr>
      <w:tr>
        <w:trPr>
          <w:trHeight w:val="216"/>
        </w:trPr>
        <w:tc>
          <w:tcPr>
            <w:tcW w:w="20" w:type="dxa"/>
            <w:vAlign w:val="bottom"/>
          </w:tcPr>
          <w:p>
            <w:pPr>
              <w:spacing w:after="0"/>
              <w:rPr>
                <w:sz w:val="18"/>
                <w:szCs w:val="18"/>
                <w:color w:val="auto"/>
              </w:rPr>
            </w:pPr>
          </w:p>
        </w:tc>
        <w:tc>
          <w:tcPr>
            <w:tcW w:w="4700" w:type="dxa"/>
            <w:vAlign w:val="bottom"/>
            <w:gridSpan w:val="2"/>
          </w:tcPr>
          <w:p>
            <w:pPr>
              <w:ind w:left="860"/>
              <w:spacing w:after="0"/>
              <w:rPr>
                <w:sz w:val="20"/>
                <w:szCs w:val="20"/>
                <w:color w:val="auto"/>
              </w:rPr>
            </w:pPr>
            <w:r>
              <w:rPr>
                <w:rFonts w:ascii="Arial" w:cs="Arial" w:eastAsia="Arial" w:hAnsi="Arial"/>
                <w:sz w:val="18"/>
                <w:szCs w:val="18"/>
                <w:color w:val="auto"/>
              </w:rPr>
              <w:t>4.50% notes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75,000</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4.500%</w:t>
            </w:r>
          </w:p>
        </w:tc>
        <w:tc>
          <w:tcPr>
            <w:tcW w:w="1520" w:type="dxa"/>
            <w:vAlign w:val="bottom"/>
          </w:tcPr>
          <w:p>
            <w:pPr>
              <w:jc w:val="right"/>
              <w:spacing w:after="0"/>
              <w:rPr>
                <w:sz w:val="20"/>
                <w:szCs w:val="20"/>
                <w:color w:val="auto"/>
              </w:rPr>
            </w:pPr>
            <w:r>
              <w:rPr>
                <w:rFonts w:ascii="Arial" w:cs="Arial" w:eastAsia="Arial" w:hAnsi="Arial"/>
                <w:sz w:val="18"/>
                <w:szCs w:val="18"/>
                <w:color w:val="auto"/>
              </w:rPr>
              <w:t>February 15, 2011</w:t>
            </w: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6.00% notes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175,000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15, 2012</w:t>
            </w:r>
          </w:p>
        </w:tc>
      </w:tr>
      <w:tr>
        <w:trPr>
          <w:trHeight w:val="216"/>
        </w:trPr>
        <w:tc>
          <w:tcPr>
            <w:tcW w:w="20" w:type="dxa"/>
            <w:vAlign w:val="bottom"/>
          </w:tcPr>
          <w:p>
            <w:pPr>
              <w:spacing w:after="0"/>
              <w:rPr>
                <w:sz w:val="18"/>
                <w:szCs w:val="18"/>
                <w:color w:val="auto"/>
              </w:rPr>
            </w:pPr>
          </w:p>
        </w:tc>
        <w:tc>
          <w:tcPr>
            <w:tcW w:w="4700" w:type="dxa"/>
            <w:vAlign w:val="bottom"/>
            <w:gridSpan w:val="2"/>
          </w:tcPr>
          <w:p>
            <w:pPr>
              <w:ind w:left="860"/>
              <w:spacing w:after="0"/>
              <w:rPr>
                <w:sz w:val="20"/>
                <w:szCs w:val="20"/>
                <w:color w:val="auto"/>
              </w:rPr>
            </w:pPr>
            <w:r>
              <w:rPr>
                <w:rFonts w:ascii="Arial" w:cs="Arial" w:eastAsia="Arial" w:hAnsi="Arial"/>
                <w:sz w:val="18"/>
                <w:szCs w:val="18"/>
                <w:color w:val="auto"/>
              </w:rPr>
              <w:t>5.40% notes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135,000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135,000</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5.400%</w:t>
            </w:r>
          </w:p>
        </w:tc>
        <w:tc>
          <w:tcPr>
            <w:tcW w:w="1520" w:type="dxa"/>
            <w:vAlign w:val="bottom"/>
          </w:tcPr>
          <w:p>
            <w:pPr>
              <w:jc w:val="right"/>
              <w:spacing w:after="0"/>
              <w:rPr>
                <w:sz w:val="20"/>
                <w:szCs w:val="20"/>
                <w:color w:val="auto"/>
              </w:rPr>
            </w:pPr>
            <w:r>
              <w:rPr>
                <w:rFonts w:ascii="Arial" w:cs="Arial" w:eastAsia="Arial" w:hAnsi="Arial"/>
                <w:sz w:val="18"/>
                <w:szCs w:val="18"/>
                <w:color w:val="auto"/>
              </w:rPr>
              <w:t>December 1, 2013</w:t>
            </w: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5.65% notes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125,000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1, 2016</w:t>
            </w:r>
          </w:p>
        </w:tc>
      </w:tr>
      <w:tr>
        <w:trPr>
          <w:trHeight w:val="216"/>
        </w:trPr>
        <w:tc>
          <w:tcPr>
            <w:tcW w:w="20" w:type="dxa"/>
            <w:vAlign w:val="bottom"/>
          </w:tcPr>
          <w:p>
            <w:pPr>
              <w:spacing w:after="0"/>
              <w:rPr>
                <w:sz w:val="18"/>
                <w:szCs w:val="18"/>
                <w:color w:val="auto"/>
              </w:rPr>
            </w:pPr>
          </w:p>
        </w:tc>
        <w:tc>
          <w:tcPr>
            <w:tcW w:w="4700" w:type="dxa"/>
            <w:vAlign w:val="bottom"/>
            <w:gridSpan w:val="2"/>
          </w:tcPr>
          <w:p>
            <w:pPr>
              <w:ind w:left="860"/>
              <w:spacing w:after="0"/>
              <w:rPr>
                <w:sz w:val="20"/>
                <w:szCs w:val="20"/>
                <w:color w:val="auto"/>
              </w:rPr>
            </w:pPr>
            <w:r>
              <w:rPr>
                <w:rFonts w:ascii="Arial" w:cs="Arial" w:eastAsia="Arial" w:hAnsi="Arial"/>
                <w:sz w:val="18"/>
                <w:szCs w:val="18"/>
                <w:color w:val="auto"/>
              </w:rPr>
              <w:t>6.20% notes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200,000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200,000</w:t>
            </w: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6.200%</w:t>
            </w:r>
          </w:p>
        </w:tc>
        <w:tc>
          <w:tcPr>
            <w:tcW w:w="1520" w:type="dxa"/>
            <w:vAlign w:val="bottom"/>
          </w:tcPr>
          <w:p>
            <w:pPr>
              <w:jc w:val="right"/>
              <w:spacing w:after="0"/>
              <w:rPr>
                <w:sz w:val="20"/>
                <w:szCs w:val="20"/>
                <w:color w:val="auto"/>
              </w:rPr>
            </w:pPr>
            <w:r>
              <w:rPr>
                <w:rFonts w:ascii="Arial" w:cs="Arial" w:eastAsia="Arial" w:hAnsi="Arial"/>
                <w:sz w:val="18"/>
                <w:szCs w:val="18"/>
                <w:color w:val="auto"/>
              </w:rPr>
              <w:t>January 15, 2017</w:t>
            </w: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7.48% debentures (8)</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7.480%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15, 2026</w:t>
            </w:r>
          </w:p>
        </w:tc>
      </w:tr>
      <w:tr>
        <w:trPr>
          <w:trHeight w:val="223"/>
        </w:trPr>
        <w:tc>
          <w:tcPr>
            <w:tcW w:w="20" w:type="dxa"/>
            <w:vAlign w:val="bottom"/>
          </w:tcPr>
          <w:p>
            <w:pPr>
              <w:spacing w:after="0"/>
              <w:rPr>
                <w:sz w:val="19"/>
                <w:szCs w:val="19"/>
                <w:color w:val="auto"/>
              </w:rPr>
            </w:pPr>
          </w:p>
        </w:tc>
        <w:tc>
          <w:tcPr>
            <w:tcW w:w="4700" w:type="dxa"/>
            <w:vAlign w:val="bottom"/>
            <w:gridSpan w:val="2"/>
          </w:tcPr>
          <w:p>
            <w:pPr>
              <w:ind w:left="860"/>
              <w:spacing w:after="0"/>
              <w:rPr>
                <w:sz w:val="20"/>
                <w:szCs w:val="20"/>
                <w:color w:val="auto"/>
              </w:rPr>
            </w:pPr>
            <w:r>
              <w:rPr>
                <w:rFonts w:ascii="Arial" w:cs="Arial" w:eastAsia="Arial" w:hAnsi="Arial"/>
                <w:sz w:val="18"/>
                <w:szCs w:val="18"/>
                <w:color w:val="auto"/>
              </w:rPr>
              <w:t>6.82% medium term notes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40,000</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38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6.820%</w:t>
            </w:r>
          </w:p>
        </w:tc>
        <w:tc>
          <w:tcPr>
            <w:tcW w:w="1520" w:type="dxa"/>
            <w:vAlign w:val="bottom"/>
          </w:tcPr>
          <w:p>
            <w:pPr>
              <w:jc w:val="right"/>
              <w:spacing w:after="0"/>
              <w:rPr>
                <w:sz w:val="20"/>
                <w:szCs w:val="20"/>
                <w:color w:val="auto"/>
              </w:rPr>
            </w:pPr>
            <w:r>
              <w:rPr>
                <w:rFonts w:ascii="Arial" w:cs="Arial" w:eastAsia="Arial" w:hAnsi="Arial"/>
                <w:sz w:val="18"/>
                <w:szCs w:val="18"/>
                <w:color w:val="auto"/>
              </w:rPr>
              <w:t>August 1, 2027</w:t>
            </w:r>
          </w:p>
        </w:tc>
      </w:tr>
      <w:tr>
        <w:trPr>
          <w:trHeight w:val="216"/>
        </w:trPr>
        <w:tc>
          <w:tcPr>
            <w:tcW w:w="20" w:type="dxa"/>
            <w:vAlign w:val="bottom"/>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975,000</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Net unamortized premium</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3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senior notes and debentures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977,513</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1"/>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Capital lease obligations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7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Various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75,845</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Various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Various through 2106</w:t>
            </w:r>
          </w:p>
        </w:tc>
      </w:tr>
      <w:tr>
        <w:trPr>
          <w:trHeight w:val="223"/>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Total debt and capital lease obligations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1,636,457</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35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Mortgage loans do not include our 30% share ($24.4 million) of the $81.5 million debt of the partnership with Clarion Lion Properties Fund.</w:t>
      </w:r>
    </w:p>
    <w:p>
      <w:pPr>
        <w:spacing w:after="0" w:line="38" w:lineRule="exact"/>
        <w:rPr>
          <w:rFonts w:ascii="Arial" w:cs="Arial" w:eastAsia="Arial" w:hAnsi="Arial"/>
          <w:sz w:val="16"/>
          <w:szCs w:val="16"/>
          <w:color w:val="auto"/>
        </w:rPr>
      </w:pPr>
    </w:p>
    <w:p>
      <w:pPr>
        <w:ind w:left="460" w:right="320" w:hanging="452"/>
        <w:spacing w:after="0" w:line="323"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interest rate of 6.04% represents the weighted average interest rate for two mortgage loans secured by this property. The loan balance represents an interest only loan of $4.35 million at a stated rate of 6.18% and the remaining balance at a stated rate of 5.96%.</w:t>
      </w:r>
    </w:p>
    <w:p>
      <w:pPr>
        <w:sectPr>
          <w:pgSz w:w="11900" w:h="16838" w:orient="portrait"/>
          <w:cols w:equalWidth="0" w:num="1">
            <w:col w:w="11420"/>
          </w:cols>
          <w:pgMar w:left="240" w:top="459" w:right="239" w:bottom="1440" w:gutter="0" w:footer="0" w:header="0"/>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40" w:hanging="452"/>
        <w:spacing w:after="0" w:line="253"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acquired control of Melville Mall through a 20-year master lease and secondary financing. Because we control this property and retain substantially all of the economic benefit and risk associated with it, this property is consolidated and the mortgage loan is reflected on the balance sheet, though it is not our legal obligation.</w:t>
      </w:r>
    </w:p>
    <w:p>
      <w:pPr>
        <w:ind w:left="460" w:right="64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in 2013. The lender has the option to call the loan on April 15, 2013 or any time thereafter.</w:t>
      </w:r>
    </w:p>
    <w:p>
      <w:pPr>
        <w:ind w:left="460" w:right="2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 note offers a one-year extension at our option. On February 21, 2008, we entered into two interest rate swap agreements to fix the variable portion of this debt through November 6, 2008. The first swap fixed the variable rate at 2.725% on a notional amount of $100 million and the second swap fixed the variable rate at 2.852% on a notional amount of $100 million for a combined fixed rate of 2.789%. The weighted average effective interest rate, before amortization of debt fees, was 4.21% for the three months ended March 31, 2008.</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during the three months ended March 31, 2008 was $7.0 million. The weighted average effective interest rate on borrowings under our revolving credit facility, before amortization of debt fees, was 4.44% for the three months ended March 31, 2008. This credit facility is subject to a one-year extension at our option.</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August 15, 2008, the debentures are redeemable by the holders thereof at the original purchase price of $1,000 per debenture.</w:t>
      </w:r>
    </w:p>
    <w:p>
      <w:pPr>
        <w:spacing w:after="0" w:line="16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credit facility and other debt agreements include financial and other covenants that may limit our operating activities in the future. As of March 31, 2008, we were in compliance with all of the financial and other covenants. If we were to breach any of our debt covenants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or default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debt maturities as of March 31,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Capital</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7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Secured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55"/>
              <w:spacing w:after="0"/>
              <w:rPr>
                <w:sz w:val="20"/>
                <w:szCs w:val="20"/>
                <w:color w:val="auto"/>
              </w:rPr>
            </w:pPr>
            <w:r>
              <w:rPr>
                <w:rFonts w:ascii="Arial" w:cs="Arial" w:eastAsia="Arial" w:hAnsi="Arial"/>
                <w:sz w:val="14"/>
                <w:szCs w:val="14"/>
                <w:b w:val="1"/>
                <w:bCs w:val="1"/>
                <w:color w:val="auto"/>
                <w:w w:val="85"/>
              </w:rPr>
              <w:t>Lease</w:t>
            </w:r>
          </w:p>
        </w:tc>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rPr>
              <w:t>(In</w:t>
            </w:r>
          </w:p>
        </w:tc>
        <w:tc>
          <w:tcPr>
            <w:tcW w:w="10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0"/>
              </w:rPr>
              <w:t>Unsecured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vMerge w:val="continue"/>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Reminder of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200,172(1)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216,192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11,232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1,216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175,250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187,698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44,645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75,304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121,348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7,460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175,336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184,296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2013 and thereafter (3)</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287,064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69,613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559,429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916,106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372,953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75,845</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1,185,766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1,634,564(4)</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organizational documents do not limit the level or amount of debt that we may incur.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$200 million outstanding on our term note which is subject to a one-year extension at our option.</w:t>
      </w:r>
    </w:p>
    <w:p>
      <w:pPr>
        <w:spacing w:after="0" w:line="15"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$300 million four-year revolving credit facility is subject to a one-year extension at our option. As of March 31, 2008, there was $0 drawn under this credit facility.</w:t>
      </w:r>
    </w:p>
    <w:p>
      <w:pPr>
        <w:ind w:left="460" w:right="4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$10.0 million under the Mount Vernon mortgage loan that may be required to be paid on or after April 15, 2013 and $50 million of unsecured debt that may be called by the holders on August 15, 2008.</w:t>
      </w:r>
    </w:p>
    <w:p>
      <w:pPr>
        <w:ind w:left="460" w:right="560" w:hanging="452"/>
        <w:spacing w:after="0" w:line="261"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premium or discount on certain mortgage loans, senior notes and debentures as of March 31, 2008.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use derivative instruments to manage exposure to variable interest rate risk. We generally enter into interest rate swaps to manage our exposure to variable interest rate risk and treasury locks to manage the risk of interest rates rising prior to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issuance of debt. We enter into derivative instruments that qualify as cash flow hedges under SFAS No. 133, “Accounting for Derivative Instruments and Hedging Activities” and do not enter into derivative instruments for speculative purposes.</w:t>
      </w:r>
    </w:p>
    <w:p>
      <w:pPr>
        <w:spacing w:after="0" w:line="13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On February 21, 2008, we entered into two interest rate swap agreements to fix the variable portion of our $200 million term note through November 6, 2008. The first swap fixed the variable rate at 2.725% on a notional amount of $100 million and the second swap fixed the variable rate at 2.852% on a notional amount of $100 million for a combined fixed rate of 2.789%. Both swaps were designated and qualified as cash flow hedges and are recorded at fair value.</w:t>
      </w:r>
    </w:p>
    <w:p>
      <w:pPr>
        <w:spacing w:after="0" w:line="10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assess effectiveness of our cash flow hedges both at inception and on an ongoing basis. The effective portion of changes in fair value of our cash flow hedges is recorded in other comprehensive income, and the ineffective portion of changes in the fair value of our cash flow hedges is recognized in earnings in the period affected. Hedge ineffectiveness did not have an impact on earnings for the three months ended March 31, 2008. The change in fair value of these swaps from inception through March 31, 2008 is a liability of $0.5 million, which is included in accounts payable and accrued expenses on the balance sheet and accumulated other comprehensive loss in the statement of shareholders’ equity. The fair value of the interest rate swap agreements are based upon the estimated amounts we would receive or pay to terminate the contracts at the reporting date and are determined using interest rate market pricing models and observable inputs. Amounts reported in accumulated other comprehensive loss will be reclassified to interest expense as interest payments are made on the variable rate debt through the termination date of November 6, 2008.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depreciation and amortization of real estate assets and excluding extraordinary items and gains and losses on the sale of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62" w:lineRule="exact"/>
        <w:rPr>
          <w:sz w:val="20"/>
          <w:szCs w:val="20"/>
          <w:color w:val="auto"/>
        </w:rPr>
      </w:pPr>
    </w:p>
    <w:p>
      <w:pPr>
        <w:ind w:left="900" w:right="78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 not necessarily indicative of cash flow as a measure of liquidity or ability to fund cash needs, including the payment of dividends.</w:t>
      </w:r>
    </w:p>
    <w:p>
      <w:pPr>
        <w:spacing w:after="0" w:line="171"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4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REIT taxable income (including net capital gain) to remain qualified as a REIT. Therefore, a significant increase in FFO will generally require an increase in distributions to shareholders although not necessarily on a proportionate basis.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9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8"/>
              </w:rPr>
              <w:t>For the Three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left="318"/>
              <w:spacing w:after="0"/>
              <w:rPr>
                <w:sz w:val="20"/>
                <w:szCs w:val="20"/>
                <w:color w:val="auto"/>
              </w:rPr>
            </w:pPr>
            <w:r>
              <w:rPr>
                <w:rFonts w:ascii="Arial" w:cs="Arial" w:eastAsia="Arial" w:hAnsi="Arial"/>
                <w:sz w:val="14"/>
                <w:szCs w:val="14"/>
                <w:b w:val="1"/>
                <w:bCs w:val="1"/>
                <w:color w:val="auto"/>
                <w:w w:val="89"/>
              </w:rPr>
              <w:t>March 31,</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w w:val="96"/>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8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gridSpan w:val="5"/>
          </w:tcPr>
          <w:p>
            <w:pPr>
              <w:jc w:val="center"/>
              <w:ind w:right="240"/>
              <w:spacing w:after="0" w:line="129" w:lineRule="exact"/>
              <w:rPr>
                <w:sz w:val="20"/>
                <w:szCs w:val="20"/>
                <w:color w:val="auto"/>
              </w:rPr>
            </w:pPr>
            <w:r>
              <w:rPr>
                <w:rFonts w:ascii="Arial" w:cs="Arial" w:eastAsia="Arial" w:hAnsi="Arial"/>
                <w:sz w:val="14"/>
                <w:szCs w:val="14"/>
                <w:b w:val="1"/>
                <w:bCs w:val="1"/>
                <w:color w:val="auto"/>
                <w:w w:val="84"/>
              </w:rPr>
              <w:t>(In thousands, except</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7"/>
              </w:rPr>
              <w:t>per share data)</w:t>
            </w:r>
          </w:p>
        </w:tc>
        <w:tc>
          <w:tcPr>
            <w:tcW w:w="0" w:type="dxa"/>
            <w:vAlign w:val="bottom"/>
          </w:tcPr>
          <w:p>
            <w:pPr>
              <w:spacing w:after="0"/>
              <w:rPr>
                <w:sz w:val="1"/>
                <w:szCs w:val="1"/>
                <w:color w:val="auto"/>
              </w:rPr>
            </w:pPr>
          </w:p>
        </w:tc>
      </w:tr>
      <w:tr>
        <w:trPr>
          <w:trHeight w:val="216"/>
        </w:trPr>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gridSpan w:val="2"/>
          </w:tcPr>
          <w:p>
            <w:pPr>
              <w:spacing w:after="0"/>
              <w:rPr>
                <w:sz w:val="20"/>
                <w:szCs w:val="20"/>
                <w:color w:val="auto"/>
              </w:rPr>
            </w:pPr>
            <w:r>
              <w:rPr>
                <w:rFonts w:ascii="Arial" w:cs="Arial" w:eastAsia="Arial" w:hAnsi="Arial"/>
                <w:sz w:val="18"/>
                <w:szCs w:val="18"/>
                <w:color w:val="auto"/>
              </w:rPr>
              <w:t>Depreciation and amortization of real estate assets</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22,950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23,942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initial direct costs of leases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00" w:type="dxa"/>
            <w:vAlign w:val="bottom"/>
            <w:gridSpan w:val="2"/>
          </w:tcPr>
          <w:p>
            <w:pPr>
              <w:spacing w:after="0"/>
              <w:rPr>
                <w:sz w:val="20"/>
                <w:szCs w:val="20"/>
                <w:color w:val="auto"/>
              </w:rPr>
            </w:pPr>
            <w:r>
              <w:rPr>
                <w:rFonts w:ascii="Arial" w:cs="Arial" w:eastAsia="Arial" w:hAnsi="Arial"/>
                <w:sz w:val="18"/>
                <w:szCs w:val="18"/>
                <w:color w:val="auto"/>
              </w:rPr>
              <w:t>Depreciation of joint venture real estate assets</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from operations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gridSpan w:val="2"/>
          </w:tcPr>
          <w:p>
            <w:pPr>
              <w:spacing w:after="0"/>
              <w:rPr>
                <w:sz w:val="20"/>
                <w:szCs w:val="20"/>
                <w:color w:val="auto"/>
              </w:rPr>
            </w:pPr>
            <w:r>
              <w:rPr>
                <w:rFonts w:ascii="Arial" w:cs="Arial" w:eastAsia="Arial" w:hAnsi="Arial"/>
                <w:sz w:val="18"/>
                <w:szCs w:val="18"/>
                <w:color w:val="auto"/>
              </w:rPr>
              <w:t>Dividends on preferred stock</w:t>
            </w: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00" w:type="dxa"/>
            <w:vAlign w:val="bottom"/>
            <w:gridSpan w:val="2"/>
          </w:tcPr>
          <w:p>
            <w:pPr>
              <w:ind w:left="440"/>
              <w:spacing w:after="0"/>
              <w:rPr>
                <w:sz w:val="20"/>
                <w:szCs w:val="20"/>
                <w:color w:val="auto"/>
              </w:rPr>
            </w:pPr>
            <w:r>
              <w:rPr>
                <w:rFonts w:ascii="Arial" w:cs="Arial" w:eastAsia="Arial" w:hAnsi="Arial"/>
                <w:sz w:val="18"/>
                <w:szCs w:val="18"/>
                <w:color w:val="auto"/>
              </w:rPr>
              <w:t>Funds from operations available for common shareholders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55,385</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common shares, diluted (1)</w:t>
            </w: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59,192</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00" w:type="dxa"/>
            <w:vAlign w:val="bottom"/>
            <w:gridSpan w:val="2"/>
            <w:vMerge w:val="restart"/>
          </w:tcPr>
          <w:p>
            <w:pPr>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00" w:type="dxa"/>
            <w:vAlign w:val="bottom"/>
            <w:gridSpan w:val="2"/>
            <w:vMerge w:val="continue"/>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right="280" w:hanging="452"/>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in the computation of diluted EPS for the periods presented.</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also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We are exposed to credit loss in the event of non-performance by the counter party to our interest rate swap agreements used to fix the variable portion of our $200 million term note. The counter party of these swaps has a long-term debt rating of “AA-” by Standards and Poor’s Rating Service and “Aa2” by Moody’s Investor Service as of March 31, 2008.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majority of our outstanding debt obligations (maturing at various times through 2031 or through 2106 including capital lease obligations) have fixed interest rates which limit the risk of fluctuating interest rates. However, interest rate fluctuations may affect the fair value of our fixed rate debt instruments. At March 31, 2008 we had $1.4 billion of fixed-rate debt outstanding. On February 21, 2008, we entered into two interest rate swap agreements to fix the variable portion of our $200 million term note through November 6, 2008 which effectively fixed the interest rate on the term note. If interest rates on our fixed-rate debt instruments at March 31, 2008 had been 1.0% higher, the fair value of those debt instruments on that date would have decreased by approximately $57.9 million. If interest rates on our fixed-rate debt instruments at March 31, 2008 had been 1.0% lower, the fair value of those debt instruments on that date would have increased by approximately $66.8 million.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believe that our primary interest rate risk is due to fluctuations in interest rates on our variable rate debt. At March 31, 2008, we had $9.4 million of variable rate debt outstanding excluding the $200 million term loan as the interest rate is effectively fixed by our two swap agreements. Based upon this amount of variable rate debt, if interest rates increased 1.0%, our annual interest expense would increase by approximately $90,000, and our net income and cash flows for the year would decrease by approximately $90,000. Conversely, if interest rates decreased 1.0%, our annual interest expense would decrease by approximately $90,000, and our net income and cash flows for the year would increase by approximately $90,000.</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March 31, 2008. Based on this evaluation, our management, including our Chief Executive Officer and Chief Financial Officer, concluded that our disclosure controls and procedures were effective as of March 31, 2008 to provide reasonable assurance that information required to be disclosed in our reports filed or submitted under the Securities Exchange Act of 1934 is recorded, processed, summarized and reported within the time periods specified in the rules and forms of the Securities and Exchange Commission.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There has been no change in our internal controls over financial reporting during the quarterly period covered by this report that has materially affected, or is reasonably likely to materially affect, our internal control over financial reporting.</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60"/>
          </w:cols>
          <w:pgMar w:left="240" w:top="459" w:right="3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May 2003, First National Mortgage Company filed a complaint against us in the United States District Court for the Northern District of California. The complaint alleged that a one page document entitled “Final Proposal,” which included language that it was subject to approval of formal documentation, constituted a ground lease of a parcel of property located adjacent to our Santana Row property and gave First National Mortgage Company the option to require that we acquire the property at a price determined in accordance with a formula included in the “Final Proposal.” A trial as to liability only was held in June 2006 and a jury rendered a verdict against us. A trial on the issue of damages was held in April 2008; however, the judge has not yet issued a ruling. Reports from our experts and the plaintiff’s experts show potential damages ranging from $600,000 to $24 million. Pending the judge’s ruling, we cannot make a reasonable estimate of potential damages. We intend to appeal the jury verdict; however, no appeal of the judgment can be taken until the judge issues his ruling on damages. If we are not successful in overturning the jury verdict, we will be liable for damages. Depending on the amount of damages awarded, it is possible, there could be a material adverse impact on our net income in the period in which it becomes both probable that we will have to pay the damages and such damages can be reasonably estimated. In any event, management does not believe it will have a material impact on our financial position.</w:t>
      </w:r>
    </w:p>
    <w:p>
      <w:pPr>
        <w:spacing w:after="0" w:line="12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are also involved in a litigation matter relating to a shopping center in New Jersey where a former tenant has alleged that we and our management agent acted improperly by failing to disclose a condemnation action at the property that was pending when the lease was signed. A trial as to liability only has been concluded and post-trial briefs have been filed, but no decision has been rendered. One of the plaintiffs in the matter has filed for bankruptcy protection and as a result, the judge in our case has stayed further proceedings in the case. If we are found liable once the stay has been lifted, a trial will be held to determine the amount of damages. Based on the information available to us, we believe there is a reasonable possibility that we will be found liable. If a verdict is rendered against us, we may seek indemnification from the third party management company that negotiated the lease on our behalf. We cannot assess with any certainty at this time the potential damages for which we would be liable if a verdict is rendered against us or the potential amounts we might recover against the third party management company; however, if a verdict is rendered against us, there may be a material adverse impact on our net income in the period in which it becomes both probable that we will have to pay the damages and such damages can be reasonably estimated. In any event, management does not believe it will have a material impact on our financial position.</w:t>
      </w:r>
    </w:p>
    <w:p>
      <w:pPr>
        <w:spacing w:after="0" w:line="2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There have been no material changes to the risk factors previously disclosed in our Annual Report for the year ended December 31, 2007 filed with the Securities and Exchange Commission on February 27, 2008. These factors include, but are not limited to, the following:</w:t>
      </w:r>
    </w:p>
    <w:p>
      <w:pPr>
        <w:spacing w:after="0" w:line="51"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that our tenants will not pay rent or that we may be unable to renew leases or re-let space at favorable rents as leases expire;</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90" w:lineRule="exact"/>
        <w:rPr>
          <w:rFonts w:ascii="Arial" w:cs="Arial" w:eastAsia="Arial" w:hAnsi="Arial"/>
          <w:sz w:val="18"/>
          <w:szCs w:val="18"/>
          <w:color w:val="auto"/>
        </w:rPr>
      </w:pPr>
    </w:p>
    <w:p>
      <w:pPr>
        <w:ind w:left="1460" w:right="120" w:hanging="547"/>
        <w:spacing w:after="0" w:line="268" w:lineRule="auto"/>
        <w:tabs>
          <w:tab w:leader="none" w:pos="14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completion of anticipated or ongoing property redevelopments or renovations may cost more, take more time to complete, or fail to perform as expected,</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intend to hold our Annual Meeting of Shareholders on May 7, 2008.</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00"/>
          </w:cols>
          <w:pgMar w:left="240" w:top="459"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19"/>
                <w:szCs w:val="19"/>
                <w:color w:val="auto"/>
              </w:rPr>
            </w:pPr>
          </w:p>
        </w:tc>
        <w:tc>
          <w:tcPr>
            <w:tcW w:w="5700" w:type="dxa"/>
            <w:vAlign w:val="bottom"/>
          </w:tcPr>
          <w:p>
            <w:pPr>
              <w:ind w:left="100"/>
              <w:spacing w:after="0"/>
              <w:rPr>
                <w:sz w:val="20"/>
                <w:szCs w:val="20"/>
                <w:color w:val="auto"/>
              </w:rPr>
            </w:pPr>
            <w:r>
              <w:rPr>
                <w:rFonts w:ascii="Arial" w:cs="Arial" w:eastAsia="Arial" w:hAnsi="Arial"/>
                <w:sz w:val="18"/>
                <w:szCs w:val="18"/>
                <w:b w:val="1"/>
                <w:bCs w:val="1"/>
                <w:color w:val="auto"/>
              </w:rPr>
              <w:t>FEDERAL REALTY INVESTMENT TRUST</w:t>
            </w:r>
          </w:p>
        </w:tc>
      </w:tr>
      <w:tr>
        <w:trPr>
          <w:trHeight w:val="325"/>
        </w:trPr>
        <w:tc>
          <w:tcPr>
            <w:tcW w:w="5720" w:type="dxa"/>
            <w:vAlign w:val="bottom"/>
          </w:tcPr>
          <w:p>
            <w:pPr>
              <w:spacing w:after="0"/>
              <w:rPr>
                <w:sz w:val="20"/>
                <w:szCs w:val="20"/>
                <w:color w:val="auto"/>
              </w:rPr>
            </w:pPr>
            <w:r>
              <w:rPr>
                <w:rFonts w:ascii="Arial" w:cs="Arial" w:eastAsia="Arial" w:hAnsi="Arial"/>
                <w:sz w:val="18"/>
                <w:szCs w:val="18"/>
                <w:color w:val="auto"/>
              </w:rPr>
              <w:t>May 7, 2008</w:t>
            </w:r>
          </w:p>
        </w:tc>
        <w:tc>
          <w:tcPr>
            <w:tcW w:w="570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b w:val="1"/>
                <w:bCs w:val="1"/>
                <w:color w:val="auto"/>
                <w:w w:val="99"/>
              </w:rPr>
              <w:t>/s/ D</w:t>
            </w:r>
            <w:r>
              <w:rPr>
                <w:rFonts w:ascii="Arial" w:cs="Arial" w:eastAsia="Arial" w:hAnsi="Arial"/>
                <w:sz w:val="14"/>
                <w:szCs w:val="14"/>
                <w:b w:val="1"/>
                <w:bCs w:val="1"/>
                <w:color w:val="auto"/>
                <w:w w:val="99"/>
              </w:rPr>
              <w:t>ONALD</w:t>
            </w:r>
            <w:r>
              <w:rPr>
                <w:rFonts w:ascii="Arial" w:cs="Arial" w:eastAsia="Arial" w:hAnsi="Arial"/>
                <w:sz w:val="18"/>
                <w:szCs w:val="18"/>
                <w:b w:val="1"/>
                <w:bCs w:val="1"/>
                <w:color w:val="auto"/>
                <w:w w:val="99"/>
              </w:rPr>
              <w:t xml:space="preserve"> C. W</w:t>
            </w:r>
            <w:r>
              <w:rPr>
                <w:rFonts w:ascii="Arial" w:cs="Arial" w:eastAsia="Arial" w:hAnsi="Arial"/>
                <w:sz w:val="14"/>
                <w:szCs w:val="14"/>
                <w:b w:val="1"/>
                <w:bCs w:val="1"/>
                <w:color w:val="auto"/>
                <w:w w:val="99"/>
              </w:rPr>
              <w:t>OOD</w:t>
            </w:r>
          </w:p>
        </w:tc>
      </w:tr>
      <w:tr>
        <w:trPr>
          <w:trHeight w:val="196"/>
        </w:trPr>
        <w:tc>
          <w:tcPr>
            <w:tcW w:w="5720" w:type="dxa"/>
            <w:vAlign w:val="bottom"/>
          </w:tcPr>
          <w:p>
            <w:pPr>
              <w:spacing w:after="0"/>
              <w:rPr>
                <w:sz w:val="17"/>
                <w:szCs w:val="17"/>
                <w:color w:val="auto"/>
              </w:rPr>
            </w:pPr>
          </w:p>
        </w:tc>
        <w:tc>
          <w:tcPr>
            <w:tcW w:w="5700" w:type="dxa"/>
            <w:vAlign w:val="bottom"/>
          </w:tcPr>
          <w:p>
            <w:pPr>
              <w:jc w:val="center"/>
              <w:ind w:left="12"/>
              <w:spacing w:after="0" w:line="196" w:lineRule="exact"/>
              <w:rPr>
                <w:sz w:val="20"/>
                <w:szCs w:val="20"/>
                <w:color w:val="auto"/>
              </w:rPr>
            </w:pPr>
            <w:r>
              <w:rPr>
                <w:rFonts w:ascii="Arial" w:cs="Arial" w:eastAsia="Arial" w:hAnsi="Arial"/>
                <w:sz w:val="18"/>
                <w:szCs w:val="18"/>
                <w:b w:val="1"/>
                <w:bCs w:val="1"/>
                <w:color w:val="auto"/>
                <w:w w:val="88"/>
              </w:rPr>
              <w:t>Donald C. Wood,</w:t>
            </w:r>
          </w:p>
        </w:tc>
      </w:tr>
      <w:tr>
        <w:trPr>
          <w:trHeight w:val="216"/>
        </w:trPr>
        <w:tc>
          <w:tcPr>
            <w:tcW w:w="5720" w:type="dxa"/>
            <w:vAlign w:val="bottom"/>
          </w:tcPr>
          <w:p>
            <w:pPr>
              <w:spacing w:after="0"/>
              <w:rPr>
                <w:sz w:val="18"/>
                <w:szCs w:val="18"/>
                <w:color w:val="auto"/>
              </w:rPr>
            </w:pPr>
          </w:p>
        </w:tc>
        <w:tc>
          <w:tcPr>
            <w:tcW w:w="5700" w:type="dxa"/>
            <w:vAlign w:val="bottom"/>
          </w:tcPr>
          <w:p>
            <w:pPr>
              <w:jc w:val="center"/>
              <w:ind w:left="32"/>
              <w:spacing w:after="0"/>
              <w:rPr>
                <w:sz w:val="20"/>
                <w:szCs w:val="20"/>
                <w:color w:val="auto"/>
              </w:rPr>
            </w:pPr>
            <w:r>
              <w:rPr>
                <w:rFonts w:ascii="Arial" w:cs="Arial" w:eastAsia="Arial" w:hAnsi="Arial"/>
                <w:sz w:val="18"/>
                <w:szCs w:val="18"/>
                <w:b w:val="1"/>
                <w:bCs w:val="1"/>
                <w:color w:val="auto"/>
                <w:w w:val="88"/>
              </w:rPr>
              <w:t>President, Chief Executive Officer and Trustee</w:t>
            </w:r>
          </w:p>
        </w:tc>
      </w:tr>
      <w:tr>
        <w:trPr>
          <w:trHeight w:val="228"/>
        </w:trPr>
        <w:tc>
          <w:tcPr>
            <w:tcW w:w="5720" w:type="dxa"/>
            <w:vAlign w:val="bottom"/>
          </w:tcPr>
          <w:p>
            <w:pPr>
              <w:spacing w:after="0"/>
              <w:rPr>
                <w:sz w:val="19"/>
                <w:szCs w:val="19"/>
                <w:color w:val="auto"/>
              </w:rPr>
            </w:pPr>
          </w:p>
        </w:tc>
        <w:tc>
          <w:tcPr>
            <w:tcW w:w="5700" w:type="dxa"/>
            <w:vAlign w:val="bottom"/>
          </w:tcPr>
          <w:p>
            <w:pPr>
              <w:jc w:val="center"/>
              <w:ind w:left="12"/>
              <w:spacing w:after="0"/>
              <w:rPr>
                <w:sz w:val="20"/>
                <w:szCs w:val="20"/>
                <w:color w:val="auto"/>
              </w:rPr>
            </w:pPr>
            <w:r>
              <w:rPr>
                <w:rFonts w:ascii="Arial" w:cs="Arial" w:eastAsia="Arial" w:hAnsi="Arial"/>
                <w:sz w:val="18"/>
                <w:szCs w:val="18"/>
                <w:b w:val="1"/>
                <w:bCs w:val="1"/>
                <w:color w:val="auto"/>
                <w:w w:val="89"/>
              </w:rPr>
              <w:t>(Principal Executive Officer)</w:t>
            </w:r>
          </w:p>
        </w:tc>
      </w:tr>
      <w:tr>
        <w:trPr>
          <w:trHeight w:val="420"/>
        </w:trPr>
        <w:tc>
          <w:tcPr>
            <w:tcW w:w="5720" w:type="dxa"/>
            <w:vAlign w:val="bottom"/>
          </w:tcPr>
          <w:p>
            <w:pPr>
              <w:spacing w:after="0"/>
              <w:rPr>
                <w:sz w:val="20"/>
                <w:szCs w:val="20"/>
                <w:color w:val="auto"/>
              </w:rPr>
            </w:pPr>
            <w:r>
              <w:rPr>
                <w:rFonts w:ascii="Arial" w:cs="Arial" w:eastAsia="Arial" w:hAnsi="Arial"/>
                <w:sz w:val="18"/>
                <w:szCs w:val="18"/>
                <w:color w:val="auto"/>
              </w:rPr>
              <w:t>May 7, 2008</w:t>
            </w:r>
          </w:p>
        </w:tc>
        <w:tc>
          <w:tcPr>
            <w:tcW w:w="570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97"/>
              </w:rPr>
              <w:t>/s/ J</w:t>
            </w:r>
            <w:r>
              <w:rPr>
                <w:rFonts w:ascii="Arial" w:cs="Arial" w:eastAsia="Arial" w:hAnsi="Arial"/>
                <w:sz w:val="14"/>
                <w:szCs w:val="14"/>
                <w:b w:val="1"/>
                <w:bCs w:val="1"/>
                <w:color w:val="auto"/>
                <w:w w:val="97"/>
              </w:rPr>
              <w:t>OSEPH</w:t>
            </w:r>
            <w:r>
              <w:rPr>
                <w:rFonts w:ascii="Arial" w:cs="Arial" w:eastAsia="Arial" w:hAnsi="Arial"/>
                <w:sz w:val="18"/>
                <w:szCs w:val="18"/>
                <w:b w:val="1"/>
                <w:bCs w:val="1"/>
                <w:color w:val="auto"/>
                <w:w w:val="97"/>
              </w:rPr>
              <w:t xml:space="preserve"> M. S</w:t>
            </w:r>
            <w:r>
              <w:rPr>
                <w:rFonts w:ascii="Arial" w:cs="Arial" w:eastAsia="Arial" w:hAnsi="Arial"/>
                <w:sz w:val="14"/>
                <w:szCs w:val="14"/>
                <w:b w:val="1"/>
                <w:bCs w:val="1"/>
                <w:color w:val="auto"/>
                <w:w w:val="97"/>
              </w:rPr>
              <w:t>QUERI</w:t>
            </w:r>
          </w:p>
        </w:tc>
      </w:tr>
      <w:tr>
        <w:trPr>
          <w:trHeight w:val="216"/>
        </w:trPr>
        <w:tc>
          <w:tcPr>
            <w:tcW w:w="5720" w:type="dxa"/>
            <w:vAlign w:val="bottom"/>
          </w:tcPr>
          <w:p>
            <w:pPr>
              <w:spacing w:after="0"/>
              <w:rPr>
                <w:sz w:val="18"/>
                <w:szCs w:val="18"/>
                <w:color w:val="auto"/>
              </w:rPr>
            </w:pPr>
          </w:p>
        </w:tc>
        <w:tc>
          <w:tcPr>
            <w:tcW w:w="5700" w:type="dxa"/>
            <w:vAlign w:val="bottom"/>
          </w:tcPr>
          <w:p>
            <w:pPr>
              <w:jc w:val="center"/>
              <w:ind w:left="12"/>
              <w:spacing w:after="0"/>
              <w:rPr>
                <w:sz w:val="20"/>
                <w:szCs w:val="20"/>
                <w:color w:val="auto"/>
              </w:rPr>
            </w:pPr>
            <w:r>
              <w:rPr>
                <w:rFonts w:ascii="Arial" w:cs="Arial" w:eastAsia="Arial" w:hAnsi="Arial"/>
                <w:sz w:val="18"/>
                <w:szCs w:val="18"/>
                <w:b w:val="1"/>
                <w:bCs w:val="1"/>
                <w:color w:val="auto"/>
                <w:w w:val="88"/>
              </w:rPr>
              <w:t>Joseph M. Squeri,</w:t>
            </w:r>
          </w:p>
        </w:tc>
      </w:tr>
    </w:tbl>
    <w:p>
      <w:pPr>
        <w:jc w:val="center"/>
        <w:ind w:left="5820"/>
        <w:spacing w:after="0"/>
        <w:rPr>
          <w:sz w:val="20"/>
          <w:szCs w:val="20"/>
          <w:color w:val="auto"/>
        </w:rPr>
      </w:pPr>
      <w:r>
        <w:rPr>
          <w:rFonts w:ascii="Arial" w:cs="Arial" w:eastAsia="Arial" w:hAnsi="Arial"/>
          <w:sz w:val="18"/>
          <w:szCs w:val="18"/>
          <w:b w:val="1"/>
          <w:bCs w:val="1"/>
          <w:color w:val="auto"/>
        </w:rPr>
        <w:t>Executive Vice President and</w:t>
      </w:r>
    </w:p>
    <w:p>
      <w:pPr>
        <w:spacing w:after="0" w:line="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(Principal Financial and</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Accounting Officer)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jc w:val="center"/>
              <w:ind w:right="1373"/>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Exhibit No.</w:t>
            </w:r>
          </w:p>
        </w:tc>
        <w:tc>
          <w:tcPr>
            <w:tcW w:w="760" w:type="dxa"/>
            <w:vAlign w:val="bottom"/>
          </w:tcPr>
          <w:p>
            <w:pPr>
              <w:spacing w:after="0"/>
              <w:rPr>
                <w:sz w:val="24"/>
                <w:szCs w:val="24"/>
                <w:color w:val="auto"/>
              </w:rPr>
            </w:pPr>
          </w:p>
        </w:tc>
        <w:tc>
          <w:tcPr>
            <w:tcW w:w="9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720" w:type="dxa"/>
            <w:vAlign w:val="bottom"/>
          </w:tcPr>
          <w:p>
            <w:pPr>
              <w:jc w:val="right"/>
              <w:ind w:right="174"/>
              <w:spacing w:after="0"/>
              <w:rPr>
                <w:sz w:val="20"/>
                <w:szCs w:val="20"/>
                <w:color w:val="auto"/>
              </w:rPr>
            </w:pPr>
            <w:r>
              <w:rPr>
                <w:rFonts w:ascii="Arial" w:cs="Arial" w:eastAsia="Arial" w:hAnsi="Arial"/>
                <w:sz w:val="18"/>
                <w:szCs w:val="18"/>
                <w:color w:val="auto"/>
              </w:rPr>
              <w:t>3.1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2"/>
              </w:rPr>
              <w:t>Declaration of Trust of Federal Realty Investment Trust dated May 5, 1999 as amended by the Articles of Amendment of Declaration of</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3"/>
              </w:rPr>
              <w:t>Trust of Federal Realty Investment Trust dated May 6, 2004, as corrected by the Certificate of Correction of Articles of Amendment of</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0"/>
              </w:rPr>
              <w:t>Declaration of Trust of Federal Realty Investment Trust dated June 17, 2004 (previously filed as Exhibit 3.1 to the Trust’s Quarterly Report</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1"/>
              </w:rPr>
              <w:t>on Form 10-Q for the quarter ended June 30, 2005 (File No. 1-07533) (the “2005 2Q Form 10-Q”) and incorporated herein by reference)</w:t>
            </w: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3.2</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87"/>
              </w:rPr>
              <w:t>Amended and Restated Bylaws of Federal Realty Investment Trust dated February 12, 2003, as amended October 29, 2003, May 5, 2004 and</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1"/>
              </w:rPr>
              <w:t>February 17, 2006 (previously filed as Exhibit 3.2 to the Trust’s Annual Report on Form 10-K for the year ended December 31, 2005 (File</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No. 1-07533) (the “2005 Form 10-K”) and incorporated herein by reference)</w:t>
            </w:r>
          </w:p>
        </w:tc>
      </w:tr>
      <w:tr>
        <w:trPr>
          <w:trHeight w:val="318"/>
        </w:trPr>
        <w:tc>
          <w:tcPr>
            <w:tcW w:w="720" w:type="dxa"/>
            <w:vAlign w:val="bottom"/>
          </w:tcPr>
          <w:p>
            <w:pPr>
              <w:jc w:val="right"/>
              <w:ind w:right="174"/>
              <w:spacing w:after="0"/>
              <w:rPr>
                <w:sz w:val="20"/>
                <w:szCs w:val="20"/>
                <w:color w:val="auto"/>
              </w:rPr>
            </w:pPr>
            <w:r>
              <w:rPr>
                <w:rFonts w:ascii="Arial" w:cs="Arial" w:eastAsia="Arial" w:hAnsi="Arial"/>
                <w:sz w:val="18"/>
                <w:szCs w:val="18"/>
                <w:color w:val="auto"/>
              </w:rPr>
              <w:t>4.1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6"/>
              </w:rPr>
              <w:t>Specimen Common Share certificate (previously filed as Exhibit 4(i) to the Trust’s Annual Report on Form 10-K for the year ended</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December 31, 1999 (File No. 1-07533) and incorporated herein by reference)</w:t>
            </w: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4.2</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0"/>
              </w:rPr>
              <w:t>Articles Supplementary relating to the 5.417% Series 1 Cumulative Convertible Preferred Shares of Beneficial Interest (previously filed as</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2"/>
              </w:rPr>
              <w:t>Exhibit 4.1 to the Trust’s Current Report on Form 8-K filed on March 13, 2007, (File No. 1-07533) and incorporated herein by reference)</w:t>
            </w: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4.3</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3"/>
              </w:rPr>
              <w:t>Amended and Restated Rights Agreement, dated March 11, 1999, between the Trust and American Stock Transfer &amp; Trust Company</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7"/>
              </w:rPr>
              <w:t>(previously filed as Exhibit 1 to the Trust’s Registration Statement on Form 8-A/A filed on March 11, 1999 (File No. 1-07533) and</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4.4</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88"/>
              </w:rPr>
              <w:t>First Amendment to Amended and Restated Rights Agreement, dated as of November 2003, between the Trust and American Stock Transfer</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1"/>
              </w:rPr>
              <w:t>&amp; Trust Company (previously filed as Exhibit 4.5 to the Trust’s Annual Report on Form 10-K for the year ended December 31, 2003 (File</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No. 1-07533) and incorporated herein by reference)</w:t>
            </w: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4.5</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1"/>
              </w:rPr>
              <w:t>Indenture dated December 13, 1993 related to the Trust’s 7.48% Debentures due August 15, 2026; and 6.82% Medium Term Notes due</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1"/>
              </w:rPr>
              <w:t>August 1, 2027; (previously filed as Exhibit 4(a) to the Trust’s Registration Statement on Form S-3 (File No. 33-51029), and amended on</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Form S-3 (File No. 33-63687), filed on December 13, 1993 and incorporated herein by reference)</w:t>
            </w: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4.6</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88"/>
              </w:rPr>
              <w:t xml:space="preserve">Indenture dated September 1, 1998 related to the Trust’s 8.75% Notes due December 1, 2009; 6 </w:t>
            </w:r>
            <w:r>
              <w:rPr>
                <w:rFonts w:ascii="Arial" w:cs="Arial" w:eastAsia="Arial" w:hAnsi="Arial"/>
                <w:sz w:val="22"/>
                <w:szCs w:val="22"/>
                <w:color w:val="auto"/>
                <w:w w:val="88"/>
                <w:vertAlign w:val="superscript"/>
              </w:rPr>
              <w:t>1</w:t>
            </w:r>
            <w:r>
              <w:rPr>
                <w:rFonts w:ascii="Arial" w:cs="Arial" w:eastAsia="Arial" w:hAnsi="Arial"/>
                <w:sz w:val="18"/>
                <w:szCs w:val="18"/>
                <w:color w:val="auto"/>
                <w:w w:val="88"/>
              </w:rPr>
              <w:t>/8% Notes due November 15, 2007; 4.50%</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1"/>
              </w:rPr>
              <w:t>Notes due 2011; 5.65% Notes due 2016; 6.00% Notes due 2012; 6.20% Notes due 2017; and 5.40% Notes due 2013 (previously filed as</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89"/>
              </w:rPr>
              <w:t>Exhibit 4(a) to the Trust’s Registration Statement on Form S-3 (File No. 333-63619) filed on September 17, 1998 and incorporated herein by</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4.7</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4"/>
              </w:rPr>
              <w:t>Pursuant to Regulation S-K Item 601(b)(4)(iii), the Trust by this filing agrees, upon request, to furnish to the Securities and Exchange</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Commission a copy of other instruments defining the rights of holders of long-term debt of the Trust</w:t>
            </w: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89"/>
              </w:rPr>
              <w:t>Amended and Restated 1993 Long-Term Incentive Plan, as amended on October 6, 1997 and further amended on May 6, 1998 (previously</w:t>
            </w:r>
          </w:p>
        </w:tc>
      </w:tr>
      <w:tr>
        <w:trPr>
          <w:trHeight w:val="216"/>
        </w:trPr>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8"/>
              </w:rPr>
              <w:t>filed as Exhibit 10.26 to the Trust’s Annual Report on Form 10-K for the year ended December 31, 1998 (File No. 1-07533) and</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720" w:type="dxa"/>
            <w:vAlign w:val="bottom"/>
          </w:tcPr>
          <w:p>
            <w:pPr>
              <w:jc w:val="right"/>
              <w:ind w:right="134"/>
              <w:spacing w:after="0"/>
              <w:rPr>
                <w:sz w:val="20"/>
                <w:szCs w:val="20"/>
                <w:color w:val="auto"/>
              </w:rPr>
            </w:pPr>
            <w:r>
              <w:rPr>
                <w:rFonts w:ascii="Arial" w:cs="Arial" w:eastAsia="Arial" w:hAnsi="Arial"/>
                <w:sz w:val="18"/>
                <w:szCs w:val="18"/>
                <w:color w:val="auto"/>
              </w:rPr>
              <w:t>10.2</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1"/>
              </w:rPr>
              <w:t>Fiscal Agency Agreement dated as of October 28, 1993 between the Trust and Citibank, N.A. (previously filed as an exhibit to the Trust’s</w:t>
            </w:r>
          </w:p>
        </w:tc>
      </w:tr>
      <w:tr>
        <w:trPr>
          <w:trHeight w:val="222"/>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w w:val="94"/>
              </w:rPr>
              <w:t>Quarterly Report on Form 10-Q for the quarter ended September 30, 1993 (File No. 1-07533) and incorporated herein by reference)</w:t>
            </w:r>
          </w:p>
        </w:tc>
      </w:tr>
      <w:tr>
        <w:trPr>
          <w:trHeight w:val="365"/>
        </w:trPr>
        <w:tc>
          <w:tcPr>
            <w:tcW w:w="720" w:type="dxa"/>
            <w:vAlign w:val="bottom"/>
          </w:tcPr>
          <w:p>
            <w:pPr>
              <w:spacing w:after="0"/>
              <w:rPr>
                <w:sz w:val="24"/>
                <w:szCs w:val="24"/>
                <w:color w:val="auto"/>
              </w:rPr>
            </w:pPr>
          </w:p>
        </w:tc>
        <w:tc>
          <w:tcPr>
            <w:tcW w:w="10700" w:type="dxa"/>
            <w:vAlign w:val="bottom"/>
            <w:gridSpan w:val="2"/>
          </w:tcPr>
          <w:p>
            <w:pPr>
              <w:jc w:val="right"/>
              <w:ind w:right="5533"/>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440" w:type="dxa"/>
            <w:vAlign w:val="bottom"/>
          </w:tcPr>
          <w:p>
            <w:pPr>
              <w:spacing w:after="0"/>
              <w:rPr>
                <w:sz w:val="15"/>
                <w:szCs w:val="15"/>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7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Form of Severance Agreement between the Trust and Certain of its Officers dated December 31, 1994 (previously filed as a portion of Exhibit 10</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to the Trust’s Annual Report on Form 10-K for the year ended December 31, 1994 (File No. 1-07533) and incorporated herein by reference)</w:t>
            </w:r>
          </w:p>
        </w:tc>
      </w:tr>
      <w:tr>
        <w:trPr>
          <w:trHeight w:val="318"/>
        </w:trPr>
        <w:tc>
          <w:tcPr>
            <w:tcW w:w="7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Severance Agreement between the Trust and Donald C. Wood dated February 22, 1999 (previously filed as a portion of Exhibit 10 to the Trust’s</w:t>
            </w: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Quarterly Report on Form 10-Q for the quarter ended March 31, 1999 (File No. 1-07533) (the “1999 1Q Form 10-Q”) and incorporated herein by</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7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Executive Agreement between Federal Realty Investment Trust and Donald C. Wood dated February 22, 1999 (previously filed as a portion of</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10 to the 1999 1Q Form 10-Q and incorporated herein by reference)</w:t>
            </w:r>
          </w:p>
        </w:tc>
      </w:tr>
      <w:tr>
        <w:trPr>
          <w:trHeight w:val="318"/>
        </w:trPr>
        <w:tc>
          <w:tcPr>
            <w:tcW w:w="7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8"/>
              </w:rPr>
              <w:t>Amendment to Executive Agreement between Federal Realty Investment Trust and Donald C. Wood dated February 16, 2005 (previously filed as</w:t>
            </w: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Exhibit 10.12 to the Trust’s Annual Report on Form 10-K for the year ended December 31, 2004 (File No. 1-07533) (the “2004 Form 10-K”) and</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72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Split Dollar Life Insurance Agreement dated August 12, 1998 between the Trust and Donald C. Wood (previously filed as a portion of Exhibit 10</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to the Trust’s Annual Report on Form 10-K for the year ended December 31, 2000 (File No. 1-07533) and incorporated herein by reference)</w:t>
            </w:r>
          </w:p>
        </w:tc>
      </w:tr>
      <w:tr>
        <w:trPr>
          <w:trHeight w:val="318"/>
        </w:trPr>
        <w:tc>
          <w:tcPr>
            <w:tcW w:w="72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Severance Agreement between the Trust and Jeffrey S. Berkes dated March 1, 2000 (previously filed as a portion of Exhibit 10 to the Trust’s</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Annual Report on Form 10-K for the year ended December 31, 2001 (File No. 1-07533) and incorporated herein by reference)</w:t>
            </w:r>
          </w:p>
        </w:tc>
      </w:tr>
      <w:tr>
        <w:trPr>
          <w:trHeight w:val="318"/>
        </w:trPr>
        <w:tc>
          <w:tcPr>
            <w:tcW w:w="720" w:type="dxa"/>
            <w:vAlign w:val="bottom"/>
          </w:tcPr>
          <w:p>
            <w:pPr>
              <w:jc w:val="right"/>
              <w:ind w:right="94"/>
              <w:spacing w:after="0"/>
              <w:rPr>
                <w:sz w:val="20"/>
                <w:szCs w:val="20"/>
                <w:color w:val="auto"/>
              </w:rPr>
            </w:pPr>
            <w:r>
              <w:rPr>
                <w:rFonts w:ascii="Arial" w:cs="Arial" w:eastAsia="Arial" w:hAnsi="Arial"/>
                <w:sz w:val="18"/>
                <w:szCs w:val="18"/>
                <w:color w:val="auto"/>
              </w:rPr>
              <w:t>10.9</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Amendment to Severance Agreement between Federal Realty Investment Trust and Jeffrey S. Berkes dated February 16, 2005 (previously filed</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as Exhibit 10.17 to the 2004 Form 10-K and incorporated herein by reference)</w:t>
            </w:r>
          </w:p>
        </w:tc>
      </w:tr>
      <w:tr>
        <w:trPr>
          <w:trHeight w:val="318"/>
        </w:trPr>
        <w:tc>
          <w:tcPr>
            <w:tcW w:w="720" w:type="dxa"/>
            <w:vAlign w:val="bottom"/>
          </w:tcPr>
          <w:p>
            <w:pPr>
              <w:jc w:val="right"/>
              <w:spacing w:after="0"/>
              <w:rPr>
                <w:sz w:val="20"/>
                <w:szCs w:val="20"/>
                <w:color w:val="auto"/>
              </w:rPr>
            </w:pPr>
            <w:r>
              <w:rPr>
                <w:rFonts w:ascii="Arial" w:cs="Arial" w:eastAsia="Arial" w:hAnsi="Arial"/>
                <w:sz w:val="18"/>
                <w:szCs w:val="18"/>
                <w:color w:val="auto"/>
              </w:rPr>
              <w:t>10.10</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Severance Agreement dated March 1, 2002 between the Trust and Larry E. Finger (previously filed as a portion of Exhibit 10 to the Trust’s</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Quarterly Report on Form 10-Q for the quarter ended June 30, 2002 (File No. 1-07533) and incorporated herein by reference)</w:t>
            </w:r>
          </w:p>
        </w:tc>
      </w:tr>
      <w:tr>
        <w:trPr>
          <w:trHeight w:val="318"/>
        </w:trPr>
        <w:tc>
          <w:tcPr>
            <w:tcW w:w="720" w:type="dxa"/>
            <w:vAlign w:val="bottom"/>
          </w:tcPr>
          <w:p>
            <w:pPr>
              <w:jc w:val="right"/>
              <w:spacing w:after="0"/>
              <w:rPr>
                <w:sz w:val="20"/>
                <w:szCs w:val="20"/>
                <w:color w:val="auto"/>
              </w:rPr>
            </w:pPr>
            <w:r>
              <w:rPr>
                <w:rFonts w:ascii="Arial" w:cs="Arial" w:eastAsia="Arial" w:hAnsi="Arial"/>
                <w:sz w:val="18"/>
                <w:szCs w:val="18"/>
                <w:color w:val="auto"/>
              </w:rPr>
              <w:t>10.11</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Amendment to Severance Agreement between Federal Realty Investment Trust and Larry E. Finger dated February 16, 2005 (previously filed as</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10.19 to the 2004 Form 10-K and incorporated herein by reference)</w:t>
            </w:r>
          </w:p>
        </w:tc>
      </w:tr>
      <w:tr>
        <w:trPr>
          <w:trHeight w:val="318"/>
        </w:trPr>
        <w:tc>
          <w:tcPr>
            <w:tcW w:w="720" w:type="dxa"/>
            <w:vAlign w:val="bottom"/>
          </w:tcPr>
          <w:p>
            <w:pPr>
              <w:jc w:val="right"/>
              <w:spacing w:after="0"/>
              <w:rPr>
                <w:sz w:val="20"/>
                <w:szCs w:val="20"/>
                <w:color w:val="auto"/>
              </w:rPr>
            </w:pPr>
            <w:r>
              <w:rPr>
                <w:rFonts w:ascii="Arial" w:cs="Arial" w:eastAsia="Arial" w:hAnsi="Arial"/>
                <w:sz w:val="18"/>
                <w:szCs w:val="18"/>
                <w:color w:val="auto"/>
              </w:rPr>
              <w:t>10.12</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Amendment to Stock Option Agreement dated August 15, 2002 between the Trust and Dawn M. Becker (previously filed as a portion of Exhibit</w:t>
            </w:r>
          </w:p>
        </w:tc>
      </w:tr>
      <w:tr>
        <w:trPr>
          <w:trHeight w:val="216"/>
        </w:trPr>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10 to the Trust’s Quarterly Report on Form 10-Q for the quarter ended September 30, 2002 (File No. 1-075330 and incorporated herein by</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720" w:type="dxa"/>
            <w:vAlign w:val="bottom"/>
          </w:tcPr>
          <w:p>
            <w:pPr>
              <w:jc w:val="right"/>
              <w:spacing w:after="0"/>
              <w:rPr>
                <w:sz w:val="20"/>
                <w:szCs w:val="20"/>
                <w:color w:val="auto"/>
              </w:rPr>
            </w:pPr>
            <w:r>
              <w:rPr>
                <w:rFonts w:ascii="Arial" w:cs="Arial" w:eastAsia="Arial" w:hAnsi="Arial"/>
                <w:sz w:val="18"/>
                <w:szCs w:val="18"/>
                <w:color w:val="auto"/>
              </w:rPr>
              <w:t>10.13</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2001 Long-Term Incentive Plan (previously filed as Exhibit 99.1 to the Trust’s S-8 Registration Number 333-60364 filed on May 7, 2001 and</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720" w:type="dxa"/>
            <w:vAlign w:val="bottom"/>
          </w:tcPr>
          <w:p>
            <w:pPr>
              <w:jc w:val="right"/>
              <w:spacing w:after="0"/>
              <w:rPr>
                <w:sz w:val="20"/>
                <w:szCs w:val="20"/>
                <w:color w:val="auto"/>
              </w:rPr>
            </w:pPr>
            <w:r>
              <w:rPr>
                <w:rFonts w:ascii="Arial" w:cs="Arial" w:eastAsia="Arial" w:hAnsi="Arial"/>
                <w:sz w:val="18"/>
                <w:szCs w:val="18"/>
                <w:color w:val="auto"/>
              </w:rPr>
              <w:t>10.14</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Health Coverage Continuation Agreement between Federal Realty Investment Trust and Donald C. Wood dated February 16, 2005 (previously</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filed as Exhibit 10.26 to the 2004 Form 10-K and incorporated herein by reference)</w:t>
            </w:r>
          </w:p>
        </w:tc>
      </w:tr>
      <w:tr>
        <w:trPr>
          <w:trHeight w:val="318"/>
        </w:trPr>
        <w:tc>
          <w:tcPr>
            <w:tcW w:w="720" w:type="dxa"/>
            <w:vAlign w:val="bottom"/>
          </w:tcPr>
          <w:p>
            <w:pPr>
              <w:jc w:val="right"/>
              <w:spacing w:after="0"/>
              <w:rPr>
                <w:sz w:val="20"/>
                <w:szCs w:val="20"/>
                <w:color w:val="auto"/>
              </w:rPr>
            </w:pPr>
            <w:r>
              <w:rPr>
                <w:rFonts w:ascii="Arial" w:cs="Arial" w:eastAsia="Arial" w:hAnsi="Arial"/>
                <w:sz w:val="18"/>
                <w:szCs w:val="18"/>
                <w:color w:val="auto"/>
              </w:rPr>
              <w:t>10.15</w:t>
            </w:r>
          </w:p>
        </w:tc>
        <w:tc>
          <w:tcPr>
            <w:tcW w:w="4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Severance Agreement between the Trust and Dawn M. Becker dated April 19, 2000 (previously filed as Exhibit 10.26 to the Trust’s 2005 2Q</w:t>
            </w:r>
          </w:p>
        </w:tc>
      </w:tr>
      <w:tr>
        <w:trPr>
          <w:trHeight w:val="222"/>
        </w:trPr>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10-Q and incorporated herein by reference)</w:t>
            </w:r>
          </w:p>
        </w:tc>
      </w:tr>
      <w:tr>
        <w:trPr>
          <w:trHeight w:val="365"/>
        </w:trPr>
        <w:tc>
          <w:tcPr>
            <w:tcW w:w="720" w:type="dxa"/>
            <w:vAlign w:val="bottom"/>
          </w:tcPr>
          <w:p>
            <w:pPr>
              <w:spacing w:after="0"/>
              <w:rPr>
                <w:sz w:val="24"/>
                <w:szCs w:val="24"/>
                <w:color w:val="auto"/>
              </w:rPr>
            </w:pPr>
          </w:p>
        </w:tc>
        <w:tc>
          <w:tcPr>
            <w:tcW w:w="10700" w:type="dxa"/>
            <w:vAlign w:val="bottom"/>
            <w:gridSpan w:val="2"/>
          </w:tcPr>
          <w:p>
            <w:pPr>
              <w:jc w:val="right"/>
              <w:ind w:right="5533"/>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40" w:type="dxa"/>
            <w:vAlign w:val="bottom"/>
          </w:tcPr>
          <w:p>
            <w:pPr>
              <w:spacing w:after="0"/>
              <w:rPr>
                <w:sz w:val="15"/>
                <w:szCs w:val="15"/>
                <w:color w:val="auto"/>
              </w:rPr>
            </w:pPr>
          </w:p>
        </w:tc>
        <w:tc>
          <w:tcPr>
            <w:tcW w:w="10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720" w:type="dxa"/>
            <w:vAlign w:val="bottom"/>
          </w:tcPr>
          <w:p>
            <w:pPr>
              <w:ind w:left="220"/>
              <w:spacing w:after="0"/>
              <w:rPr>
                <w:sz w:val="20"/>
                <w:szCs w:val="20"/>
                <w:color w:val="auto"/>
              </w:rPr>
            </w:pPr>
            <w:r>
              <w:rPr>
                <w:rFonts w:ascii="Arial" w:cs="Arial" w:eastAsia="Arial" w:hAnsi="Arial"/>
                <w:sz w:val="18"/>
                <w:szCs w:val="18"/>
                <w:color w:val="auto"/>
              </w:rPr>
              <w:t>10.16</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89"/>
              </w:rPr>
              <w:t>Amendment to Severance Agreement between the Trust and Dawn M. Becker dated February 16, 2005 (previously filed as Exhibit 10.27 to the</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2004 Form 10-K and incorporated herein by reference)</w:t>
            </w:r>
          </w:p>
        </w:tc>
      </w:tr>
      <w:tr>
        <w:trPr>
          <w:trHeight w:val="318"/>
        </w:trPr>
        <w:tc>
          <w:tcPr>
            <w:tcW w:w="720" w:type="dxa"/>
            <w:vAlign w:val="bottom"/>
          </w:tcPr>
          <w:p>
            <w:pPr>
              <w:ind w:left="220"/>
              <w:spacing w:after="0"/>
              <w:rPr>
                <w:sz w:val="20"/>
                <w:szCs w:val="20"/>
                <w:color w:val="auto"/>
              </w:rPr>
            </w:pPr>
            <w:r>
              <w:rPr>
                <w:rFonts w:ascii="Arial" w:cs="Arial" w:eastAsia="Arial" w:hAnsi="Arial"/>
                <w:sz w:val="18"/>
                <w:szCs w:val="18"/>
                <w:color w:val="auto"/>
              </w:rPr>
              <w:t>10.17</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88"/>
              </w:rPr>
              <w:t>Form of Restricted Share Award Agreement for awards made under the Trust’s 2003 Long-Term Incentive Award Program for shares issued out</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98"/>
              </w:rPr>
              <w:t>of 2001 Long-Term Incentive Plan (previously filed as Exhibit 10.28 to the 2004 Form 10-K and incorporated herein by reference)</w:t>
            </w:r>
          </w:p>
        </w:tc>
      </w:tr>
      <w:tr>
        <w:trPr>
          <w:trHeight w:val="318"/>
        </w:trPr>
        <w:tc>
          <w:tcPr>
            <w:tcW w:w="720" w:type="dxa"/>
            <w:vAlign w:val="bottom"/>
          </w:tcPr>
          <w:p>
            <w:pPr>
              <w:ind w:left="220"/>
              <w:spacing w:after="0"/>
              <w:rPr>
                <w:sz w:val="20"/>
                <w:szCs w:val="20"/>
                <w:color w:val="auto"/>
              </w:rPr>
            </w:pPr>
            <w:r>
              <w:rPr>
                <w:rFonts w:ascii="Arial" w:cs="Arial" w:eastAsia="Arial" w:hAnsi="Arial"/>
                <w:sz w:val="18"/>
                <w:szCs w:val="18"/>
                <w:color w:val="auto"/>
              </w:rPr>
              <w:t>10.18</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89"/>
              </w:rPr>
              <w:t>Form of Restricted Share Award Agreement for awards made under the Trust’s Annual Incentive Bonus Program for shares issued out of 2001</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Long-Term Incentive Plan (previously filed as Exhibit 10.29 to the 2004 Form 10-K and incorporated herein by reference)</w:t>
            </w:r>
          </w:p>
        </w:tc>
      </w:tr>
      <w:tr>
        <w:trPr>
          <w:trHeight w:val="318"/>
        </w:trPr>
        <w:tc>
          <w:tcPr>
            <w:tcW w:w="720" w:type="dxa"/>
            <w:vAlign w:val="bottom"/>
          </w:tcPr>
          <w:p>
            <w:pPr>
              <w:ind w:left="220"/>
              <w:spacing w:after="0"/>
              <w:rPr>
                <w:sz w:val="20"/>
                <w:szCs w:val="20"/>
                <w:color w:val="auto"/>
              </w:rPr>
            </w:pPr>
            <w:r>
              <w:rPr>
                <w:rFonts w:ascii="Arial" w:cs="Arial" w:eastAsia="Arial" w:hAnsi="Arial"/>
                <w:sz w:val="18"/>
                <w:szCs w:val="18"/>
                <w:color w:val="auto"/>
              </w:rPr>
              <w:t>10.19</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92"/>
              </w:rPr>
              <w:t>Form of Option Award Agreement for options awarded under 2001 Long-Term Incentive Plan (previously filed as Exhibit 10.30 to the 2004</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Form 10-K and incorporated herein by reference)</w:t>
            </w:r>
          </w:p>
        </w:tc>
      </w:tr>
      <w:tr>
        <w:trPr>
          <w:trHeight w:val="318"/>
        </w:trPr>
        <w:tc>
          <w:tcPr>
            <w:tcW w:w="720" w:type="dxa"/>
            <w:vAlign w:val="bottom"/>
          </w:tcPr>
          <w:p>
            <w:pPr>
              <w:ind w:left="220"/>
              <w:spacing w:after="0"/>
              <w:rPr>
                <w:sz w:val="20"/>
                <w:szCs w:val="20"/>
                <w:color w:val="auto"/>
              </w:rPr>
            </w:pPr>
            <w:r>
              <w:rPr>
                <w:rFonts w:ascii="Arial" w:cs="Arial" w:eastAsia="Arial" w:hAnsi="Arial"/>
                <w:sz w:val="18"/>
                <w:szCs w:val="18"/>
                <w:color w:val="auto"/>
              </w:rPr>
              <w:t>10.20</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90"/>
              </w:rPr>
              <w:t>Form of Option Award Agreement for awards made under the Trust’s 2003 Long-Term Incentive Award Program for shares issued out of the</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2001 Long-Term Incentive Plan (previously filed as Exhibit 10.32 to the 2005 Form 10-K and incorporated herein by reference)</w:t>
            </w:r>
          </w:p>
        </w:tc>
      </w:tr>
      <w:tr>
        <w:trPr>
          <w:trHeight w:val="318"/>
        </w:trPr>
        <w:tc>
          <w:tcPr>
            <w:tcW w:w="720" w:type="dxa"/>
            <w:vAlign w:val="bottom"/>
          </w:tcPr>
          <w:p>
            <w:pPr>
              <w:ind w:left="220"/>
              <w:spacing w:after="0"/>
              <w:rPr>
                <w:sz w:val="20"/>
                <w:szCs w:val="20"/>
                <w:color w:val="auto"/>
              </w:rPr>
            </w:pPr>
            <w:r>
              <w:rPr>
                <w:rFonts w:ascii="Arial" w:cs="Arial" w:eastAsia="Arial" w:hAnsi="Arial"/>
                <w:sz w:val="18"/>
                <w:szCs w:val="18"/>
                <w:color w:val="auto"/>
              </w:rPr>
              <w:t>10.21</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90"/>
              </w:rPr>
              <w:t>Credit Agreement dated as of July 28, 2006, by and between the Trust, Wachovia Capital Markets LLC, Wachovia Bank, National Association</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91"/>
              </w:rPr>
              <w:t>and various other financial institutions (previously filed as Exhibit 10.1 to the Trust’s Current Report on Form 8-K (File No. 1-07533), filed on</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July 31, 2006 and incorporated herein by reference)</w:t>
            </w:r>
          </w:p>
        </w:tc>
      </w:tr>
      <w:tr>
        <w:trPr>
          <w:trHeight w:val="318"/>
        </w:trPr>
        <w:tc>
          <w:tcPr>
            <w:tcW w:w="720" w:type="dxa"/>
            <w:vAlign w:val="bottom"/>
          </w:tcPr>
          <w:p>
            <w:pPr>
              <w:ind w:left="220"/>
              <w:spacing w:after="0"/>
              <w:rPr>
                <w:sz w:val="20"/>
                <w:szCs w:val="20"/>
                <w:color w:val="auto"/>
              </w:rPr>
            </w:pPr>
            <w:r>
              <w:rPr>
                <w:rFonts w:ascii="Arial" w:cs="Arial" w:eastAsia="Arial" w:hAnsi="Arial"/>
                <w:sz w:val="18"/>
                <w:szCs w:val="18"/>
                <w:color w:val="auto"/>
              </w:rPr>
              <w:t>10.22</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89"/>
              </w:rPr>
              <w:t>Amended and Restated 2001 Long-Term Incentive Plan (previously filed as Exhibit 10.34 to the Trust’s Quarterly Report on Form 10-Q for the</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quarter ended June 30, 2007 (File No. 1-07533) and incorporated herein by reference)</w:t>
            </w:r>
          </w:p>
        </w:tc>
      </w:tr>
      <w:tr>
        <w:trPr>
          <w:trHeight w:val="318"/>
        </w:trPr>
        <w:tc>
          <w:tcPr>
            <w:tcW w:w="720" w:type="dxa"/>
            <w:vAlign w:val="bottom"/>
          </w:tcPr>
          <w:p>
            <w:pPr>
              <w:ind w:left="220"/>
              <w:spacing w:after="0"/>
              <w:rPr>
                <w:sz w:val="20"/>
                <w:szCs w:val="20"/>
                <w:color w:val="auto"/>
              </w:rPr>
            </w:pPr>
            <w:r>
              <w:rPr>
                <w:rFonts w:ascii="Arial" w:cs="Arial" w:eastAsia="Arial" w:hAnsi="Arial"/>
                <w:sz w:val="18"/>
                <w:szCs w:val="18"/>
                <w:color w:val="auto"/>
              </w:rPr>
              <w:t>10.23</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91"/>
              </w:rPr>
              <w:t>Restricted Share Award Agreement between the Trust and Joseph M. Squeri dated October 1, 2007 (previously filed as Exhibit 10.23 to the</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89"/>
              </w:rPr>
              <w:t>Trust’s Annual Report on Form 10-K for the year ended December 31, 2007 (File No 1-07533) (the “2007 Form 10-K”) and incorporated herein</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by reference)</w:t>
            </w:r>
          </w:p>
        </w:tc>
      </w:tr>
      <w:tr>
        <w:trPr>
          <w:trHeight w:val="318"/>
        </w:trPr>
        <w:tc>
          <w:tcPr>
            <w:tcW w:w="720" w:type="dxa"/>
            <w:vAlign w:val="bottom"/>
          </w:tcPr>
          <w:p>
            <w:pPr>
              <w:ind w:left="220"/>
              <w:spacing w:after="0"/>
              <w:rPr>
                <w:sz w:val="20"/>
                <w:szCs w:val="20"/>
                <w:color w:val="auto"/>
              </w:rPr>
            </w:pPr>
            <w:r>
              <w:rPr>
                <w:rFonts w:ascii="Arial" w:cs="Arial" w:eastAsia="Arial" w:hAnsi="Arial"/>
                <w:sz w:val="18"/>
                <w:szCs w:val="18"/>
                <w:color w:val="auto"/>
              </w:rPr>
              <w:t>10.24</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88"/>
              </w:rPr>
              <w:t>Severance Agreement between the Trust and Joseph M. Squeri dated October 1, 2007 (previously filed as Exhibit 10.24 to the 2007 Form 10-K</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and incorporated herein by reference)</w:t>
            </w:r>
          </w:p>
        </w:tc>
      </w:tr>
      <w:tr>
        <w:trPr>
          <w:trHeight w:val="318"/>
        </w:trPr>
        <w:tc>
          <w:tcPr>
            <w:tcW w:w="720" w:type="dxa"/>
            <w:vAlign w:val="bottom"/>
          </w:tcPr>
          <w:p>
            <w:pPr>
              <w:ind w:left="220"/>
              <w:spacing w:after="0"/>
              <w:rPr>
                <w:sz w:val="20"/>
                <w:szCs w:val="20"/>
                <w:color w:val="auto"/>
              </w:rPr>
            </w:pPr>
            <w:r>
              <w:rPr>
                <w:rFonts w:ascii="Arial" w:cs="Arial" w:eastAsia="Arial" w:hAnsi="Arial"/>
                <w:sz w:val="18"/>
                <w:szCs w:val="18"/>
                <w:color w:val="auto"/>
              </w:rPr>
              <w:t>10.25</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94"/>
              </w:rPr>
              <w:t>Credit Agreement dated as of November 9, 2007, by and between the Trust, Wachovia Capital Markets LLC, Wachovia Bank, National</w:t>
            </w:r>
          </w:p>
        </w:tc>
      </w:tr>
      <w:tr>
        <w:trPr>
          <w:trHeight w:val="216"/>
        </w:trPr>
        <w:tc>
          <w:tcPr>
            <w:tcW w:w="720" w:type="dxa"/>
            <w:vAlign w:val="bottom"/>
          </w:tcPr>
          <w:p>
            <w:pPr>
              <w:spacing w:after="0"/>
              <w:rPr>
                <w:sz w:val="18"/>
                <w:szCs w:val="18"/>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95"/>
              </w:rPr>
              <w:t>Association and various other financial institutions (previously filed as Exhibit 10.25 to the 2007 Form 10-K and incorporated herein by</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reference)</w:t>
            </w:r>
          </w:p>
        </w:tc>
      </w:tr>
      <w:tr>
        <w:trPr>
          <w:trHeight w:val="318"/>
        </w:trPr>
        <w:tc>
          <w:tcPr>
            <w:tcW w:w="720" w:type="dxa"/>
            <w:vAlign w:val="bottom"/>
          </w:tcPr>
          <w:p>
            <w:pPr>
              <w:ind w:left="220"/>
              <w:spacing w:after="0"/>
              <w:rPr>
                <w:sz w:val="20"/>
                <w:szCs w:val="20"/>
                <w:color w:val="auto"/>
              </w:rPr>
            </w:pPr>
            <w:r>
              <w:rPr>
                <w:rFonts w:ascii="Arial" w:cs="Arial" w:eastAsia="Arial" w:hAnsi="Arial"/>
                <w:sz w:val="18"/>
                <w:szCs w:val="18"/>
                <w:color w:val="auto"/>
              </w:rPr>
              <w:t>10.26</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w w:val="90"/>
              </w:rPr>
              <w:t>Consulting Agreement between the Trust and Larry E. Finger dated January 1, 2008 (previously filed as Exhibit 10.26 to the 2007 Form 10-K</w:t>
            </w:r>
          </w:p>
        </w:tc>
      </w:tr>
      <w:tr>
        <w:trPr>
          <w:trHeight w:val="222"/>
        </w:trPr>
        <w:tc>
          <w:tcPr>
            <w:tcW w:w="720" w:type="dxa"/>
            <w:vAlign w:val="bottom"/>
          </w:tcPr>
          <w:p>
            <w:pPr>
              <w:spacing w:after="0"/>
              <w:rPr>
                <w:sz w:val="19"/>
                <w:szCs w:val="19"/>
                <w:color w:val="auto"/>
              </w:rPr>
            </w:pP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and incorporated herein by reference)</w:t>
            </w:r>
          </w:p>
        </w:tc>
      </w:tr>
      <w:tr>
        <w:trPr>
          <w:trHeight w:val="324"/>
        </w:trPr>
        <w:tc>
          <w:tcPr>
            <w:tcW w:w="720" w:type="dxa"/>
            <w:vAlign w:val="bottom"/>
          </w:tcPr>
          <w:p>
            <w:pPr>
              <w:ind w:left="240"/>
              <w:spacing w:after="0"/>
              <w:rPr>
                <w:sz w:val="20"/>
                <w:szCs w:val="20"/>
                <w:color w:val="auto"/>
              </w:rPr>
            </w:pPr>
            <w:r>
              <w:rPr>
                <w:rFonts w:ascii="Arial" w:cs="Arial" w:eastAsia="Arial" w:hAnsi="Arial"/>
                <w:sz w:val="18"/>
                <w:szCs w:val="18"/>
                <w:color w:val="auto"/>
              </w:rPr>
              <w:t>31.1</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Rule 13a-14(a) Certification of Chief Executive Officer (filed herewith)</w:t>
            </w:r>
          </w:p>
        </w:tc>
      </w:tr>
      <w:tr>
        <w:trPr>
          <w:trHeight w:val="324"/>
        </w:trPr>
        <w:tc>
          <w:tcPr>
            <w:tcW w:w="720" w:type="dxa"/>
            <w:vAlign w:val="bottom"/>
          </w:tcPr>
          <w:p>
            <w:pPr>
              <w:ind w:left="240"/>
              <w:spacing w:after="0"/>
              <w:rPr>
                <w:sz w:val="20"/>
                <w:szCs w:val="20"/>
                <w:color w:val="auto"/>
              </w:rPr>
            </w:pPr>
            <w:r>
              <w:rPr>
                <w:rFonts w:ascii="Arial" w:cs="Arial" w:eastAsia="Arial" w:hAnsi="Arial"/>
                <w:sz w:val="18"/>
                <w:szCs w:val="18"/>
                <w:color w:val="auto"/>
              </w:rPr>
              <w:t>31.2</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Rule 13a-14(a) Certification of Chief Financial Officer (filed herewith)</w:t>
            </w:r>
          </w:p>
        </w:tc>
      </w:tr>
      <w:tr>
        <w:trPr>
          <w:trHeight w:val="324"/>
        </w:trPr>
        <w:tc>
          <w:tcPr>
            <w:tcW w:w="720" w:type="dxa"/>
            <w:vAlign w:val="bottom"/>
          </w:tcPr>
          <w:p>
            <w:pPr>
              <w:ind w:left="240"/>
              <w:spacing w:after="0"/>
              <w:rPr>
                <w:sz w:val="20"/>
                <w:szCs w:val="20"/>
                <w:color w:val="auto"/>
              </w:rPr>
            </w:pPr>
            <w:r>
              <w:rPr>
                <w:rFonts w:ascii="Arial" w:cs="Arial" w:eastAsia="Arial" w:hAnsi="Arial"/>
                <w:sz w:val="18"/>
                <w:szCs w:val="18"/>
                <w:color w:val="auto"/>
              </w:rPr>
              <w:t>32.1</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Section 1350 Certification of Chief Executive Officer (filed herewith)</w:t>
            </w:r>
          </w:p>
        </w:tc>
      </w:tr>
      <w:tr>
        <w:trPr>
          <w:trHeight w:val="324"/>
        </w:trPr>
        <w:tc>
          <w:tcPr>
            <w:tcW w:w="720" w:type="dxa"/>
            <w:vAlign w:val="bottom"/>
          </w:tcPr>
          <w:p>
            <w:pPr>
              <w:ind w:left="240"/>
              <w:spacing w:after="0"/>
              <w:rPr>
                <w:sz w:val="20"/>
                <w:szCs w:val="20"/>
                <w:color w:val="auto"/>
              </w:rPr>
            </w:pPr>
            <w:r>
              <w:rPr>
                <w:rFonts w:ascii="Arial" w:cs="Arial" w:eastAsia="Arial" w:hAnsi="Arial"/>
                <w:sz w:val="18"/>
                <w:szCs w:val="18"/>
                <w:color w:val="auto"/>
              </w:rPr>
              <w:t>32.2</w:t>
            </w:r>
          </w:p>
        </w:tc>
        <w:tc>
          <w:tcPr>
            <w:tcW w:w="10700" w:type="dxa"/>
            <w:vAlign w:val="bottom"/>
            <w:gridSpan w:val="2"/>
          </w:tcPr>
          <w:p>
            <w:pPr>
              <w:ind w:left="540"/>
              <w:spacing w:after="0"/>
              <w:rPr>
                <w:sz w:val="20"/>
                <w:szCs w:val="20"/>
                <w:color w:val="auto"/>
              </w:rPr>
            </w:pPr>
            <w:r>
              <w:rPr>
                <w:rFonts w:ascii="Arial" w:cs="Arial" w:eastAsia="Arial" w:hAnsi="Arial"/>
                <w:sz w:val="18"/>
                <w:szCs w:val="18"/>
                <w:color w:val="auto"/>
              </w:rPr>
              <w:t>Section 1350 Certification of Chief Financial Officer (filed herewith)</w:t>
            </w:r>
          </w:p>
        </w:tc>
      </w:tr>
      <w:tr>
        <w:trPr>
          <w:trHeight w:val="365"/>
        </w:trPr>
        <w:tc>
          <w:tcPr>
            <w:tcW w:w="720" w:type="dxa"/>
            <w:vAlign w:val="bottom"/>
          </w:tcPr>
          <w:p>
            <w:pPr>
              <w:spacing w:after="0"/>
              <w:rPr>
                <w:sz w:val="24"/>
                <w:szCs w:val="24"/>
                <w:color w:val="auto"/>
              </w:rPr>
            </w:pPr>
          </w:p>
        </w:tc>
        <w:tc>
          <w:tcPr>
            <w:tcW w:w="10700" w:type="dxa"/>
            <w:vAlign w:val="bottom"/>
            <w:gridSpan w:val="2"/>
          </w:tcPr>
          <w:p>
            <w:pPr>
              <w:jc w:val="right"/>
              <w:ind w:right="5552"/>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420"/>
          </w:cols>
          <w:pgMar w:left="240" w:top="459"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3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3"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May 7, 2008</w:t>
      </w:r>
      <w:r>
        <w:rPr>
          <w:sz w:val="20"/>
          <w:szCs w:val="20"/>
          <w:color w:val="auto"/>
        </w:rPr>
        <w:tab/>
      </w:r>
      <w:r>
        <w:rPr>
          <w:rFonts w:ascii="Arial" w:cs="Arial" w:eastAsia="Arial" w:hAnsi="Arial"/>
          <w:sz w:val="16"/>
          <w:szCs w:val="16"/>
          <w:b w:val="1"/>
          <w:bCs w:val="1"/>
          <w:color w:val="auto"/>
        </w:rPr>
        <w:t>/s/ D</w:t>
      </w:r>
      <w:r>
        <w:rPr>
          <w:rFonts w:ascii="Arial" w:cs="Arial" w:eastAsia="Arial" w:hAnsi="Arial"/>
          <w:sz w:val="13"/>
          <w:szCs w:val="13"/>
          <w:b w:val="1"/>
          <w:bCs w:val="1"/>
          <w:color w:val="auto"/>
        </w:rPr>
        <w:t>ONALD</w:t>
      </w:r>
      <w:r>
        <w:rPr>
          <w:rFonts w:ascii="Arial" w:cs="Arial" w:eastAsia="Arial" w:hAnsi="Arial"/>
          <w:sz w:val="16"/>
          <w:szCs w:val="16"/>
          <w:b w:val="1"/>
          <w:bCs w:val="1"/>
          <w:color w:val="auto"/>
        </w:rPr>
        <w:t xml:space="preserve"> C. W</w:t>
      </w:r>
      <w:r>
        <w:rPr>
          <w:rFonts w:ascii="Arial" w:cs="Arial" w:eastAsia="Arial" w:hAnsi="Arial"/>
          <w:sz w:val="13"/>
          <w:szCs w:val="13"/>
          <w:b w:val="1"/>
          <w:bCs w:val="1"/>
          <w:color w:val="auto"/>
        </w:rPr>
        <w:t>OOD</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-130175</wp:posOffset>
            </wp:positionV>
            <wp:extent cx="34734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Joseph M. Squeri</w:t>
      </w:r>
      <w:r>
        <w:rPr>
          <w:rFonts w:ascii="Arial" w:cs="Arial" w:eastAsia="Arial" w:hAnsi="Arial"/>
          <w:sz w:val="18"/>
          <w:szCs w:val="18"/>
          <w:color w:val="auto"/>
        </w:rPr>
        <w:t>, certify that:</w:t>
      </w:r>
    </w:p>
    <w:p>
      <w:pPr>
        <w:spacing w:after="0" w:line="90"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3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tabs>
          <w:tab w:leader="none" w:pos="7880" w:val="left"/>
        </w:tabs>
        <w:rPr>
          <w:sz w:val="20"/>
          <w:szCs w:val="20"/>
          <w:color w:val="auto"/>
        </w:rPr>
      </w:pPr>
      <w:r>
        <w:rPr>
          <w:rFonts w:ascii="Arial" w:cs="Arial" w:eastAsia="Arial" w:hAnsi="Arial"/>
          <w:sz w:val="18"/>
          <w:szCs w:val="18"/>
          <w:color w:val="auto"/>
        </w:rPr>
        <w:t>May 7, 2008</w:t>
      </w:r>
      <w:r>
        <w:rPr>
          <w:sz w:val="20"/>
          <w:szCs w:val="20"/>
          <w:color w:val="auto"/>
        </w:rPr>
        <w:tab/>
      </w:r>
      <w:r>
        <w:rPr>
          <w:rFonts w:ascii="Arial" w:cs="Arial" w:eastAsia="Arial" w:hAnsi="Arial"/>
          <w:sz w:val="16"/>
          <w:szCs w:val="16"/>
          <w:b w:val="1"/>
          <w:bCs w:val="1"/>
          <w:color w:val="auto"/>
        </w:rPr>
        <w:t>/s/ J</w:t>
      </w:r>
      <w:r>
        <w:rPr>
          <w:rFonts w:ascii="Arial" w:cs="Arial" w:eastAsia="Arial" w:hAnsi="Arial"/>
          <w:sz w:val="13"/>
          <w:szCs w:val="13"/>
          <w:b w:val="1"/>
          <w:bCs w:val="1"/>
          <w:color w:val="auto"/>
        </w:rPr>
        <w:t>OSEPH</w:t>
      </w:r>
      <w:r>
        <w:rPr>
          <w:rFonts w:ascii="Arial" w:cs="Arial" w:eastAsia="Arial" w:hAnsi="Arial"/>
          <w:sz w:val="16"/>
          <w:szCs w:val="16"/>
          <w:b w:val="1"/>
          <w:bCs w:val="1"/>
          <w:color w:val="auto"/>
        </w:rPr>
        <w:t xml:space="preserve"> M. S</w:t>
      </w:r>
      <w:r>
        <w:rPr>
          <w:rFonts w:ascii="Arial" w:cs="Arial" w:eastAsia="Arial" w:hAnsi="Arial"/>
          <w:sz w:val="13"/>
          <w:szCs w:val="13"/>
          <w:b w:val="1"/>
          <w:bCs w:val="1"/>
          <w:color w:val="auto"/>
        </w:rPr>
        <w:t>QUERI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Joseph M. Squeri,</w:t>
      </w:r>
    </w:p>
    <w:p>
      <w:pPr>
        <w:spacing w:after="0" w:line="21"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 (Principal Financial and</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Accounting Officer)</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March 31, 2008 (the “Report”). The undersigned hereby certifies that:</w:t>
      </w:r>
    </w:p>
    <w:p>
      <w:pPr>
        <w:spacing w:after="0" w:line="59"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May 7, 2008</w:t>
      </w:r>
      <w:r>
        <w:rPr>
          <w:sz w:val="20"/>
          <w:szCs w:val="20"/>
          <w:color w:val="auto"/>
        </w:rPr>
        <w:tab/>
      </w:r>
      <w:r>
        <w:rPr>
          <w:rFonts w:ascii="Arial" w:cs="Arial" w:eastAsia="Arial" w:hAnsi="Arial"/>
          <w:sz w:val="16"/>
          <w:szCs w:val="16"/>
          <w:b w:val="1"/>
          <w:bCs w:val="1"/>
          <w:color w:val="auto"/>
        </w:rPr>
        <w:t>/s/ D</w:t>
      </w:r>
      <w:r>
        <w:rPr>
          <w:rFonts w:ascii="Arial" w:cs="Arial" w:eastAsia="Arial" w:hAnsi="Arial"/>
          <w:sz w:val="13"/>
          <w:szCs w:val="13"/>
          <w:b w:val="1"/>
          <w:bCs w:val="1"/>
          <w:color w:val="auto"/>
        </w:rPr>
        <w:t>ONALD</w:t>
      </w:r>
      <w:r>
        <w:rPr>
          <w:rFonts w:ascii="Arial" w:cs="Arial" w:eastAsia="Arial" w:hAnsi="Arial"/>
          <w:sz w:val="16"/>
          <w:szCs w:val="16"/>
          <w:b w:val="1"/>
          <w:bCs w:val="1"/>
          <w:color w:val="auto"/>
        </w:rPr>
        <w:t xml:space="preserve"> C. W</w:t>
      </w:r>
      <w:r>
        <w:rPr>
          <w:rFonts w:ascii="Arial" w:cs="Arial" w:eastAsia="Arial" w:hAnsi="Arial"/>
          <w:sz w:val="13"/>
          <w:szCs w:val="13"/>
          <w:b w:val="1"/>
          <w:bCs w:val="1"/>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Donald C. Wood,</w:t>
      </w:r>
    </w:p>
    <w:p>
      <w:pPr>
        <w:spacing w:after="0" w:line="21"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undersigned, Joseph M. Squeri, the Executive Vice President and Chief Financial Officer of Federal Realty Investment Trust (the “Company”), has executed this certification in connection with the filing with the Securities and Exchange Commission of the Company’s Quarterly Report on Form 10-Q for the period ended March 31, 2008 (the “Report”). The undersigned hereby certifies that:</w:t>
      </w:r>
    </w:p>
    <w:p>
      <w:pPr>
        <w:spacing w:after="0" w:line="59"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p>
      <w:pPr>
        <w:spacing w:after="0"/>
        <w:tabs>
          <w:tab w:leader="none" w:pos="7880" w:val="left"/>
        </w:tabs>
        <w:rPr>
          <w:sz w:val="20"/>
          <w:szCs w:val="20"/>
          <w:color w:val="auto"/>
        </w:rPr>
      </w:pPr>
      <w:r>
        <w:rPr>
          <w:rFonts w:ascii="Arial" w:cs="Arial" w:eastAsia="Arial" w:hAnsi="Arial"/>
          <w:sz w:val="18"/>
          <w:szCs w:val="18"/>
          <w:color w:val="auto"/>
        </w:rPr>
        <w:t>May 7, 2008</w:t>
      </w:r>
      <w:r>
        <w:rPr>
          <w:sz w:val="20"/>
          <w:szCs w:val="20"/>
          <w:color w:val="auto"/>
        </w:rPr>
        <w:tab/>
      </w:r>
      <w:r>
        <w:rPr>
          <w:rFonts w:ascii="Arial" w:cs="Arial" w:eastAsia="Arial" w:hAnsi="Arial"/>
          <w:sz w:val="16"/>
          <w:szCs w:val="16"/>
          <w:b w:val="1"/>
          <w:bCs w:val="1"/>
          <w:color w:val="auto"/>
        </w:rPr>
        <w:t>/s/ J</w:t>
      </w:r>
      <w:r>
        <w:rPr>
          <w:rFonts w:ascii="Arial" w:cs="Arial" w:eastAsia="Arial" w:hAnsi="Arial"/>
          <w:sz w:val="13"/>
          <w:szCs w:val="13"/>
          <w:b w:val="1"/>
          <w:bCs w:val="1"/>
          <w:color w:val="auto"/>
        </w:rPr>
        <w:t>OSEPH</w:t>
      </w:r>
      <w:r>
        <w:rPr>
          <w:rFonts w:ascii="Arial" w:cs="Arial" w:eastAsia="Arial" w:hAnsi="Arial"/>
          <w:sz w:val="16"/>
          <w:szCs w:val="16"/>
          <w:b w:val="1"/>
          <w:bCs w:val="1"/>
          <w:color w:val="auto"/>
        </w:rPr>
        <w:t xml:space="preserve"> M. S</w:t>
      </w:r>
      <w:r>
        <w:rPr>
          <w:rFonts w:ascii="Arial" w:cs="Arial" w:eastAsia="Arial" w:hAnsi="Arial"/>
          <w:sz w:val="13"/>
          <w:szCs w:val="13"/>
          <w:b w:val="1"/>
          <w:bCs w:val="1"/>
          <w:color w:val="auto"/>
        </w:rPr>
        <w:t>QUERI</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Joseph M. Squeri,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-130175</wp:posOffset>
            </wp:positionV>
            <wp:extent cx="34734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 (Principal Financial</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3"/>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
      <w:numFmt w:val="bullet"/>
      <w:start w:val="1"/>
    </w:lvl>
    <w:lvl w:ilvl="1">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2019-12-11T12:44:16Z</dcterms:created>
  <dcterms:modified xsi:type="dcterms:W3CDTF">2019-12-11T12:44:16Z</dcterms:modified>
</cp:coreProperties>
</file>