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September 30, 2018</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900" w:hanging="440"/>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900" w:right="260" w:hanging="440"/>
        <w:spacing w:after="0" w:line="308" w:lineRule="auto"/>
        <w:tabs>
          <w:tab w:leader="none" w:pos="9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On October 31, 2018, Federal Realty Investment Trust issued supplemental data pertaining to its operations, as well as a press release, to report its financial results for the quarter ended September 30, 2018.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September 30, 2018 (including press release dated October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October 31, 2018</w:t>
      </w:r>
      <w:r>
        <w:rPr>
          <w:sz w:val="20"/>
          <w:szCs w:val="20"/>
          <w:color w:val="auto"/>
        </w:rPr>
        <w:tab/>
      </w:r>
      <w:r>
        <w:rPr>
          <w:rFonts w:ascii="Arial" w:cs="Arial" w:eastAsia="Arial" w:hAnsi="Arial"/>
          <w:sz w:val="19"/>
          <w:szCs w:val="19"/>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rFonts w:ascii="Arial" w:cs="Arial" w:eastAsia="Arial" w:hAnsi="Arial"/>
          <w:sz w:val="22"/>
          <w:szCs w:val="22"/>
          <w:color w:val="0000FF"/>
        </w:rPr>
      </w:pPr>
      <w:hyperlink w:anchor="page4">
        <w:r>
          <w:rPr>
            <w:rFonts w:ascii="Arial" w:cs="Arial" w:eastAsia="Arial" w:hAnsi="Arial"/>
            <w:sz w:val="22"/>
            <w:szCs w:val="22"/>
            <w:u w:val="single" w:color="auto"/>
            <w:color w:val="0000FF"/>
          </w:rPr>
          <w:t>99.1</w:t>
        </w:r>
      </w:hyperlink>
      <w:r>
        <w:rPr>
          <w:rFonts w:ascii="Arial" w:cs="Arial" w:eastAsia="Arial" w:hAnsi="Arial"/>
          <w:sz w:val="22"/>
          <w:szCs w:val="22"/>
          <w:color w:val="0000FF"/>
        </w:rPr>
        <w:tab/>
      </w:r>
      <w:r>
        <w:rPr>
          <w:rFonts w:ascii="Arial" w:cs="Arial" w:eastAsia="Arial" w:hAnsi="Arial"/>
          <w:sz w:val="19"/>
          <w:szCs w:val="19"/>
          <w:color w:val="0000FF"/>
        </w:rPr>
        <w:t>Supplemental Information at September 30, 2018</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Third Quarter 2018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Other Supplemental Information</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76"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tcPr>
          <w:p>
            <w:pPr>
              <w:jc w:val="right"/>
              <w:ind w:right="20"/>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18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19</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23</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24</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2018,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drawing>
          <wp:anchor simplePos="0" relativeHeight="251657728" behindDoc="1" locked="0" layoutInCell="0" allowOverlap="1">
            <wp:simplePos x="0" y="0"/>
            <wp:positionH relativeFrom="page">
              <wp:posOffset>2687320</wp:posOffset>
            </wp:positionH>
            <wp:positionV relativeFrom="page">
              <wp:posOffset>620395</wp:posOffset>
            </wp:positionV>
            <wp:extent cx="21951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5918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19"/>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380" w:type="dxa"/>
            <w:vAlign w:val="bottom"/>
          </w:tcPr>
          <w:p>
            <w:pPr>
              <w:spacing w:after="0"/>
              <w:rPr>
                <w:sz w:val="24"/>
                <w:szCs w:val="24"/>
                <w:color w:val="auto"/>
              </w:rPr>
            </w:pPr>
          </w:p>
        </w:tc>
      </w:tr>
      <w:tr>
        <w:trPr>
          <w:trHeight w:val="486"/>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38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Leah Andress Brady</w:t>
            </w:r>
          </w:p>
        </w:tc>
        <w:tc>
          <w:tcPr>
            <w:tcW w:w="5380" w:type="dxa"/>
            <w:vAlign w:val="bottom"/>
          </w:tcPr>
          <w:p>
            <w:pPr>
              <w:jc w:val="right"/>
              <w:spacing w:after="0"/>
              <w:rPr>
                <w:sz w:val="20"/>
                <w:szCs w:val="20"/>
                <w:color w:val="auto"/>
              </w:rPr>
            </w:pPr>
            <w:r>
              <w:rPr>
                <w:rFonts w:ascii="Arial" w:cs="Arial" w:eastAsia="Arial" w:hAnsi="Arial"/>
                <w:sz w:val="18"/>
                <w:szCs w:val="18"/>
                <w:color w:val="auto"/>
              </w:rPr>
              <w:t>Andrea Simpson</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Investor Relations Manager</w:t>
            </w:r>
          </w:p>
        </w:tc>
        <w:tc>
          <w:tcPr>
            <w:tcW w:w="5380" w:type="dxa"/>
            <w:vAlign w:val="bottom"/>
          </w:tcPr>
          <w:p>
            <w:pPr>
              <w:jc w:val="right"/>
              <w:spacing w:after="0"/>
              <w:rPr>
                <w:sz w:val="20"/>
                <w:szCs w:val="20"/>
                <w:color w:val="auto"/>
              </w:rPr>
            </w:pPr>
            <w:r>
              <w:rPr>
                <w:rFonts w:ascii="Arial" w:cs="Arial" w:eastAsia="Arial" w:hAnsi="Arial"/>
                <w:sz w:val="18"/>
                <w:szCs w:val="18"/>
                <w:color w:val="auto"/>
              </w:rPr>
              <w:t>Vice President, Marketing</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380" w:type="dxa"/>
            <w:vAlign w:val="bottom"/>
          </w:tcPr>
          <w:p>
            <w:pPr>
              <w:jc w:val="right"/>
              <w:spacing w:after="0"/>
              <w:rPr>
                <w:sz w:val="20"/>
                <w:szCs w:val="20"/>
                <w:color w:val="auto"/>
              </w:rPr>
            </w:pPr>
            <w:r>
              <w:rPr>
                <w:rFonts w:ascii="Arial" w:cs="Arial" w:eastAsia="Arial" w:hAnsi="Arial"/>
                <w:sz w:val="18"/>
                <w:szCs w:val="18"/>
                <w:color w:val="auto"/>
              </w:rPr>
              <w:t>617.684.1511</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lbrady@federalrealty.com</w:t>
            </w:r>
          </w:p>
        </w:tc>
        <w:tc>
          <w:tcPr>
            <w:tcW w:w="5380" w:type="dxa"/>
            <w:vAlign w:val="bottom"/>
          </w:tcPr>
          <w:p>
            <w:pPr>
              <w:jc w:val="right"/>
              <w:spacing w:after="0"/>
              <w:rPr>
                <w:sz w:val="20"/>
                <w:szCs w:val="20"/>
                <w:color w:val="auto"/>
              </w:rPr>
            </w:pPr>
            <w:r>
              <w:rPr>
                <w:rFonts w:ascii="Arial" w:cs="Arial" w:eastAsia="Arial" w:hAnsi="Arial"/>
                <w:sz w:val="18"/>
                <w:szCs w:val="18"/>
                <w:i w:val="1"/>
                <w:iCs w:val="1"/>
                <w:color w:val="auto"/>
              </w:rPr>
              <w:t>asimpson@federalrealty.com</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Third Quarter 2018 Operating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Reports 3.5% comparable property POI growth and raises 2018 Guidance -</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ROCKVILLE, Md. (October 31, 2018)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third quarter ended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Highlights of the quarter and recent activity include:</w:t>
      </w:r>
    </w:p>
    <w:p>
      <w:pPr>
        <w:spacing w:after="0" w:line="239" w:lineRule="exact"/>
        <w:rPr>
          <w:sz w:val="20"/>
          <w:szCs w:val="20"/>
          <w:color w:val="auto"/>
        </w:rPr>
      </w:pPr>
    </w:p>
    <w:p>
      <w:pPr>
        <w:ind w:lef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earnings per diluted share of $0.82 for the quarter compared to $1.47 in third quarter 2017, which included a $0.70 gain on sale of real estate.</w:t>
      </w:r>
    </w:p>
    <w:p>
      <w:pPr>
        <w:spacing w:after="0" w:line="14"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funds from operations available for common shareholders (FFO) per diluted share of $1.58 for the quarter compared to $1.50 in third quarter 2017.</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property operating income (POI) growth of 3.5% for the third quarter.</w:t>
      </w:r>
    </w:p>
    <w:p>
      <w:pPr>
        <w:spacing w:after="0" w:line="103" w:lineRule="exact"/>
        <w:rPr>
          <w:rFonts w:ascii="Arial" w:cs="Arial" w:eastAsia="Arial" w:hAnsi="Arial"/>
          <w:sz w:val="18"/>
          <w:szCs w:val="18"/>
          <w:color w:val="auto"/>
        </w:rPr>
      </w:pPr>
    </w:p>
    <w:p>
      <w:pPr>
        <w:ind w:left="660" w:hanging="328"/>
        <w:spacing w:after="0" w:line="34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447,765 sf of comparable space (469,214 sf total) in the third quarter and achieved cash basis rollover growth on those comparable spaces of 6%. Over the last four quarters, cash basis rollover growth on comparable spaces was 12%.</w:t>
      </w:r>
    </w:p>
    <w:p>
      <w:pPr>
        <w:spacing w:after="0" w:line="19" w:lineRule="exact"/>
        <w:rPr>
          <w:rFonts w:ascii="Arial" w:cs="Arial" w:eastAsia="Arial" w:hAnsi="Arial"/>
          <w:sz w:val="18"/>
          <w:szCs w:val="18"/>
          <w:color w:val="auto"/>
        </w:rPr>
      </w:pPr>
    </w:p>
    <w:p>
      <w:pPr>
        <w:ind w:left="660" w:right="20" w:hanging="328"/>
        <w:spacing w:after="0" w:line="352"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Signed a long-term lease with Splunk Inc. for 301,000 square feet of office area at 700 Santana Row, a 319,000 square foot, Class-A mixed-use office and retail building under construction at Santana Row.</w:t>
      </w:r>
    </w:p>
    <w:p>
      <w:pPr>
        <w:spacing w:after="0" w:line="14"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2018 FFO per diluted share guidance range to $6.18 - $6.24.</w:t>
      </w:r>
    </w:p>
    <w:p>
      <w:pPr>
        <w:spacing w:after="0" w:line="200" w:lineRule="exact"/>
        <w:rPr>
          <w:sz w:val="20"/>
          <w:szCs w:val="20"/>
          <w:color w:val="auto"/>
        </w:rPr>
      </w:pPr>
    </w:p>
    <w:p>
      <w:pPr>
        <w:spacing w:after="0" w:line="214"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323232"/>
        </w:rPr>
        <w:t>"</w:t>
      </w:r>
      <w:r>
        <w:rPr>
          <w:rFonts w:ascii="Arial" w:cs="Arial" w:eastAsia="Arial" w:hAnsi="Arial"/>
          <w:sz w:val="18"/>
          <w:szCs w:val="18"/>
          <w:color w:val="000000"/>
        </w:rPr>
        <w:t>I couldn’t be more pleased with the way our portfolio and our team are responding to changing consumer spending preferences” said Donald</w:t>
      </w:r>
      <w:r>
        <w:rPr>
          <w:rFonts w:ascii="Arial" w:cs="Arial" w:eastAsia="Arial" w:hAnsi="Arial"/>
          <w:sz w:val="18"/>
          <w:szCs w:val="18"/>
          <w:color w:val="323232"/>
        </w:rPr>
        <w:t xml:space="preserve"> </w:t>
      </w:r>
      <w:r>
        <w:rPr>
          <w:rFonts w:ascii="Arial" w:cs="Arial" w:eastAsia="Arial" w:hAnsi="Arial"/>
          <w:sz w:val="18"/>
          <w:szCs w:val="18"/>
          <w:color w:val="000000"/>
        </w:rPr>
        <w:t>C. Wood, President and Chief Executive Officer of Federal Realty. “A big part of our ability to consistently and sustainably grow earnings-this quarter is the best result we’ve ever posted- is the breadth of the product type that we acquire, build and operate in some of the strongest markets in the country. The retail and entertainment experience that we create on the ground floor is an integral part of our ability to generate revenues from office users, apartment renters and hotel guests who work, live and stay above.</w:t>
      </w:r>
      <w:r>
        <w:rPr>
          <w:rFonts w:ascii="Arial" w:cs="Arial" w:eastAsia="Arial" w:hAnsi="Arial"/>
          <w:sz w:val="18"/>
          <w:szCs w:val="18"/>
          <w:color w:val="1D1D1D"/>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Financial Results</w:t>
      </w:r>
    </w:p>
    <w:p>
      <w:pPr>
        <w:spacing w:after="0" w:line="220"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Net income income available for common shareholders was $60.5 million and earnings per diluted share was $0.82 for third quarter 2018 versus $106.6 million and $1.47, respectively, for third quarter 2017 which included a $0.70 gain on sale of real estate. Year-to-date Federal Realty reported net income available for common shareholders of $181.4 million and earnings per diluted share of $2.47 which included a $0.14 gain on sale of real estate. This compares to net income available for common shareholders of $238.8 million and earnings per diluted share of $3.30 for the nine months ended September 30, 2017 which included a $0.97 gain on sale of real estate.</w:t>
      </w:r>
    </w:p>
    <w:p>
      <w:pPr>
        <w:spacing w:after="0" w:line="123"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third quarter 2018, Federal Realty generated funds from operations available for common shareholders of $117.3 million, or $1.58 per diluted share. This compares to FFO of $110.0 million, or $1.50 per diluted share, in third quarter 2017. For the nine months ended September 30, 2017, FFO was $344.6 million, or $4.66 per diluted share, compared to $324.5 million, or $4.45 per diluted share for the same nine month period in 2017.</w:t>
      </w:r>
    </w:p>
    <w:p>
      <w:pPr>
        <w:spacing w:after="0" w:line="122"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61"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In third quarter 2018, comparable property POI increased 3.5%. Comparable property POI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w:t>
      </w:r>
    </w:p>
    <w:p>
      <w:pPr>
        <w:spacing w:after="0" w:line="123"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overall portfolio was 94.8% leased as of September 30, 2018, compared to 94.9% on September 30, 2017. Federal Realty’s comparable portfolio was 95.2% leased on September 30, 2018, compared to 95.4% on September 30, 2017.</w:t>
      </w:r>
    </w:p>
    <w:p>
      <w:pPr>
        <w:spacing w:after="0" w:line="116" w:lineRule="exact"/>
        <w:rPr>
          <w:sz w:val="20"/>
          <w:szCs w:val="20"/>
          <w:color w:val="auto"/>
        </w:rPr>
      </w:pPr>
    </w:p>
    <w:p>
      <w:pPr>
        <w:ind w:right="60"/>
        <w:spacing w:after="0" w:line="364" w:lineRule="auto"/>
        <w:rPr>
          <w:sz w:val="20"/>
          <w:szCs w:val="20"/>
          <w:color w:val="auto"/>
        </w:rPr>
      </w:pPr>
      <w:r>
        <w:rPr>
          <w:rFonts w:ascii="Arial" w:cs="Arial" w:eastAsia="Arial" w:hAnsi="Arial"/>
          <w:sz w:val="18"/>
          <w:szCs w:val="18"/>
          <w:color w:val="auto"/>
        </w:rPr>
        <w:t>During third quarter 2018, Federal Realty signed 101 leases for 469,214 square feet of retail space. On a comparable space basis (i.e., spaces for which there was a former tenant), Federal Realty leased 447,765 square feet at an average rent of $38.31 per square foot compared to the average contractual rent of $36.22 per square foot for the last year of the prior leases, representing a cash basis rollover growth on those comparable spaces of 6%. Over the last four quarters, cash basis rollover growth on comparable spaces is 12%.</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 and Recent Developments</w:t>
      </w:r>
    </w:p>
    <w:p>
      <w:pPr>
        <w:spacing w:after="0" w:line="261" w:lineRule="exact"/>
        <w:rPr>
          <w:sz w:val="20"/>
          <w:szCs w:val="20"/>
          <w:color w:val="auto"/>
        </w:rPr>
      </w:pPr>
    </w:p>
    <w:p>
      <w:pPr>
        <w:jc w:val="both"/>
        <w:ind w:left="660" w:hanging="328"/>
        <w:spacing w:after="0" w:line="36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August 27, 2018 -Federal Realty announced that Splunk Inc. (NASDAQ: SPLK) signed a long-term lease for 301,000 square feet of office space in 700 Santana Row, a 319,000 square foot, Class-A mixed-use office and retail building under construction at Santana Row at the intersection of Santana Row and Olsen Drive.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5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Regular Quarterly Dividends</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Realty’s Board of Trustees declared a regular quarterly cash dividend of $1.02 per share, resulting in an indicated annual rate of $4.08 per share. The regular common dividend will be payable on January 15, 2019 to common shareholders of record as of January 2, 2019.</w:t>
      </w:r>
    </w:p>
    <w:p>
      <w:pPr>
        <w:spacing w:after="0" w:line="11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January 15, 2019 to shareholders of record as of January 2, 2019.</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6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increased its 2018 guidance for FFO per diluted share to $6.18 to $6.24 and increased its 2018 earnings per diluted share guidance to $3.23 to $3.29.</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third quarter 2018 earnings conference call, which is scheduled for Thursday, November 1, 2018 at 10:00AM ET. To participate, please call 877-445-3230 five to ten minutes prior to the call start time and use the passcode 6491417 (required). Federal Realty will also provide an online webcast on the Company’s web site, http://www.federalrealty.com, which will remain available for 30 days following the call. A telephonic replay of the conference call will also be available through November 8, 2018 by dialing 855.859.2056; Passcode: 6491417.</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61"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105 properties include approximately 3,000 tenants, in approximately 24 million square feet, and over 2,600 residential units.</w:t>
      </w:r>
    </w:p>
    <w:p>
      <w:pPr>
        <w:spacing w:after="0" w:line="124" w:lineRule="exact"/>
        <w:rPr>
          <w:sz w:val="20"/>
          <w:szCs w:val="20"/>
          <w:color w:val="auto"/>
        </w:rPr>
      </w:pPr>
    </w:p>
    <w:p>
      <w:pPr>
        <w:ind w:right="28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51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Safe Harbor Language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2018, and include the following:</w:t>
      </w:r>
    </w:p>
    <w:p>
      <w:pPr>
        <w:spacing w:after="0" w:line="125"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jc w:val="both"/>
        <w:ind w:left="66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31"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2018.</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0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664,834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620,741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property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interest income</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229,753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217,953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680,060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633,391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126,587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119,487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taxes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85,841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79,104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7,638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23,980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26,013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177,269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159,656</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139,411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133,456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413,677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384,260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84,497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249,131</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Loss from real estate partnerships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182,231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175,136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Gain on sale of real estate,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50,775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10,413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69,949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108,882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192,644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245,085</w:t>
            </w:r>
          </w:p>
        </w:tc>
        <w:tc>
          <w:tcPr>
            <w:tcW w:w="0" w:type="dxa"/>
            <w:vAlign w:val="bottom"/>
          </w:tcPr>
          <w:p>
            <w:pPr>
              <w:spacing w:after="0"/>
              <w:rPr>
                <w:sz w:val="1"/>
                <w:szCs w:val="1"/>
                <w:color w:val="auto"/>
              </w:rPr>
            </w:pPr>
          </w:p>
        </w:tc>
      </w:tr>
      <w:tr>
        <w:trPr>
          <w:trHeight w:val="243"/>
        </w:trPr>
        <w:tc>
          <w:tcPr>
            <w:tcW w:w="528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187,400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239,258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60,548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106,600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181,369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238,810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73,400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72,091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73,100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71,983</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80" w:type="dxa"/>
            <w:vAlign w:val="bottom"/>
          </w:tcPr>
          <w:p>
            <w:pPr>
              <w:ind w:left="280"/>
              <w:spacing w:after="0"/>
              <w:rPr>
                <w:sz w:val="20"/>
                <w:szCs w:val="20"/>
                <w:color w:val="auto"/>
              </w:rPr>
            </w:pPr>
            <w:r>
              <w:rPr>
                <w:rFonts w:ascii="Arial" w:cs="Arial" w:eastAsia="Arial" w:hAnsi="Arial"/>
                <w:sz w:val="18"/>
                <w:szCs w:val="18"/>
                <w:color w:val="auto"/>
              </w:rPr>
              <w:t>Net income available for common shareholders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51"/>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73,408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72,110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62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$1,665,185 and $1,639,486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7,256,876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6,950,188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$60,937 and $43,393 of consolidated variable interest entities,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481,994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684,873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7,760,860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$280,028 and $247,410 of consolidated variable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(2,018,627)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5,742,233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5,758,517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292,080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237,803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6,285,664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rPr>
              <w:t>Mortgages payable, net (including $445,831 and $460,372 of consolidated variable interest entities,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476,057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491,505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305,483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320,265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2,403,565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184,683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196,332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75,931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173,953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169,388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3,710,777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3,743,084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141,448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141,157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shd w:val="clear" w:color="auto" w:fill="CCEEFF"/>
              </w:rPr>
              <w:t>Common shares of beneficial interest, $.01 par, 100,000,000 shares authorized, 73,859,280 and 73,090,877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2,946,555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2,855,321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2,311,771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2,266,706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121,668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124,808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2,433,439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2,391,514</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6,285,664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124"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124"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6"/>
                <w:szCs w:val="16"/>
                <w:color w:val="auto"/>
              </w:rPr>
            </w:pPr>
          </w:p>
        </w:tc>
        <w:tc>
          <w:tcPr>
            <w:tcW w:w="244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8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09"/>
        </w:trPr>
        <w:tc>
          <w:tcPr>
            <w:tcW w:w="580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64,180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108,882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192,644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245,085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(5,827)</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Gain on sale of real estate, net (2)</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(50,775)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(10,413)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(69,659)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54,132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48,796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157,494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139,112</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14,534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14,530</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118,797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109,578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349,015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323,241</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Dividends on preferred shares (3)</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(5,625)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2,355</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(1,064)</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117,334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109,968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344,550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324,491</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5800" w:type="dxa"/>
            <w:vAlign w:val="bottom"/>
            <w:tcBorders>
              <w:bottom w:val="single" w:sz="8" w:color="CCEEFF"/>
            </w:tcBorders>
            <w:gridSpan w:val="6"/>
          </w:tcPr>
          <w:p>
            <w:pPr>
              <w:ind w:left="40"/>
              <w:spacing w:after="0"/>
              <w:rPr>
                <w:sz w:val="20"/>
                <w:szCs w:val="20"/>
                <w:color w:val="auto"/>
              </w:rPr>
            </w:pPr>
            <w:r>
              <w:rPr>
                <w:rFonts w:ascii="Arial" w:cs="Arial" w:eastAsia="Arial" w:hAnsi="Arial"/>
                <w:sz w:val="18"/>
                <w:szCs w:val="18"/>
                <w:color w:val="auto"/>
              </w:rPr>
              <w:t>Weighted average number of common shares, diluted (3)</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74,254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73,089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73,992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73,001</w:t>
            </w:r>
          </w:p>
        </w:tc>
      </w:tr>
      <w:tr>
        <w:trPr>
          <w:trHeight w:val="251"/>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4.45</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03"/>
        </w:trPr>
        <w:tc>
          <w:tcPr>
            <w:tcW w:w="58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Non-maintenance capital expenditures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110,861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208,965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326,508</w:t>
            </w:r>
          </w:p>
        </w:tc>
      </w:tr>
      <w:tr>
        <w:trPr>
          <w:trHeight w:val="243"/>
        </w:trPr>
        <w:tc>
          <w:tcPr>
            <w:tcW w:w="40" w:type="dxa"/>
            <w:vAlign w:val="bottom"/>
          </w:tcPr>
          <w:p>
            <w:pPr>
              <w:spacing w:after="0"/>
              <w:rPr>
                <w:sz w:val="21"/>
                <w:szCs w:val="21"/>
                <w:color w:val="auto"/>
              </w:rPr>
            </w:pPr>
          </w:p>
        </w:tc>
        <w:tc>
          <w:tcPr>
            <w:tcW w:w="5760" w:type="dxa"/>
            <w:vAlign w:val="bottom"/>
            <w:gridSpan w:val="5"/>
          </w:tcPr>
          <w:p>
            <w:pPr>
              <w:ind w:left="340"/>
              <w:spacing w:after="0"/>
              <w:rPr>
                <w:sz w:val="20"/>
                <w:szCs w:val="20"/>
                <w:color w:val="auto"/>
              </w:rPr>
            </w:pPr>
            <w:r>
              <w:rPr>
                <w:rFonts w:ascii="Arial" w:cs="Arial" w:eastAsia="Arial" w:hAnsi="Arial"/>
                <w:sz w:val="18"/>
                <w:szCs w:val="18"/>
                <w:color w:val="auto"/>
              </w:rPr>
              <w:t>Tenant improvements and incentives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9,482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34,709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31,219</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120,343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243,674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357,727</w:t>
            </w:r>
          </w:p>
        </w:tc>
      </w:tr>
      <w:tr>
        <w:trPr>
          <w:trHeight w:val="243"/>
        </w:trPr>
        <w:tc>
          <w:tcPr>
            <w:tcW w:w="40" w:type="dxa"/>
            <w:vAlign w:val="bottom"/>
          </w:tcPr>
          <w:p>
            <w:pPr>
              <w:spacing w:after="0"/>
              <w:rPr>
                <w:sz w:val="21"/>
                <w:szCs w:val="21"/>
                <w:color w:val="auto"/>
              </w:rPr>
            </w:pPr>
          </w:p>
        </w:tc>
        <w:tc>
          <w:tcPr>
            <w:tcW w:w="5760" w:type="dxa"/>
            <w:vAlign w:val="bottom"/>
            <w:gridSpan w:val="5"/>
          </w:tcPr>
          <w:p>
            <w:pPr>
              <w:ind w:left="34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8,021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10,751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17,919</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83,345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128,364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254,425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375,646</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03"/>
        </w:trPr>
        <w:tc>
          <w:tcPr>
            <w:tcW w:w="58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Regular common dividends declared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75,224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72,503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221,623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213,954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80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Noncontrolling Interests Supplemental Information (4)</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9,651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9,701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(4,232)</w:t>
            </w:r>
          </w:p>
        </w:tc>
      </w:tr>
      <w:tr>
        <w:trPr>
          <w:trHeight w:val="243"/>
        </w:trPr>
        <w:tc>
          <w:tcPr>
            <w:tcW w:w="5800" w:type="dxa"/>
            <w:vAlign w:val="bottom"/>
            <w:gridSpan w:val="6"/>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(1,997)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2,945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3,472</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$7.3 million of the gain on sale of real estate for the nine months ended September 30, 2018 is related to condominium units sold at Assembly Row and Pike &amp; Rose. $0.6 million and $3.9 million of the gains for the three and nine months ended September 30, 2017, respectively, also include gains related to Assembly Row condominium units under the percentage-of-completion method. Effective January 1, 2018, we adopted a new accounting standard related to revenue recognition, which results in a change in our revenue recognition policy for condominium sales. See Note 2 of our September 30, 2018 Form 10-Q for additional information regarding the adoption.</w:t>
      </w:r>
    </w:p>
    <w:p>
      <w:pPr>
        <w:spacing w:after="0" w:line="2" w:lineRule="exact"/>
        <w:rPr>
          <w:rFonts w:ascii="Arial" w:cs="Arial" w:eastAsia="Arial" w:hAnsi="Arial"/>
          <w:sz w:val="16"/>
          <w:szCs w:val="16"/>
          <w:color w:val="auto"/>
        </w:rPr>
      </w:pPr>
    </w:p>
    <w:p>
      <w:pPr>
        <w:ind w:left="660" w:right="40" w:hanging="652"/>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2018 and 2017, dividends on our Series 1 preferred shares are not deducted in the calculation of FFO available to common shareholders, as the related shares are dilutive and included in "weighted average common shares, diluted."</w:t>
      </w:r>
    </w:p>
    <w:p>
      <w:pPr>
        <w:ind w:left="660" w:hanging="652"/>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Amounts reflect the components of "net income attributable to noncontrolling interests," but excludes "income attributable to operating partnership units."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50"/>
        </w:trPr>
        <w:tc>
          <w:tcPr>
            <w:tcW w:w="8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8"/>
              </w:rPr>
              <w:t>(in thousands, except per share data)</w:t>
            </w: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74,599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73,331</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126.47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124.21</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9,434,536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9,108,444</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25,000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150,000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400</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9,594,536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9,268,444</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(3)</w:t>
            </w:r>
          </w:p>
        </w:tc>
        <w:tc>
          <w:tcPr>
            <w:tcW w:w="3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3,256,634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3,263,462</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97"/>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12,851,170</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7"/>
              </w:rPr>
              <w:t>12,531,906</w:t>
            </w:r>
          </w:p>
        </w:tc>
      </w:tr>
      <w:tr>
        <w:trPr>
          <w:trHeight w:val="271"/>
        </w:trPr>
        <w:tc>
          <w:tcPr>
            <w:tcW w:w="8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Total debt to market capitalization at market price per common share</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Fixed rate debt ratio (4):</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 rate debt and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8200" w:type="dxa"/>
            <w:vAlign w:val="bottom"/>
          </w:tcPr>
          <w:p>
            <w:pPr>
              <w:ind w:left="500"/>
              <w:spacing w:after="0"/>
              <w:rPr>
                <w:sz w:val="20"/>
                <w:szCs w:val="20"/>
                <w:color w:val="auto"/>
              </w:rPr>
            </w:pPr>
            <w:r>
              <w:rPr>
                <w:rFonts w:ascii="Arial" w:cs="Arial" w:eastAsia="Arial" w:hAnsi="Arial"/>
                <w:sz w:val="18"/>
                <w:szCs w:val="18"/>
                <w:color w:val="auto"/>
              </w:rPr>
              <w:t>Variable rate debt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739,287 and 787,962 operating partnership units outstanding at September 30, 2018 and 2017,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52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premiums/discounts and debt issuance costs from our consolidated balance sheet</w:t>
      </w:r>
      <w:r>
        <w:rPr>
          <w:rFonts w:ascii="Arial" w:cs="Arial" w:eastAsia="Arial" w:hAnsi="Arial"/>
          <w:sz w:val="14"/>
          <w:szCs w:val="14"/>
          <w:color w:val="auto"/>
        </w:rPr>
        <w:t>.</w:t>
      </w:r>
    </w:p>
    <w:p>
      <w:pPr>
        <w:spacing w:after="0" w:line="24"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 for both periods presented. The interest rate swap agreements expire on November 1, 2018, and thereafter, the term loan will be considered variable rate debt.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 (1)</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153,923</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147,971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459,496</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434,390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18,746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51,866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44,044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43,602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131,779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124,997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7,873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13,820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13,049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223,777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212,048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664,834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620,741</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4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$1.4 million and $3.9 million for the three months ended September 30, 2018 and 2017, respectively, and $4.7 million and $11.3 million for the nine months ended September 30, 2018 and 2017, respectively, to recognize minimum rents on a straight-line basis. In addition, minimum rents include $2.0 million and $0.9 million for the three months ended September 30, 2018 and 2017, respectively, and $3.8 million and $3.3 million for the nine months ended September 30, 2018 and 2017,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334" w:lineRule="exact"/>
        <w:rPr>
          <w:sz w:val="20"/>
          <w:szCs w:val="20"/>
          <w:color w:val="auto"/>
        </w:rPr>
      </w:pPr>
    </w:p>
    <w:p>
      <w:pPr>
        <w:ind w:left="40" w:right="220"/>
        <w:spacing w:after="0" w:line="272"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Q3 include: Assembly Row - Phase 2, CocoWalk, Pike &amp; Rose, The Point at Plaza El Segundo, The Shops at Sunset Place, Towson Residential, 700 Santana Row, and all properties acquired or disposed of from Q3 2017 to Q3 2018. Comparable Property property operating income (“Comparable Property POI”) is a non-GAAP measure used by management in evaluating the operating performance of our properties period over period.</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Reconciliation of GAAP operating income to Comparable Property POI</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90,342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84,497</w:t>
            </w:r>
          </w:p>
        </w:tc>
        <w:tc>
          <w:tcPr>
            <w:tcW w:w="1100" w:type="dxa"/>
            <w:vAlign w:val="bottom"/>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Add:</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60,778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55,611</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9,103</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Property operating income (POI)</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158,758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149,211</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Less: Non-comparable POI - acquisitions/dispositions</w:t>
            </w:r>
          </w:p>
        </w:tc>
        <w:tc>
          <w:tcPr>
            <w:tcW w:w="3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(3,527)</w:t>
            </w: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Less: Non-comparable POI - redevelopment, development &amp; other</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(13,437)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(10,288)</w:t>
            </w:r>
          </w:p>
        </w:tc>
        <w:tc>
          <w:tcPr>
            <w:tcW w:w="1100" w:type="dxa"/>
            <w:vAlign w:val="bottom"/>
          </w:tcPr>
          <w:p>
            <w:pPr>
              <w:spacing w:after="0"/>
              <w:rPr>
                <w:sz w:val="23"/>
                <w:szCs w:val="23"/>
                <w:color w:val="auto"/>
              </w:rPr>
            </w:pPr>
          </w:p>
        </w:tc>
      </w:tr>
      <w:tr>
        <w:trPr>
          <w:trHeight w:val="237"/>
        </w:trPr>
        <w:tc>
          <w:tcPr>
            <w:tcW w:w="7140" w:type="dxa"/>
            <w:vAlign w:val="bottom"/>
          </w:tcPr>
          <w:p>
            <w:pPr>
              <w:ind w:left="380"/>
              <w:spacing w:after="0"/>
              <w:rPr>
                <w:sz w:val="20"/>
                <w:szCs w:val="20"/>
                <w:color w:val="auto"/>
              </w:rPr>
            </w:pPr>
            <w:r>
              <w:rPr>
                <w:rFonts w:ascii="Arial" w:cs="Arial" w:eastAsia="Arial" w:hAnsi="Arial"/>
                <w:sz w:val="18"/>
                <w:szCs w:val="18"/>
                <w:color w:val="auto"/>
              </w:rPr>
              <w:t>Comparable Property POI</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140,097</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135,396</w:t>
            </w:r>
          </w:p>
        </w:tc>
        <w:tc>
          <w:tcPr>
            <w:tcW w:w="1100" w:type="dxa"/>
            <w:vAlign w:val="bottom"/>
          </w:tcPr>
          <w:p>
            <w:pPr>
              <w:spacing w:after="0"/>
              <w:rPr>
                <w:sz w:val="20"/>
                <w:szCs w:val="20"/>
                <w:color w:val="auto"/>
              </w:rPr>
            </w:pPr>
          </w:p>
        </w:tc>
      </w:tr>
      <w:tr>
        <w:trPr>
          <w:trHeight w:val="459"/>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Additional information regarding the components of Comparable Property POI</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7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6"/>
        </w:trPr>
        <w:tc>
          <w:tcPr>
            <w:tcW w:w="7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89"/>
              </w:rPr>
              <w:t>2017</w:t>
            </w: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7"/>
              </w:rPr>
              <w:t>% Change</w:t>
            </w:r>
          </w:p>
        </w:tc>
      </w:tr>
      <w:tr>
        <w:trPr>
          <w:trHeight w:val="264"/>
        </w:trPr>
        <w:tc>
          <w:tcPr>
            <w:tcW w:w="7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8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193,481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190,759</w:t>
            </w: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80" w:type="dxa"/>
            <w:vAlign w:val="bottom"/>
          </w:tcPr>
          <w:p>
            <w:pPr>
              <w:spacing w:after="0"/>
              <w:rPr>
                <w:sz w:val="21"/>
                <w:szCs w:val="21"/>
                <w:color w:val="auto"/>
              </w:rPr>
            </w:pP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2,963</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197,986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193,722</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Rental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(33,030)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(33,550)</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Arial" w:cs="Arial" w:eastAsia="Arial" w:hAnsi="Arial"/>
                <w:sz w:val="18"/>
                <w:szCs w:val="18"/>
                <w:color w:val="auto"/>
              </w:rPr>
              <w:t>Real estate taxes</w:t>
            </w:r>
          </w:p>
        </w:tc>
        <w:tc>
          <w:tcPr>
            <w:tcW w:w="38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(24,859)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(24,776)</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(57,889)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(58,326)</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16"/>
        </w:trPr>
        <w:tc>
          <w:tcPr>
            <w:tcW w:w="7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140,097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135,396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Comparable Property POI as a percentage of total POI</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432"/>
        </w:trPr>
        <w:tc>
          <w:tcPr>
            <w:tcW w:w="7140" w:type="dxa"/>
            <w:vAlign w:val="bottom"/>
          </w:tcPr>
          <w:p>
            <w:pPr>
              <w:ind w:left="40"/>
              <w:spacing w:after="0"/>
              <w:rPr>
                <w:sz w:val="20"/>
                <w:szCs w:val="20"/>
                <w:color w:val="auto"/>
              </w:rPr>
            </w:pPr>
            <w:r>
              <w:rPr>
                <w:rFonts w:ascii="Arial" w:cs="Arial" w:eastAsia="Arial" w:hAnsi="Arial"/>
                <w:sz w:val="18"/>
                <w:szCs w:val="18"/>
                <w:i w:val="1"/>
                <w:iCs w:val="1"/>
                <w:color w:val="auto"/>
              </w:rPr>
              <w:t>Comparable Property - Occupancy Statistics (1)</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99" w:lineRule="exact"/>
        <w:rPr>
          <w:sz w:val="20"/>
          <w:szCs w:val="20"/>
          <w:color w:val="auto"/>
        </w:rPr>
      </w:pPr>
    </w:p>
    <w:p>
      <w:pPr>
        <w:sectPr>
          <w:pgSz w:w="11900" w:h="16838" w:orient="portrait"/>
          <w:cols w:equalWidth="0" w:num="1">
            <w:col w:w="11420"/>
          </w:cols>
          <w:pgMar w:left="240" w:top="742" w:right="239" w:bottom="0" w:gutter="0" w:footer="0" w:header="0"/>
        </w:sectPr>
      </w:pPr>
    </w:p>
    <w:p>
      <w:pPr>
        <w:spacing w:after="0" w:line="200" w:lineRule="exact"/>
        <w:rPr>
          <w:sz w:val="20"/>
          <w:szCs w:val="20"/>
          <w:color w:val="auto"/>
        </w:rPr>
      </w:pPr>
    </w:p>
    <w:p>
      <w:pPr>
        <w:spacing w:after="0" w:line="3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GLA - comparable retail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Leased % - comparable retail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shd w:val="clear" w:color="auto" w:fill="CCEEFF"/>
        </w:rPr>
        <w:t>Occupancy % - comparable retail properties</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Comparable Property - Summary of Capital Expenditures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0" w:right="1960"/>
        <w:spacing w:after="0" w:line="340" w:lineRule="auto"/>
        <w:rPr>
          <w:sz w:val="20"/>
          <w:szCs w:val="20"/>
          <w:color w:val="auto"/>
        </w:rPr>
      </w:pPr>
      <w:r>
        <w:rPr>
          <w:rFonts w:ascii="Arial" w:cs="Arial" w:eastAsia="Arial" w:hAnsi="Arial"/>
          <w:sz w:val="18"/>
          <w:szCs w:val="18"/>
          <w:color w:val="auto"/>
          <w:shd w:val="clear" w:color="auto" w:fill="CCEEFF"/>
        </w:rPr>
        <w:t xml:space="preserve">Redevelopment and tenant improvements and incentives </w:t>
      </w:r>
      <w:r>
        <w:rPr>
          <w:rFonts w:ascii="Arial" w:cs="Arial" w:eastAsia="Arial" w:hAnsi="Arial"/>
          <w:sz w:val="18"/>
          <w:szCs w:val="18"/>
          <w:color w:val="auto"/>
        </w:rPr>
        <w:t>Maintenance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685"/>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page 25 for entire portfolio occupancy statistics.</w:t>
      </w:r>
    </w:p>
    <w:p>
      <w:pPr>
        <w:spacing w:after="0" w:line="72" w:lineRule="exact"/>
        <w:rPr>
          <w:rFonts w:ascii="Arial" w:cs="Arial" w:eastAsia="Arial" w:hAnsi="Arial"/>
          <w:sz w:val="16"/>
          <w:szCs w:val="16"/>
          <w:color w:val="auto"/>
        </w:rPr>
      </w:pPr>
    </w:p>
    <w:p>
      <w:pPr>
        <w:ind w:left="720" w:hanging="685"/>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page 9 for "Summary of Capital Expenditures" for our entire portfolio.</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Arial" w:cs="Arial" w:eastAsia="Arial" w:hAnsi="Arial"/>
          <w:sz w:val="14"/>
          <w:szCs w:val="14"/>
          <w:b w:val="1"/>
          <w:bCs w:val="1"/>
          <w:color w:val="auto"/>
        </w:rPr>
        <w:t>At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2017</w:t>
            </w:r>
          </w:p>
        </w:tc>
      </w:tr>
      <w:tr>
        <w:trPr>
          <w:trHeight w:val="243"/>
        </w:trPr>
        <w:tc>
          <w:tcPr>
            <w:tcW w:w="320" w:type="dxa"/>
            <w:vAlign w:val="bottom"/>
          </w:tcPr>
          <w:p>
            <w:pPr>
              <w:spacing w:after="0"/>
              <w:rPr>
                <w:sz w:val="21"/>
                <w:szCs w:val="21"/>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21,847,000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21,866,000</w:t>
            </w:r>
          </w:p>
        </w:tc>
      </w:tr>
      <w:tr>
        <w:trPr>
          <w:trHeight w:val="270"/>
        </w:trPr>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70"/>
        </w:trPr>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785"/>
        </w:trPr>
        <w:tc>
          <w:tcPr>
            <w:tcW w:w="320" w:type="dxa"/>
            <w:vAlign w:val="bottom"/>
          </w:tcPr>
          <w:p>
            <w:pPr>
              <w:spacing w:after="0"/>
              <w:rPr>
                <w:sz w:val="24"/>
                <w:szCs w:val="24"/>
                <w:color w:val="auto"/>
              </w:rPr>
            </w:pPr>
          </w:p>
        </w:tc>
        <w:tc>
          <w:tcPr>
            <w:tcW w:w="1940" w:type="dxa"/>
            <w:vAlign w:val="bottom"/>
            <w:gridSpan w:val="3"/>
          </w:tcPr>
          <w:p>
            <w:pPr>
              <w:jc w:val="center"/>
              <w:ind w:left="558"/>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24"/>
                <w:szCs w:val="24"/>
                <w:color w:val="auto"/>
              </w:rPr>
            </w:pPr>
          </w:p>
        </w:tc>
      </w:tr>
      <w:tr>
        <w:trPr>
          <w:trHeight w:val="276"/>
        </w:trPr>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9"/>
              </w:rPr>
              <w:t>2017</w:t>
            </w:r>
          </w:p>
        </w:tc>
      </w:tr>
      <w:tr>
        <w:trPr>
          <w:trHeight w:val="244"/>
        </w:trPr>
        <w:tc>
          <w:tcPr>
            <w:tcW w:w="320" w:type="dxa"/>
            <w:vAlign w:val="bottom"/>
          </w:tcPr>
          <w:p>
            <w:pPr>
              <w:spacing w:after="0"/>
              <w:rPr>
                <w:sz w:val="21"/>
                <w:szCs w:val="21"/>
                <w:color w:val="auto"/>
              </w:rPr>
            </w:pPr>
          </w:p>
        </w:tc>
        <w:tc>
          <w:tcPr>
            <w:tcW w:w="194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r>
      <w:tr>
        <w:trPr>
          <w:trHeight w:val="255"/>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26,086</w:t>
            </w:r>
          </w:p>
        </w:tc>
        <w:tc>
          <w:tcPr>
            <w:tcW w:w="100" w:type="dxa"/>
            <w:vAlign w:val="bottom"/>
          </w:tcPr>
          <w:p>
            <w:pPr>
              <w:spacing w:after="0"/>
              <w:rPr>
                <w:sz w:val="22"/>
                <w:szCs w:val="22"/>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23,155</w:t>
            </w:r>
          </w:p>
        </w:tc>
      </w:tr>
      <w:tr>
        <w:trPr>
          <w:trHeight w:val="270"/>
        </w:trPr>
        <w:tc>
          <w:tcPr>
            <w:tcW w:w="320" w:type="dxa"/>
            <w:vAlign w:val="bottom"/>
          </w:tcPr>
          <w:p>
            <w:pPr>
              <w:spacing w:after="0"/>
              <w:rPr>
                <w:sz w:val="23"/>
                <w:szCs w:val="23"/>
                <w:color w:val="auto"/>
              </w:rPr>
            </w:pP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7,794</w:t>
            </w:r>
          </w:p>
        </w:tc>
      </w:tr>
      <w:tr>
        <w:trPr>
          <w:trHeight w:val="27"/>
        </w:trPr>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8"/>
              <w:spacing w:after="0"/>
              <w:rPr>
                <w:sz w:val="20"/>
                <w:szCs w:val="20"/>
                <w:color w:val="auto"/>
              </w:rPr>
            </w:pPr>
            <w:r>
              <w:rPr>
                <w:rFonts w:ascii="Arial" w:cs="Arial" w:eastAsia="Arial" w:hAnsi="Arial"/>
                <w:sz w:val="18"/>
                <w:szCs w:val="18"/>
                <w:color w:val="auto"/>
              </w:rPr>
              <w:t>30,200</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30,949</w:t>
            </w:r>
          </w:p>
        </w:tc>
      </w:tr>
    </w:tbl>
    <w:p>
      <w:pPr>
        <w:sectPr>
          <w:pgSz w:w="11900" w:h="16838" w:orient="portrait"/>
          <w:cols w:equalWidth="0" w:num="2">
            <w:col w:w="6420" w:space="720"/>
            <w:col w:w="4280"/>
          </w:cols>
          <w:pgMar w:left="240" w:top="742" w:right="239" w:bottom="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25" w:right="1440" w:bottom="1440" w:gutter="0" w:footer="0" w:header="0"/>
        </w:sectPr>
      </w:pPr>
    </w:p>
    <w:bookmarkStart w:id="16" w:name="page17"/>
    <w:bookmarkEnd w:id="16"/>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2018</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As of September 30, 2018</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760" w:type="dxa"/>
            <w:vAlign w:val="bottom"/>
            <w:tcBorders>
              <w:bottom w:val="single" w:sz="8" w:color="CCEEFF"/>
            </w:tcBorders>
            <w:gridSpan w:val="4"/>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5/1/2019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20,457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Shops at Sunset Place</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9/1/2020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65,004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29th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1/31/2021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Sylmar Towne Center</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6/6/2021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17,097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Plaza Del Sol</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8,453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The AVENUE at White Marsh</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1/1/2022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1/10/2022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69,753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Azalea</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11/1/2025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Bell Gardens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12,999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Plaza El Segundo</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6/5/2027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9/1/2027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Brook 35</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7/1/2029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1/15/2031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476,766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w w:val="91"/>
              </w:rPr>
              <w:t>Net unamortized premium and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mortgages payable,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476,057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Notes payable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Term loan (2)</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11/21/2019</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LIBOR + 0.90%</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Revolving credit facility (3)</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4/20/2020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+ 0.825%</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305,933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Arial" w:cs="Arial" w:eastAsia="Arial" w:hAnsi="Arial"/>
                <w:sz w:val="16"/>
                <w:szCs w:val="16"/>
                <w:color w:val="auto"/>
              </w:rPr>
              <w:t>Total notes payable,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305,483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2.90%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Senior notes and debentures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2.55%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1/15/2021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2.75%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7.48% debentures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7/15/2027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6.82% medium term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92"/>
              </w:rPr>
              <w:t>12/1/2044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3.625% notes</w:t>
            </w:r>
          </w:p>
        </w:tc>
        <w:tc>
          <w:tcPr>
            <w:tcW w:w="1700" w:type="dxa"/>
            <w:vAlign w:val="bottom"/>
          </w:tcPr>
          <w:p>
            <w:pPr>
              <w:jc w:val="center"/>
              <w:ind w:right="79"/>
              <w:spacing w:after="0"/>
              <w:rPr>
                <w:sz w:val="20"/>
                <w:szCs w:val="20"/>
                <w:color w:val="auto"/>
              </w:rPr>
            </w:pPr>
            <w:r>
              <w:rPr>
                <w:rFonts w:ascii="Arial" w:cs="Arial" w:eastAsia="Arial" w:hAnsi="Arial"/>
                <w:sz w:val="16"/>
                <w:szCs w:val="16"/>
                <w:color w:val="auto"/>
                <w:w w:val="93"/>
              </w:rPr>
              <w:t>8/1/2046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2,419,200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Arial" w:cs="Arial" w:eastAsia="Arial" w:hAnsi="Arial"/>
                <w:sz w:val="16"/>
                <w:szCs w:val="16"/>
                <w:color w:val="auto"/>
                <w:w w:val="92"/>
              </w:rPr>
              <w:t>Net unamortized discount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(15,635)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2,403,565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3.76%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7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6"/>
                <w:szCs w:val="16"/>
                <w:color w:val="auto"/>
              </w:rPr>
              <w:t>Total mortgages payable, notes payable, and senior notes and debentures, net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3,185,105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1"/>
              </w:rPr>
              <w:t>Capital lease obligations</w:t>
            </w:r>
          </w:p>
        </w:tc>
        <w:tc>
          <w:tcPr>
            <w:tcW w:w="2640" w:type="dxa"/>
            <w:vAlign w:val="bottom"/>
            <w:tcBorders>
              <w:bottom w:val="single" w:sz="8" w:color="CCEEFF"/>
            </w:tcBorders>
            <w:gridSpan w:val="3"/>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Arial" w:cs="Arial" w:eastAsia="Arial" w:hAnsi="Arial"/>
                <w:sz w:val="16"/>
                <w:szCs w:val="16"/>
                <w:color w:val="auto"/>
              </w:rPr>
              <w:t>Various</w:t>
            </w: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Various through 2106</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71,529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3,256,634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6"/>
                <w:szCs w:val="16"/>
                <w:color w:val="auto"/>
              </w:rPr>
              <w:t>Total fixed rate debt and capital lease obligations,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3,230,134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3.83%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Arial" w:cs="Arial" w:eastAsia="Arial" w:hAnsi="Arial"/>
                <w:sz w:val="16"/>
                <w:szCs w:val="16"/>
                <w:color w:val="auto"/>
              </w:rPr>
              <w:t>Total variable rate debt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26,500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3.07%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260" w:type="dxa"/>
            <w:vAlign w:val="bottom"/>
            <w:gridSpan w:val="7"/>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 net</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3,256,634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3.82%</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bl>
    <w:p>
      <w:pPr>
        <w:sectPr>
          <w:pgSz w:w="11900" w:h="16900" w:orient="portrait"/>
          <w:cols w:equalWidth="0" w:num="1">
            <w:col w:w="11400"/>
          </w:cols>
          <w:pgMar w:left="260" w:top="747"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166370</wp:posOffset>
            </wp:positionH>
            <wp:positionV relativeFrom="page">
              <wp:posOffset>88900</wp:posOffset>
            </wp:positionV>
            <wp:extent cx="723773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34290"/>
                    </a:xfrm>
                    <a:prstGeom prst="rect">
                      <a:avLst/>
                    </a:prstGeom>
                    <a:noFill/>
                  </pic:spPr>
                </pic:pic>
              </a:graphicData>
            </a:graphic>
          </wp:anchor>
        </w:drawing>
        <w:t>13</w:t>
      </w:r>
    </w:p>
    <w:p>
      <w:pPr>
        <w:sectPr>
          <w:pgSz w:w="11900" w:h="16838" w:orient="portrait"/>
          <w:cols w:equalWidth="0" w:num="1">
            <w:col w:w="9019"/>
          </w:cols>
          <w:pgMar w:left="1440" w:top="422" w:right="1440" w:bottom="1440" w:gutter="0" w:footer="0" w:header="0"/>
        </w:sectPr>
      </w:pPr>
    </w:p>
    <w:bookmarkStart w:id="18" w:name="page19"/>
    <w:bookmarkEnd w:id="18"/>
    <w:p>
      <w:pPr>
        <w:jc w:val="center"/>
        <w:ind w:left="774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23495</wp:posOffset>
            </wp:positionV>
            <wp:extent cx="1243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03" w:lineRule="exact"/>
        <w:rPr>
          <w:sz w:val="20"/>
          <w:szCs w:val="20"/>
          <w:color w:val="auto"/>
        </w:rPr>
      </w:pPr>
    </w:p>
    <w:p>
      <w:pPr>
        <w:ind w:left="7760"/>
        <w:spacing w:after="0"/>
        <w:tabs>
          <w:tab w:leader="none" w:pos="878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38100</wp:posOffset>
            </wp:positionV>
            <wp:extent cx="1243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Arial" w:cs="Arial" w:eastAsia="Arial" w:hAnsi="Arial"/>
          <w:sz w:val="13"/>
          <w:szCs w:val="13"/>
          <w:b w:val="1"/>
          <w:bCs w:val="1"/>
          <w:color w:val="auto"/>
        </w:rPr>
        <w:t>Nine Months Ended</w:t>
      </w:r>
    </w:p>
    <w:p>
      <w:pPr>
        <w:spacing w:after="0" w:line="121"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23495</wp:posOffset>
            </wp:positionV>
            <wp:extent cx="12179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103" w:lineRule="exact"/>
        <w:rPr>
          <w:sz w:val="20"/>
          <w:szCs w:val="20"/>
          <w:color w:val="auto"/>
        </w:rPr>
      </w:pPr>
    </w:p>
    <w:p>
      <w:pPr>
        <w:spacing w:after="0"/>
        <w:tabs>
          <w:tab w:leader="none" w:pos="98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31115</wp:posOffset>
            </wp:positionV>
            <wp:extent cx="1217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9100" w:space="720"/>
            <w:col w:w="1600"/>
          </w:cols>
          <w:pgMar w:left="240" w:top="806" w:right="2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Operational Statistics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Ratio of EBITDAre to combined fixed charges and preferred share dividends (7)</w:t>
            </w:r>
          </w:p>
        </w:tc>
        <w:tc>
          <w:tcPr>
            <w:tcW w:w="188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4.28x</w:t>
            </w:r>
          </w:p>
        </w:tc>
        <w:tc>
          <w:tcPr>
            <w:tcW w:w="1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4.14x</w:t>
            </w:r>
          </w:p>
        </w:tc>
        <w:tc>
          <w:tcPr>
            <w:tcW w:w="10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4.20x</w:t>
            </w:r>
          </w:p>
        </w:tc>
        <w:tc>
          <w:tcPr>
            <w:tcW w:w="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4.34x</w:t>
            </w:r>
          </w:p>
        </w:tc>
      </w:tr>
      <w:tr>
        <w:trPr>
          <w:trHeight w:val="33"/>
        </w:trPr>
        <w:tc>
          <w:tcPr>
            <w:tcW w:w="67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64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Mortgages payable does not include our share of the debt on our unconsolidated real estate partnerships. At September 30, 2018, our share was approximately $54.2 million. At September 30, 2018, our noncontrolling interests share of mortgages payable was $59.7 million.</w:t>
      </w:r>
    </w:p>
    <w:p>
      <w:pPr>
        <w:spacing w:after="0" w:line="25" w:lineRule="exact"/>
        <w:rPr>
          <w:rFonts w:ascii="Arial" w:cs="Arial" w:eastAsia="Arial" w:hAnsi="Arial"/>
          <w:sz w:val="14"/>
          <w:szCs w:val="14"/>
          <w:color w:val="auto"/>
        </w:rPr>
      </w:pPr>
    </w:p>
    <w:p>
      <w:pPr>
        <w:ind w:left="660" w:right="120" w:hanging="652"/>
        <w:spacing w:after="0" w:line="31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two interest rate swap agreements fix the variable rate portion of our $275.0 million term loan at 1.72% through November 1, 2018. The swap agreements effectively fix the rate on the term loan at 2.62% and thus, the loan is included in fixed rate debt. On August 10, 2018, we exercised our option to extend our $275.0 million term loan to November 21, 2019.</w:t>
      </w:r>
    </w:p>
    <w:p>
      <w:pPr>
        <w:ind w:left="660" w:right="80" w:hanging="652"/>
        <w:spacing w:after="0" w:line="28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The maximum amount drawn under our revolving credit facility during the </w:t>
      </w:r>
      <w:r>
        <w:rPr>
          <w:rFonts w:ascii="Arial" w:cs="Arial" w:eastAsia="Arial" w:hAnsi="Arial"/>
          <w:sz w:val="16"/>
          <w:szCs w:val="16"/>
          <w:color w:val="auto"/>
        </w:rPr>
        <w:t>three</w:t>
      </w:r>
      <w:r>
        <w:rPr>
          <w:rFonts w:ascii="Arial" w:cs="Arial" w:eastAsia="Arial" w:hAnsi="Arial"/>
          <w:sz w:val="14"/>
          <w:szCs w:val="14"/>
          <w:color w:val="auto"/>
        </w:rPr>
        <w:t xml:space="preserve"> and nine months ended September 30, 2018 was $161.0 million and $177.0 million, respectively. The weighted average interest rate on borrowings under our revolving credit facility, before amortization of debt fees, for the </w:t>
      </w:r>
      <w:r>
        <w:rPr>
          <w:rFonts w:ascii="Arial" w:cs="Arial" w:eastAsia="Arial" w:hAnsi="Arial"/>
          <w:sz w:val="16"/>
          <w:szCs w:val="16"/>
          <w:color w:val="auto"/>
        </w:rPr>
        <w:t>three</w:t>
      </w:r>
      <w:r>
        <w:rPr>
          <w:rFonts w:ascii="Arial" w:cs="Arial" w:eastAsia="Arial" w:hAnsi="Arial"/>
          <w:sz w:val="14"/>
          <w:szCs w:val="14"/>
          <w:color w:val="auto"/>
        </w:rPr>
        <w:t xml:space="preserve"> and nine months ended September 30, 2018 was 2.8% and 2.6%, respectively.</w:t>
      </w:r>
    </w:p>
    <w:p>
      <w:pPr>
        <w:spacing w:after="0" w:line="15"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remaining term on our mortgages payable, notes payable, and senior notes and debentures, is 10 years.</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debt issuance costs and discounts and premiums, if applicable, except as described in Note 6.</w:t>
      </w:r>
    </w:p>
    <w:p>
      <w:pPr>
        <w:spacing w:after="0" w:line="55" w:lineRule="exact"/>
        <w:rPr>
          <w:rFonts w:ascii="Arial" w:cs="Arial" w:eastAsia="Arial" w:hAnsi="Arial"/>
          <w:sz w:val="14"/>
          <w:szCs w:val="14"/>
          <w:color w:val="auto"/>
        </w:rPr>
      </w:pPr>
    </w:p>
    <w:p>
      <w:pPr>
        <w:ind w:left="660" w:right="12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$26.5 million outstanding on September 30, 2018. In addition, the weighted average effective interest rate is calculated using the fixed rate on our term loan of 2.62% as the result of the interest rate swap agreements discussed in Note 2. The term loan is included in fixed rate debt.</w:t>
      </w:r>
    </w:p>
    <w:p>
      <w:pPr>
        <w:spacing w:after="0" w:line="23" w:lineRule="exact"/>
        <w:rPr>
          <w:rFonts w:ascii="Arial" w:cs="Arial" w:eastAsia="Arial" w:hAnsi="Arial"/>
          <w:sz w:val="14"/>
          <w:szCs w:val="14"/>
          <w:color w:val="auto"/>
        </w:rPr>
      </w:pPr>
    </w:p>
    <w:p>
      <w:pPr>
        <w:ind w:left="660" w:right="4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EBITDAre is reconciled to net income in the Glossary of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88"/>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Arial" w:cs="Arial" w:eastAsia="Arial" w:hAnsi="Arial"/>
                <w:sz w:val="16"/>
                <w:szCs w:val="16"/>
                <w:b w:val="1"/>
                <w:bCs w:val="1"/>
                <w:color w:val="auto"/>
              </w:rPr>
              <w:t>Maturities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1,576</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6,265</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295,160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301,425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9.3%</w:t>
            </w: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5,616</w:t>
            </w: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87,093</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92,709</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3,740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277,546</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281,286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20.7%</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366,323</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367,845</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330,010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331,560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42.0%</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301,333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2025</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904</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40,000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40,904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52.5%</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2026</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39,886</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2027</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683,600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684,173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74.6%</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18,552</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811,500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830,052</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42,319</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3,231,118</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40"/>
              <w:spacing w:after="0" w:line="263" w:lineRule="exact"/>
              <w:rPr>
                <w:sz w:val="20"/>
                <w:szCs w:val="20"/>
                <w:color w:val="auto"/>
              </w:rPr>
            </w:pPr>
            <w:r>
              <w:rPr>
                <w:rFonts w:ascii="Arial" w:cs="Arial" w:eastAsia="Arial" w:hAnsi="Arial"/>
                <w:sz w:val="18"/>
                <w:szCs w:val="18"/>
                <w:color w:val="auto"/>
              </w:rPr>
              <w:t xml:space="preserve">3,273,437  </w:t>
            </w:r>
            <w:r>
              <w:rPr>
                <w:rFonts w:ascii="Arial" w:cs="Arial" w:eastAsia="Arial" w:hAnsi="Arial"/>
                <w:sz w:val="28"/>
                <w:szCs w:val="28"/>
                <w:color w:val="auto"/>
                <w:vertAlign w:val="subscript"/>
              </w:rPr>
              <w:t>(2)</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4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$800.0 million revolving credit facility matures on April 20, 2020, subject to two six-month extensions at our option. As of September 30, 2018, there was $26.5 million outstanding under this credit facility.</w:t>
      </w:r>
    </w:p>
    <w:p>
      <w:pPr>
        <w:spacing w:after="0" w:line="10" w:lineRule="exact"/>
        <w:rPr>
          <w:rFonts w:ascii="Arial" w:cs="Arial" w:eastAsia="Arial" w:hAnsi="Arial"/>
          <w:sz w:val="16"/>
          <w:szCs w:val="16"/>
          <w:color w:val="auto"/>
        </w:rPr>
      </w:pPr>
    </w:p>
    <w:p>
      <w:pPr>
        <w:ind w:left="660" w:right="32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unamortized net premium/discount and debt issuance costs on certain mortgage loans, notes payable, and senior notes as of September 30, 2018.</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2018</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Projected</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Property</w:t>
            </w:r>
          </w:p>
        </w:tc>
        <w:tc>
          <w:tcPr>
            <w:tcW w:w="14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492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Opportunity</w:t>
            </w: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Cocowalk</w:t>
            </w:r>
          </w:p>
        </w:tc>
        <w:tc>
          <w:tcPr>
            <w:tcW w:w="14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Coconut Grove, FL</w:t>
            </w:r>
          </w:p>
        </w:tc>
        <w:tc>
          <w:tcPr>
            <w:tcW w:w="492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5"/>
              </w:rPr>
              <w:t>Shopping center redevelopment to include demolition of three story east wing of</w:t>
            </w:r>
          </w:p>
        </w:tc>
        <w:tc>
          <w:tcPr>
            <w:tcW w:w="86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6%-7%</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$75 - $80</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5"/>
              </w:rPr>
              <w:t>the property and construction of a 84,000 square foot 5-story office building with</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 additional 13,000 square feet of ground floor retail</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w w:val="97"/>
              </w:rPr>
              <w:t>Jordan Downs Plaza (5)</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Los Angeles, CA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$38 - $42</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neighborhood shopping center</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 Plaza</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Brick, NJ</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Redevelopment and repositioning of anchor tenant and small shop spaces to</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transform property into a market dominant center</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Bala Cynwyd</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Bala Cynwyd, PA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8"/>
              </w:rPr>
              <w:t>New 87 unit apartment building to be constructed on underutilized land behind</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6%</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$23</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our existing shopping center</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Towson Residential</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Towson, MD</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New 105 unit 5-story apartment building with above grade parking</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Willow Lawn</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Richmond, VA</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4"/>
              </w:rPr>
              <w:t>Demolition of small shop and mini anchor spaces to construct new 49,000 square</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20" w:type="dxa"/>
            <w:vAlign w:val="bottom"/>
          </w:tcPr>
          <w:p>
            <w:pPr>
              <w:ind w:left="160"/>
              <w:spacing w:after="0" w:line="149" w:lineRule="exact"/>
              <w:rPr>
                <w:sz w:val="20"/>
                <w:szCs w:val="20"/>
                <w:color w:val="auto"/>
              </w:rPr>
            </w:pPr>
            <w:r>
              <w:rPr>
                <w:rFonts w:ascii="Arial" w:cs="Arial" w:eastAsia="Arial" w:hAnsi="Arial"/>
                <w:sz w:val="14"/>
                <w:szCs w:val="14"/>
                <w:color w:val="auto"/>
                <w:w w:val="95"/>
              </w:rPr>
              <w:t>foot anchor space to accommodate new sporting goods retailer and new 17,000</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square foot building for relocation of existing tenant</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 Mar Village</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Boca Raton, FL</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5"/>
              </w:rPr>
              <w:t>Demolition of small shop spaces and relocation of tenants to accommodate new</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37,000 square foot fitness center tenant</w:t>
            </w: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Rockville, MD</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rPr>
              <w:t>Demolition of 10,000 square foot restaurant building to construct an 18,000</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square foot multi-tenant pad building</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Pike 7 Plaza</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Vienna, VA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Addition of 8,300 square foot multi-tenant retail pad building</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57"/>
        </w:trPr>
        <w:tc>
          <w:tcPr>
            <w:tcW w:w="1520" w:type="dxa"/>
            <w:vAlign w:val="bottom"/>
          </w:tcPr>
          <w:p>
            <w:pPr>
              <w:ind w:left="40"/>
              <w:spacing w:after="0" w:line="157" w:lineRule="exact"/>
              <w:rPr>
                <w:sz w:val="20"/>
                <w:szCs w:val="20"/>
                <w:color w:val="auto"/>
              </w:rPr>
            </w:pPr>
            <w:r>
              <w:rPr>
                <w:rFonts w:ascii="Arial" w:cs="Arial" w:eastAsia="Arial" w:hAnsi="Arial"/>
                <w:sz w:val="14"/>
                <w:szCs w:val="14"/>
                <w:color w:val="auto"/>
              </w:rPr>
              <w:t>Mercer Mall</w:t>
            </w:r>
          </w:p>
        </w:tc>
        <w:tc>
          <w:tcPr>
            <w:tcW w:w="1440" w:type="dxa"/>
            <w:vAlign w:val="bottom"/>
          </w:tcPr>
          <w:p>
            <w:pPr>
              <w:ind w:left="120"/>
              <w:spacing w:after="0" w:line="157" w:lineRule="exact"/>
              <w:rPr>
                <w:sz w:val="20"/>
                <w:szCs w:val="20"/>
                <w:color w:val="auto"/>
              </w:rPr>
            </w:pPr>
            <w:r>
              <w:rPr>
                <w:rFonts w:ascii="Arial" w:cs="Arial" w:eastAsia="Arial" w:hAnsi="Arial"/>
                <w:sz w:val="14"/>
                <w:szCs w:val="14"/>
                <w:color w:val="auto"/>
              </w:rPr>
              <w:t>Lawrenceville, NJ</w:t>
            </w:r>
          </w:p>
        </w:tc>
        <w:tc>
          <w:tcPr>
            <w:tcW w:w="4920" w:type="dxa"/>
            <w:vAlign w:val="bottom"/>
          </w:tcPr>
          <w:p>
            <w:pPr>
              <w:ind w:left="160"/>
              <w:spacing w:after="0" w:line="157" w:lineRule="exact"/>
              <w:rPr>
                <w:sz w:val="20"/>
                <w:szCs w:val="20"/>
                <w:color w:val="auto"/>
              </w:rPr>
            </w:pPr>
            <w:r>
              <w:rPr>
                <w:rFonts w:ascii="Arial" w:cs="Arial" w:eastAsia="Arial" w:hAnsi="Arial"/>
                <w:sz w:val="14"/>
                <w:szCs w:val="14"/>
                <w:color w:val="auto"/>
                <w:w w:val="95"/>
              </w:rPr>
              <w:t>Redevelopment of recently acquired office building pre-leased to a single tenant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$9</w:t>
            </w: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Arial" w:cs="Arial" w:eastAsia="Arial" w:hAnsi="Arial"/>
                <w:sz w:val="14"/>
                <w:szCs w:val="14"/>
                <w:color w:val="auto"/>
              </w:rPr>
              <w:t>user</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Wildwood</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Bethesda, MD</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4,900 square foot south end building expansion and site improvements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97"/>
        </w:trPr>
        <w:tc>
          <w:tcPr>
            <w:tcW w:w="1520" w:type="dxa"/>
            <w:vAlign w:val="bottom"/>
          </w:tcPr>
          <w:p>
            <w:pPr>
              <w:ind w:left="40"/>
              <w:spacing w:after="0"/>
              <w:rPr>
                <w:sz w:val="20"/>
                <w:szCs w:val="20"/>
                <w:color w:val="auto"/>
              </w:rPr>
            </w:pPr>
            <w:r>
              <w:rPr>
                <w:rFonts w:ascii="Arial" w:cs="Arial" w:eastAsia="Arial" w:hAnsi="Arial"/>
                <w:sz w:val="14"/>
                <w:szCs w:val="14"/>
                <w:color w:val="auto"/>
              </w:rPr>
              <w:t>Dedham Plaza</w:t>
            </w:r>
          </w:p>
        </w:tc>
        <w:tc>
          <w:tcPr>
            <w:tcW w:w="1440" w:type="dxa"/>
            <w:vAlign w:val="bottom"/>
          </w:tcPr>
          <w:p>
            <w:pPr>
              <w:ind w:left="120"/>
              <w:spacing w:after="0"/>
              <w:rPr>
                <w:sz w:val="20"/>
                <w:szCs w:val="20"/>
                <w:color w:val="auto"/>
              </w:rPr>
            </w:pPr>
            <w:r>
              <w:rPr>
                <w:rFonts w:ascii="Arial" w:cs="Arial" w:eastAsia="Arial" w:hAnsi="Arial"/>
                <w:sz w:val="14"/>
                <w:szCs w:val="14"/>
                <w:color w:val="auto"/>
              </w:rPr>
              <w:t>Dedham, MA</w:t>
            </w:r>
          </w:p>
        </w:tc>
        <w:tc>
          <w:tcPr>
            <w:tcW w:w="4920" w:type="dxa"/>
            <w:vAlign w:val="bottom"/>
          </w:tcPr>
          <w:p>
            <w:pPr>
              <w:ind w:left="160"/>
              <w:spacing w:after="0"/>
              <w:rPr>
                <w:sz w:val="20"/>
                <w:szCs w:val="20"/>
                <w:color w:val="auto"/>
              </w:rPr>
            </w:pPr>
            <w:r>
              <w:rPr>
                <w:rFonts w:ascii="Arial" w:cs="Arial" w:eastAsia="Arial" w:hAnsi="Arial"/>
                <w:sz w:val="14"/>
                <w:szCs w:val="14"/>
                <w:color w:val="auto"/>
              </w:rPr>
              <w:t>New 4,000 square foot pad site for restaurant tenant</w:t>
            </w: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63"/>
        </w:trPr>
        <w:tc>
          <w:tcPr>
            <w:tcW w:w="1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Willow Lawn</w:t>
            </w:r>
          </w:p>
        </w:tc>
        <w:tc>
          <w:tcPr>
            <w:tcW w:w="1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Richmond, VA</w:t>
            </w: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3"/>
              </w:rPr>
              <w:t>Conversion of vacant 5,000 square foot pad building to retail use to accommodate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149"/>
        </w:trPr>
        <w:tc>
          <w:tcPr>
            <w:tcW w:w="15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49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new 3,500 square foot fast casual restaurant tenant. Remainder of pad building to</w:t>
            </w:r>
          </w:p>
        </w:tc>
        <w:tc>
          <w:tcPr>
            <w:tcW w:w="8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be demolished to construct new 2,200 square foot Starbucks pad site</w:t>
            </w:r>
          </w:p>
        </w:tc>
        <w:tc>
          <w:tcPr>
            <w:tcW w:w="8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96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Total Active Redevelopment projects (4)</w:t>
            </w:r>
          </w:p>
        </w:tc>
        <w:tc>
          <w:tcPr>
            <w:tcW w:w="49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80" w:type="dxa"/>
            <w:vAlign w:val="bottom"/>
          </w:tcPr>
          <w:p>
            <w:pPr>
              <w:jc w:val="right"/>
              <w:spacing w:after="0"/>
              <w:rPr>
                <w:sz w:val="20"/>
                <w:szCs w:val="20"/>
                <w:color w:val="auto"/>
              </w:rPr>
            </w:pPr>
            <w:r>
              <w:rPr>
                <w:rFonts w:ascii="Arial" w:cs="Arial" w:eastAsia="Arial" w:hAnsi="Arial"/>
                <w:sz w:val="14"/>
                <w:szCs w:val="14"/>
                <w:color w:val="auto"/>
              </w:rPr>
              <w:t>$247 - $256</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5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92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 is net of the proceeds from our New Market Tax Credit structure. See Note 3 of our September 30, 2018 Form 10-Q for additional information.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2018</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Projected POI Delivered</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(as a % of Total)</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For Year Ended December 31,</w:t>
            </w:r>
          </w:p>
        </w:tc>
        <w:tc>
          <w:tcPr>
            <w:tcW w:w="2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jc w:val="center"/>
              <w:ind w:left="32"/>
              <w:spacing w:after="0"/>
              <w:rPr>
                <w:sz w:val="20"/>
                <w:szCs w:val="20"/>
                <w:color w:val="auto"/>
              </w:rPr>
            </w:pPr>
            <w:r>
              <w:rPr>
                <w:rFonts w:ascii="Arial" w:cs="Arial" w:eastAsia="Arial" w:hAnsi="Arial"/>
                <w:sz w:val="14"/>
                <w:szCs w:val="14"/>
                <w:b w:val="1"/>
                <w:bCs w:val="1"/>
                <w:color w:val="auto"/>
                <w:w w:val="84"/>
              </w:rPr>
              <w:t>Projected</w:t>
            </w:r>
          </w:p>
        </w:tc>
        <w:tc>
          <w:tcPr>
            <w:tcW w:w="3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Costs to</w:t>
            </w: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32"/>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Property (1)</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Opportunity</w:t>
            </w:r>
          </w:p>
        </w:tc>
        <w:tc>
          <w:tcPr>
            <w:tcW w:w="7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ROI (3)</w:t>
            </w: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Cost (4)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3"/>
              </w:rPr>
              <w:t>2018</w:t>
            </w:r>
          </w:p>
        </w:tc>
        <w:tc>
          <w:tcPr>
            <w:tcW w:w="1100" w:type="dxa"/>
            <w:vAlign w:val="bottom"/>
            <w:tcBorders>
              <w:bottom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21"/>
                <w:szCs w:val="21"/>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(in</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(in</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millions)</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millions)</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7"/>
        </w:trPr>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Assembly Row</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Somerville, MA</w:t>
            </w: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- 161,000 SF of retail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88"/>
              </w:rPr>
              <w:t>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$290 - 305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$286</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12"/>
              <w:spacing w:after="0"/>
              <w:rPr>
                <w:sz w:val="20"/>
                <w:szCs w:val="20"/>
                <w:color w:val="auto"/>
              </w:rPr>
            </w:pPr>
            <w:r>
              <w:rPr>
                <w:rFonts w:ascii="Arial" w:cs="Arial" w:eastAsia="Arial" w:hAnsi="Arial"/>
                <w:sz w:val="14"/>
                <w:szCs w:val="14"/>
                <w:color w:val="auto"/>
                <w:w w:val="85"/>
              </w:rPr>
              <w:t>50%</w:t>
            </w:r>
          </w:p>
        </w:tc>
        <w:tc>
          <w:tcPr>
            <w:tcW w:w="11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2"/>
              </w:rPr>
              <w:t>90%</w:t>
            </w: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- 117,000 square feet of retail has opened,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- 447 residential units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remaining</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- 158 boutique hotel rooms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shd w:val="clear" w:color="auto" w:fill="CCEEFF"/>
              </w:rPr>
              <w:t>tenants projected to open through 2019</w:t>
            </w:r>
          </w:p>
        </w:tc>
        <w:tc>
          <w:tcPr>
            <w:tcW w:w="0" w:type="dxa"/>
            <w:vAlign w:val="bottom"/>
          </w:tcPr>
          <w:p>
            <w:pPr>
              <w:spacing w:after="0"/>
              <w:rPr>
                <w:sz w:val="1"/>
                <w:szCs w:val="1"/>
                <w:color w:val="auto"/>
              </w:rPr>
            </w:pPr>
          </w:p>
        </w:tc>
      </w:tr>
      <w:tr>
        <w:trPr>
          <w:trHeight w:val="192"/>
        </w:trPr>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 Residential building opened in September 2017</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with</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deliveries through 3Q 2018</w:t>
            </w:r>
          </w:p>
        </w:tc>
        <w:tc>
          <w:tcPr>
            <w:tcW w:w="0" w:type="dxa"/>
            <w:vAlign w:val="bottom"/>
          </w:tcPr>
          <w:p>
            <w:pPr>
              <w:spacing w:after="0"/>
              <w:rPr>
                <w:sz w:val="1"/>
                <w:szCs w:val="1"/>
                <w:color w:val="auto"/>
              </w:rPr>
            </w:pPr>
          </w:p>
        </w:tc>
      </w:tr>
      <w:tr>
        <w:trPr>
          <w:trHeight w:val="179"/>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- 741,500 SF Partners Healthcare office space</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(built by</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 opened in 2016</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Hotel opened in 3Q18</w:t>
            </w: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- 122 for-sale condominium</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9"/>
              </w:rPr>
              <w:t>—</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$81</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 Closings commenced 1Q 2018</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units</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1"/>
                <w:shd w:val="clear" w:color="auto" w:fill="CCEEFF"/>
              </w:rPr>
              <w:t>Future Phases</w:t>
            </w:r>
          </w:p>
        </w:tc>
        <w:tc>
          <w:tcPr>
            <w:tcW w:w="240" w:type="dxa"/>
            <w:vAlign w:val="bottom"/>
            <w:gridSpan w:val="2"/>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- 2M SF of commercial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2"/>
                <w:shd w:val="clear" w:color="auto" w:fill="CCEEFF"/>
              </w:rPr>
              <w:t>TBD</w:t>
            </w: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- 826 residential units</w:t>
            </w: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Pike &amp; Rose</w:t>
            </w: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w w:val="89"/>
              </w:rPr>
              <w:t>North Bethesda, MD</w:t>
            </w: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04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Phase II</w:t>
            </w:r>
          </w:p>
        </w:tc>
        <w:tc>
          <w:tcPr>
            <w:tcW w:w="1260" w:type="dxa"/>
            <w:vAlign w:val="bottom"/>
            <w:shd w:val="clear" w:color="auto" w:fill="CCEEFF"/>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- 216,000 SF of retail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1"/>
              </w:rPr>
              <w:t>6-7%</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$200 - 207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3"/>
              </w:rPr>
              <w:t>$195</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left="112"/>
              <w:spacing w:after="0"/>
              <w:rPr>
                <w:sz w:val="20"/>
                <w:szCs w:val="20"/>
                <w:color w:val="auto"/>
              </w:rPr>
            </w:pPr>
            <w:r>
              <w:rPr>
                <w:rFonts w:ascii="Arial" w:cs="Arial" w:eastAsia="Arial" w:hAnsi="Arial"/>
                <w:sz w:val="14"/>
                <w:szCs w:val="14"/>
                <w:color w:val="auto"/>
                <w:w w:val="85"/>
              </w:rPr>
              <w:t>60%</w:t>
            </w:r>
          </w:p>
        </w:tc>
        <w:tc>
          <w:tcPr>
            <w:tcW w:w="11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2"/>
              </w:rPr>
              <w:t>85%</w:t>
            </w: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- 182,000 square feet of retail has opened,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- 272 residential units</w:t>
            </w: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remaining</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- 177 boutique hotel rooms</w:t>
            </w: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tenants projected to open through 2019</w:t>
            </w: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 Residential building opened in August 2017 with</w:t>
            </w:r>
          </w:p>
        </w:tc>
        <w:tc>
          <w:tcPr>
            <w:tcW w:w="0" w:type="dxa"/>
            <w:vAlign w:val="bottom"/>
          </w:tcPr>
          <w:p>
            <w:pPr>
              <w:spacing w:after="0"/>
              <w:rPr>
                <w:sz w:val="1"/>
                <w:szCs w:val="1"/>
                <w:color w:val="auto"/>
              </w:rPr>
            </w:pPr>
          </w:p>
        </w:tc>
      </w:tr>
      <w:tr>
        <w:trPr>
          <w:trHeight w:val="172"/>
        </w:trPr>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deliveries through 2Q 2018</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Hotel opened in 1Q18</w:t>
            </w: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w w:val="90"/>
              </w:rPr>
              <w:t>- 99 for-sale condominium units</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9"/>
              </w:rPr>
              <w:t>—</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$62</w:t>
            </w:r>
          </w:p>
        </w:tc>
        <w:tc>
          <w:tcPr>
            <w:tcW w:w="720" w:type="dxa"/>
            <w:vAlign w:val="bottom"/>
          </w:tcPr>
          <w:p>
            <w:pPr>
              <w:jc w:val="center"/>
              <w:spacing w:after="0"/>
              <w:rPr>
                <w:sz w:val="20"/>
                <w:szCs w:val="20"/>
                <w:color w:val="auto"/>
              </w:rPr>
            </w:pPr>
            <w:r>
              <w:rPr>
                <w:rFonts w:ascii="Arial" w:cs="Arial" w:eastAsia="Arial" w:hAnsi="Arial"/>
                <w:sz w:val="14"/>
                <w:szCs w:val="14"/>
                <w:color w:val="auto"/>
                <w:w w:val="85"/>
              </w:rPr>
              <w:t>$62</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 Closings commenced 1Q 2018</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shd w:val="clear" w:color="auto" w:fill="CCEEFF"/>
              </w:rPr>
              <w:t>Phase III</w:t>
            </w:r>
          </w:p>
        </w:tc>
        <w:tc>
          <w:tcPr>
            <w:tcW w:w="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- 212,000 SF of office</w:t>
            </w:r>
          </w:p>
        </w:tc>
        <w:tc>
          <w:tcPr>
            <w:tcW w:w="72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5"/>
                <w:shd w:val="clear" w:color="auto" w:fill="CCEEFF"/>
              </w:rPr>
              <w:t>6-7%</w:t>
            </w: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shd w:val="clear" w:color="auto" w:fill="CCEEFF"/>
              </w:rPr>
              <w:t>$128 - 135</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$19</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Arial" w:cs="Arial" w:eastAsia="Arial" w:hAnsi="Arial"/>
                <w:sz w:val="14"/>
                <w:szCs w:val="14"/>
                <w:color w:val="auto"/>
                <w:w w:val="99"/>
              </w:rPr>
              <w:t>—</w:t>
            </w:r>
          </w:p>
        </w:tc>
        <w:tc>
          <w:tcPr>
            <w:tcW w:w="1220" w:type="dxa"/>
            <w:vAlign w:val="bottom"/>
            <w:gridSpan w:val="2"/>
            <w:shd w:val="clear" w:color="auto" w:fill="CCEEFF"/>
          </w:tcPr>
          <w:p>
            <w:pPr>
              <w:jc w:val="center"/>
              <w:ind w:left="12"/>
              <w:spacing w:after="0"/>
              <w:rPr>
                <w:sz w:val="20"/>
                <w:szCs w:val="20"/>
                <w:color w:val="auto"/>
              </w:rPr>
            </w:pPr>
            <w:r>
              <w:rPr>
                <w:rFonts w:ascii="Arial" w:cs="Arial" w:eastAsia="Arial" w:hAnsi="Arial"/>
                <w:sz w:val="14"/>
                <w:szCs w:val="14"/>
                <w:color w:val="auto"/>
                <w:w w:val="99"/>
              </w:rPr>
              <w:t>—</w:t>
            </w:r>
          </w:p>
        </w:tc>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 Opening projected to begin in 2021</w:t>
            </w: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- 4,000 SF of retail</w:t>
            </w: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40" w:type="dxa"/>
            <w:vAlign w:val="bottom"/>
            <w:gridSpan w:val="5"/>
          </w:tcPr>
          <w:p>
            <w:pPr>
              <w:ind w:left="40"/>
              <w:spacing w:after="0"/>
              <w:rPr>
                <w:sz w:val="20"/>
                <w:szCs w:val="20"/>
                <w:color w:val="auto"/>
              </w:rPr>
            </w:pPr>
            <w:r>
              <w:rPr>
                <w:rFonts w:ascii="Arial" w:cs="Arial" w:eastAsia="Arial" w:hAnsi="Arial"/>
                <w:sz w:val="14"/>
                <w:szCs w:val="14"/>
                <w:color w:val="auto"/>
              </w:rPr>
              <w:t>Future Phases</w:t>
            </w:r>
          </w:p>
        </w:tc>
        <w:tc>
          <w:tcPr>
            <w:tcW w:w="1260" w:type="dxa"/>
            <w:vAlign w:val="bottom"/>
          </w:tcPr>
          <w:p>
            <w:pPr>
              <w:spacing w:after="0"/>
              <w:rPr>
                <w:sz w:val="16"/>
                <w:szCs w:val="16"/>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- 740,000 SF of commercial</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92"/>
              </w:rPr>
              <w:t>TBD</w:t>
            </w:r>
          </w:p>
        </w:tc>
        <w:tc>
          <w:tcPr>
            <w:tcW w:w="3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2"/>
              </w:rPr>
              <w:t>TBD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- 741 residential units</w:t>
            </w: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84"/>
                <w:shd w:val="clear" w:color="auto" w:fill="CCEEFF"/>
              </w:rPr>
              <w:t>Santana Row</w:t>
            </w:r>
          </w:p>
        </w:tc>
        <w:tc>
          <w:tcPr>
            <w:tcW w:w="240" w:type="dxa"/>
            <w:vAlign w:val="bottom"/>
            <w:tcBorders>
              <w:bottom w:val="single" w:sz="8" w:color="CCEEFF"/>
            </w:tcBorders>
            <w:gridSpan w:val="2"/>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San Jose, CA</w:t>
            </w:r>
          </w:p>
        </w:tc>
        <w:tc>
          <w:tcPr>
            <w:tcW w:w="18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40" w:type="dxa"/>
            <w:vAlign w:val="bottom"/>
            <w:gridSpan w:val="5"/>
          </w:tcPr>
          <w:p>
            <w:pPr>
              <w:ind w:left="40"/>
              <w:spacing w:after="0"/>
              <w:rPr>
                <w:sz w:val="20"/>
                <w:szCs w:val="20"/>
                <w:color w:val="auto"/>
              </w:rPr>
            </w:pPr>
            <w:r>
              <w:rPr>
                <w:rFonts w:ascii="Arial" w:cs="Arial" w:eastAsia="Arial" w:hAnsi="Arial"/>
                <w:sz w:val="14"/>
                <w:szCs w:val="14"/>
                <w:color w:val="auto"/>
                <w:w w:val="88"/>
              </w:rPr>
              <w:t>700 Santana Row</w:t>
            </w:r>
          </w:p>
        </w:tc>
        <w:tc>
          <w:tcPr>
            <w:tcW w:w="1260" w:type="dxa"/>
            <w:vAlign w:val="bottom"/>
          </w:tcPr>
          <w:p>
            <w:pPr>
              <w:spacing w:after="0"/>
              <w:rPr>
                <w:sz w:val="16"/>
                <w:szCs w:val="16"/>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- 301,000 SF of office</w:t>
            </w:r>
          </w:p>
        </w:tc>
        <w:tc>
          <w:tcPr>
            <w:tcW w:w="720" w:type="dxa"/>
            <w:vAlign w:val="bottom"/>
          </w:tcPr>
          <w:p>
            <w:pPr>
              <w:jc w:val="center"/>
              <w:ind w:left="32"/>
              <w:spacing w:after="0"/>
              <w:rPr>
                <w:sz w:val="20"/>
                <w:szCs w:val="20"/>
                <w:color w:val="auto"/>
              </w:rPr>
            </w:pPr>
            <w:r>
              <w:rPr>
                <w:rFonts w:ascii="Arial" w:cs="Arial" w:eastAsia="Arial" w:hAnsi="Arial"/>
                <w:sz w:val="14"/>
                <w:szCs w:val="14"/>
                <w:color w:val="auto"/>
                <w:w w:val="88"/>
              </w:rPr>
              <w:t>7%</w:t>
            </w:r>
          </w:p>
        </w:tc>
        <w:tc>
          <w:tcPr>
            <w:tcW w:w="3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6"/>
              </w:rPr>
              <w:t>$205 - 215</w:t>
            </w:r>
          </w:p>
        </w:tc>
        <w:tc>
          <w:tcPr>
            <w:tcW w:w="720" w:type="dxa"/>
            <w:vAlign w:val="bottom"/>
          </w:tcPr>
          <w:p>
            <w:pPr>
              <w:jc w:val="center"/>
              <w:spacing w:after="0"/>
              <w:rPr>
                <w:sz w:val="20"/>
                <w:szCs w:val="20"/>
                <w:color w:val="auto"/>
              </w:rPr>
            </w:pPr>
            <w:r>
              <w:rPr>
                <w:rFonts w:ascii="Arial" w:cs="Arial" w:eastAsia="Arial" w:hAnsi="Arial"/>
                <w:sz w:val="14"/>
                <w:szCs w:val="14"/>
                <w:color w:val="auto"/>
                <w:w w:val="83"/>
              </w:rPr>
              <w:t>$125</w:t>
            </w:r>
          </w:p>
        </w:tc>
        <w:tc>
          <w:tcPr>
            <w:tcW w:w="120" w:type="dxa"/>
            <w:vAlign w:val="bottom"/>
          </w:tcPr>
          <w:p>
            <w:pPr>
              <w:spacing w:after="0"/>
              <w:rPr>
                <w:sz w:val="16"/>
                <w:szCs w:val="16"/>
                <w:color w:val="auto"/>
              </w:rPr>
            </w:pPr>
          </w:p>
        </w:tc>
        <w:tc>
          <w:tcPr>
            <w:tcW w:w="700" w:type="dxa"/>
            <w:vAlign w:val="bottom"/>
          </w:tcPr>
          <w:p>
            <w:pPr>
              <w:jc w:val="center"/>
              <w:ind w:left="132"/>
              <w:spacing w:after="0"/>
              <w:rPr>
                <w:sz w:val="20"/>
                <w:szCs w:val="20"/>
                <w:color w:val="auto"/>
              </w:rPr>
            </w:pPr>
            <w:r>
              <w:rPr>
                <w:rFonts w:ascii="Arial" w:cs="Arial" w:eastAsia="Arial" w:hAnsi="Arial"/>
                <w:sz w:val="14"/>
                <w:szCs w:val="14"/>
                <w:color w:val="auto"/>
                <w:w w:val="99"/>
              </w:rPr>
              <w:t>—</w:t>
            </w:r>
          </w:p>
        </w:tc>
        <w:tc>
          <w:tcPr>
            <w:tcW w:w="1220" w:type="dxa"/>
            <w:vAlign w:val="bottom"/>
            <w:gridSpan w:val="2"/>
          </w:tcPr>
          <w:p>
            <w:pPr>
              <w:ind w:left="520"/>
              <w:spacing w:after="0"/>
              <w:rPr>
                <w:sz w:val="20"/>
                <w:szCs w:val="20"/>
                <w:color w:val="auto"/>
              </w:rPr>
            </w:pPr>
            <w:r>
              <w:rPr>
                <w:rFonts w:ascii="Arial" w:cs="Arial" w:eastAsia="Arial" w:hAnsi="Arial"/>
                <w:sz w:val="14"/>
                <w:szCs w:val="14"/>
                <w:color w:val="auto"/>
              </w:rPr>
              <w:t>TBD</w:t>
            </w:r>
          </w:p>
        </w:tc>
        <w:tc>
          <w:tcPr>
            <w:tcW w:w="2840" w:type="dxa"/>
            <w:vAlign w:val="bottom"/>
          </w:tcPr>
          <w:p>
            <w:pPr>
              <w:ind w:left="20"/>
              <w:spacing w:after="0"/>
              <w:rPr>
                <w:sz w:val="20"/>
                <w:szCs w:val="20"/>
                <w:color w:val="auto"/>
              </w:rPr>
            </w:pPr>
            <w:r>
              <w:rPr>
                <w:rFonts w:ascii="Arial" w:cs="Arial" w:eastAsia="Arial" w:hAnsi="Arial"/>
                <w:sz w:val="14"/>
                <w:szCs w:val="14"/>
                <w:color w:val="auto"/>
              </w:rPr>
              <w:t>- Commenced construction 4Q 2016</w:t>
            </w: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40" w:type="dxa"/>
            <w:vAlign w:val="bottom"/>
          </w:tcPr>
          <w:p>
            <w:pPr>
              <w:ind w:left="60"/>
              <w:spacing w:after="0"/>
              <w:rPr>
                <w:sz w:val="20"/>
                <w:szCs w:val="20"/>
                <w:color w:val="auto"/>
              </w:rPr>
            </w:pPr>
            <w:r>
              <w:rPr>
                <w:rFonts w:ascii="Arial" w:cs="Arial" w:eastAsia="Arial" w:hAnsi="Arial"/>
                <w:sz w:val="14"/>
                <w:szCs w:val="14"/>
                <w:color w:val="auto"/>
              </w:rPr>
              <w:t>- 18,000 SF of retail &amp; 1,300</w:t>
            </w: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4"/>
                <w:szCs w:val="14"/>
                <w:color w:val="auto"/>
              </w:rPr>
              <w:t>- Opening projected to begin in 2019</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parking spaces</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 Office 100% pre-leased</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1"/>
                <w:shd w:val="clear" w:color="auto" w:fill="CCEEFF"/>
              </w:rPr>
              <w:t>Future Phases</w:t>
            </w:r>
          </w:p>
        </w:tc>
        <w:tc>
          <w:tcPr>
            <w:tcW w:w="240" w:type="dxa"/>
            <w:vAlign w:val="bottom"/>
            <w:gridSpan w:val="2"/>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40" w:type="dxa"/>
            <w:vAlign w:val="bottom"/>
            <w:shd w:val="clear" w:color="auto" w:fill="CCEEFF"/>
          </w:tcPr>
          <w:p>
            <w:pPr>
              <w:ind w:left="60"/>
              <w:spacing w:after="0"/>
              <w:rPr>
                <w:sz w:val="20"/>
                <w:szCs w:val="20"/>
                <w:color w:val="auto"/>
              </w:rPr>
            </w:pPr>
            <w:r>
              <w:rPr>
                <w:rFonts w:ascii="Arial" w:cs="Arial" w:eastAsia="Arial" w:hAnsi="Arial"/>
                <w:sz w:val="14"/>
                <w:szCs w:val="14"/>
                <w:color w:val="auto"/>
              </w:rPr>
              <w:t>- 321,000 SF of commercial</w:t>
            </w:r>
          </w:p>
        </w:tc>
        <w:tc>
          <w:tcPr>
            <w:tcW w:w="720" w:type="dxa"/>
            <w:vAlign w:val="bottom"/>
            <w:shd w:val="clear" w:color="auto" w:fill="CCEEFF"/>
          </w:tcPr>
          <w:p>
            <w:pPr>
              <w:jc w:val="center"/>
              <w:ind w:left="32"/>
              <w:spacing w:after="0"/>
              <w:rPr>
                <w:sz w:val="20"/>
                <w:szCs w:val="20"/>
                <w:color w:val="auto"/>
              </w:rPr>
            </w:pPr>
            <w:r>
              <w:rPr>
                <w:rFonts w:ascii="Arial" w:cs="Arial" w:eastAsia="Arial" w:hAnsi="Arial"/>
                <w:sz w:val="14"/>
                <w:szCs w:val="14"/>
                <w:color w:val="auto"/>
                <w:w w:val="92"/>
                <w:shd w:val="clear" w:color="auto" w:fill="CCEEFF"/>
              </w:rPr>
              <w:t>TBD</w:t>
            </w: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shd w:val="clear" w:color="auto" w:fill="CCEEFF"/>
              </w:rPr>
              <w:t>TBD</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84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- 395 residential units</w:t>
            </w:r>
          </w:p>
        </w:tc>
        <w:tc>
          <w:tcPr>
            <w:tcW w:w="7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40" w:type="dxa"/>
            <w:vAlign w:val="bottom"/>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702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0294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4"/>
          <w:szCs w:val="14"/>
          <w:color w:val="auto"/>
        </w:rPr>
        <w:t>- 1M SF of commercial across</w:t>
      </w:r>
    </w:p>
    <w:p>
      <w:pPr>
        <w:ind w:left="2340"/>
        <w:spacing w:after="0"/>
        <w:rPr>
          <w:sz w:val="20"/>
          <w:szCs w:val="20"/>
          <w:color w:val="auto"/>
        </w:rPr>
      </w:pPr>
      <w:r>
        <w:rPr>
          <w:rFonts w:ascii="Arial" w:cs="Arial" w:eastAsia="Arial" w:hAnsi="Arial"/>
          <w:sz w:val="14"/>
          <w:szCs w:val="14"/>
          <w:color w:val="auto"/>
        </w:rPr>
        <w:t>from Santana Row</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8" w:lineRule="exact"/>
        <w:rPr>
          <w:sz w:val="20"/>
          <w:szCs w:val="20"/>
          <w:color w:val="auto"/>
        </w:rPr>
      </w:pPr>
    </w:p>
    <w:p>
      <w:pPr>
        <w:ind w:left="500" w:right="180" w:hanging="465"/>
        <w:spacing w:after="0" w:line="239"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and projected POI percentages are subject to adjustment as a result of factors inherent in the development process, some of which may not be</w:t>
      </w:r>
    </w:p>
    <w:p>
      <w:pPr>
        <w:spacing w:after="0" w:line="30"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under the direct control of the Company. Refer to the Company's filings with the Securities and Exchange Commission on Form 10-K and Form 10-Q for other risk factors.</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Percentage figures reflect (i) the projected POI (herein defined) for the stated year divided by (ii) the current projected annual stabilized POI for the Property. These percentages are projections only and</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cannot give any</w:t>
      </w:r>
    </w:p>
    <w:p>
      <w:pPr>
        <w:spacing w:after="0" w:line="29"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assurances that these amounts will actually be achieved.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are net of expected reimbursement by third parties and land sale proceeds. Phase II total costs and costs to date include our share of the costs in the hotel.</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2"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sold at cost.</w:t>
      </w:r>
    </w:p>
    <w:p>
      <w:pPr>
        <w:sectPr>
          <w:pgSz w:w="11900" w:h="16838" w:orient="portrait"/>
          <w:cols w:equalWidth="0" w:num="1">
            <w:col w:w="11420"/>
          </w:cols>
          <w:pgMar w:left="240" w:top="760"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0" w:right="239" w:bottom="1440"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2018</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Escondido Promenade</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Escondido, CA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Melville Mall</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Huntington, NY</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Federal Plaza</w:t>
            </w:r>
          </w:p>
        </w:tc>
        <w:tc>
          <w:tcPr>
            <w:tcW w:w="2200" w:type="dxa"/>
            <w:vAlign w:val="bottom"/>
          </w:tcPr>
          <w:p>
            <w:pPr>
              <w:ind w:left="540"/>
              <w:spacing w:after="0"/>
              <w:rPr>
                <w:sz w:val="20"/>
                <w:szCs w:val="20"/>
                <w:color w:val="auto"/>
              </w:rPr>
            </w:pPr>
            <w:r>
              <w:rPr>
                <w:rFonts w:ascii="Arial" w:cs="Arial" w:eastAsia="Arial" w:hAnsi="Arial"/>
                <w:sz w:val="16"/>
                <w:szCs w:val="16"/>
                <w:color w:val="auto"/>
              </w:rPr>
              <w:t>Rockville, MD</w:t>
            </w:r>
          </w:p>
        </w:tc>
        <w:tc>
          <w:tcPr>
            <w:tcW w:w="2760" w:type="dxa"/>
            <w:vAlign w:val="bottom"/>
          </w:tcPr>
          <w:p>
            <w:pPr>
              <w:ind w:left="640"/>
              <w:spacing w:after="0"/>
              <w:rPr>
                <w:sz w:val="20"/>
                <w:szCs w:val="20"/>
                <w:color w:val="auto"/>
              </w:rPr>
            </w:pPr>
            <w:r>
              <w:rPr>
                <w:rFonts w:ascii="Arial" w:cs="Arial" w:eastAsia="Arial" w:hAnsi="Arial"/>
                <w:sz w:val="16"/>
                <w:szCs w:val="16"/>
                <w:b w:val="1"/>
                <w:bCs w:val="1"/>
                <w:color w:val="auto"/>
              </w:rPr>
              <w:t>Mercer Mall</w:t>
            </w:r>
          </w:p>
        </w:tc>
        <w:tc>
          <w:tcPr>
            <w:tcW w:w="3760" w:type="dxa"/>
            <w:vAlign w:val="bottom"/>
          </w:tcPr>
          <w:p>
            <w:pPr>
              <w:ind w:left="620"/>
              <w:spacing w:after="0"/>
              <w:rPr>
                <w:sz w:val="20"/>
                <w:szCs w:val="20"/>
                <w:color w:val="auto"/>
              </w:rPr>
            </w:pPr>
            <w:r>
              <w:rPr>
                <w:rFonts w:ascii="Arial" w:cs="Arial" w:eastAsia="Arial" w:hAnsi="Arial"/>
                <w:sz w:val="16"/>
                <w:szCs w:val="16"/>
                <w:color w:val="auto"/>
              </w:rPr>
              <w:t>Lawrenceville, NJ</w:t>
            </w: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Flourtown</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Flourtown, PA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Pan Am</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Fairfax, VA</w:t>
            </w:r>
          </w:p>
        </w:tc>
      </w:tr>
      <w:tr>
        <w:trPr>
          <w:trHeight w:val="237"/>
        </w:trPr>
        <w:tc>
          <w:tcPr>
            <w:tcW w:w="2700" w:type="dxa"/>
            <w:vAlign w:val="bottom"/>
          </w:tcPr>
          <w:p>
            <w:pPr>
              <w:ind w:left="620"/>
              <w:spacing w:after="0"/>
              <w:rPr>
                <w:sz w:val="20"/>
                <w:szCs w:val="20"/>
                <w:color w:val="auto"/>
              </w:rPr>
            </w:pPr>
            <w:r>
              <w:rPr>
                <w:rFonts w:ascii="Arial" w:cs="Arial" w:eastAsia="Arial" w:hAnsi="Arial"/>
                <w:sz w:val="16"/>
                <w:szCs w:val="16"/>
                <w:b w:val="1"/>
                <w:bCs w:val="1"/>
                <w:color w:val="auto"/>
              </w:rPr>
              <w:t>Fresh Meadows</w:t>
            </w:r>
          </w:p>
        </w:tc>
        <w:tc>
          <w:tcPr>
            <w:tcW w:w="2200" w:type="dxa"/>
            <w:vAlign w:val="bottom"/>
          </w:tcPr>
          <w:p>
            <w:pPr>
              <w:ind w:left="540"/>
              <w:spacing w:after="0"/>
              <w:rPr>
                <w:sz w:val="20"/>
                <w:szCs w:val="20"/>
                <w:color w:val="auto"/>
              </w:rPr>
            </w:pPr>
            <w:r>
              <w:rPr>
                <w:rFonts w:ascii="Arial" w:cs="Arial" w:eastAsia="Arial" w:hAnsi="Arial"/>
                <w:sz w:val="16"/>
                <w:szCs w:val="16"/>
                <w:color w:val="auto"/>
              </w:rPr>
              <w:t>Queens, NY</w:t>
            </w:r>
          </w:p>
        </w:tc>
        <w:tc>
          <w:tcPr>
            <w:tcW w:w="2760" w:type="dxa"/>
            <w:vAlign w:val="bottom"/>
          </w:tcPr>
          <w:p>
            <w:pPr>
              <w:ind w:left="640"/>
              <w:spacing w:after="0"/>
              <w:rPr>
                <w:sz w:val="20"/>
                <w:szCs w:val="20"/>
                <w:color w:val="auto"/>
              </w:rPr>
            </w:pPr>
            <w:r>
              <w:rPr>
                <w:rFonts w:ascii="Arial" w:cs="Arial" w:eastAsia="Arial" w:hAnsi="Arial"/>
                <w:sz w:val="16"/>
                <w:szCs w:val="16"/>
                <w:b w:val="1"/>
                <w:bCs w:val="1"/>
                <w:color w:val="auto"/>
              </w:rPr>
              <w:t>Sylmar Towne Center</w:t>
            </w:r>
          </w:p>
        </w:tc>
        <w:tc>
          <w:tcPr>
            <w:tcW w:w="3760" w:type="dxa"/>
            <w:vAlign w:val="bottom"/>
          </w:tcPr>
          <w:p>
            <w:pPr>
              <w:ind w:left="620"/>
              <w:spacing w:after="0"/>
              <w:rPr>
                <w:sz w:val="20"/>
                <w:szCs w:val="20"/>
                <w:color w:val="auto"/>
              </w:rPr>
            </w:pPr>
            <w:r>
              <w:rPr>
                <w:rFonts w:ascii="Arial" w:cs="Arial" w:eastAsia="Arial" w:hAnsi="Arial"/>
                <w:sz w:val="16"/>
                <w:szCs w:val="16"/>
                <w:color w:val="auto"/>
              </w:rPr>
              <w:t>Sylmar, CA</w:t>
            </w: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0"/>
        </w:trPr>
        <w:tc>
          <w:tcPr>
            <w:tcW w:w="27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Barracks Road</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Charlottesville, VA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Hastings Ranch Plaza</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Pasadena, CA</w:t>
            </w:r>
          </w:p>
        </w:tc>
      </w:tr>
      <w:tr>
        <w:trPr>
          <w:trHeight w:val="237"/>
        </w:trPr>
        <w:tc>
          <w:tcPr>
            <w:tcW w:w="2480" w:type="dxa"/>
            <w:vAlign w:val="bottom"/>
          </w:tcPr>
          <w:p>
            <w:pPr>
              <w:ind w:left="620"/>
              <w:spacing w:after="0"/>
              <w:rPr>
                <w:sz w:val="20"/>
                <w:szCs w:val="20"/>
                <w:color w:val="auto"/>
              </w:rPr>
            </w:pPr>
            <w:r>
              <w:rPr>
                <w:rFonts w:ascii="Arial" w:cs="Arial" w:eastAsia="Arial" w:hAnsi="Arial"/>
                <w:sz w:val="16"/>
                <w:szCs w:val="16"/>
                <w:b w:val="1"/>
                <w:bCs w:val="1"/>
                <w:color w:val="auto"/>
              </w:rPr>
              <w:t>Bethesda Row</w:t>
            </w:r>
          </w:p>
        </w:tc>
        <w:tc>
          <w:tcPr>
            <w:tcW w:w="2540" w:type="dxa"/>
            <w:vAlign w:val="bottom"/>
          </w:tcPr>
          <w:p>
            <w:pPr>
              <w:ind w:left="760"/>
              <w:spacing w:after="0"/>
              <w:rPr>
                <w:sz w:val="20"/>
                <w:szCs w:val="20"/>
                <w:color w:val="auto"/>
              </w:rPr>
            </w:pPr>
            <w:r>
              <w:rPr>
                <w:rFonts w:ascii="Arial" w:cs="Arial" w:eastAsia="Arial" w:hAnsi="Arial"/>
                <w:sz w:val="16"/>
                <w:szCs w:val="16"/>
                <w:color w:val="auto"/>
              </w:rPr>
              <w:t>Bethesda, MD</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Northeast</w:t>
            </w:r>
          </w:p>
        </w:tc>
        <w:tc>
          <w:tcPr>
            <w:tcW w:w="3600" w:type="dxa"/>
            <w:vAlign w:val="bottom"/>
          </w:tcPr>
          <w:p>
            <w:pPr>
              <w:ind w:left="460"/>
              <w:spacing w:after="0"/>
              <w:rPr>
                <w:sz w:val="20"/>
                <w:szCs w:val="20"/>
                <w:color w:val="auto"/>
              </w:rPr>
            </w:pPr>
            <w:r>
              <w:rPr>
                <w:rFonts w:ascii="Arial" w:cs="Arial" w:eastAsia="Arial" w:hAnsi="Arial"/>
                <w:sz w:val="16"/>
                <w:szCs w:val="16"/>
                <w:color w:val="auto"/>
              </w:rPr>
              <w:t>Philadelphia, PA</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Crossroads</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Highland Park, IL</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Riverpoint Center</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Chicago, IL</w:t>
            </w:r>
          </w:p>
        </w:tc>
      </w:tr>
      <w:tr>
        <w:trPr>
          <w:trHeight w:val="237"/>
        </w:trPr>
        <w:tc>
          <w:tcPr>
            <w:tcW w:w="2480" w:type="dxa"/>
            <w:vAlign w:val="bottom"/>
          </w:tcPr>
          <w:p>
            <w:pPr>
              <w:ind w:left="620"/>
              <w:spacing w:after="0"/>
              <w:rPr>
                <w:sz w:val="20"/>
                <w:szCs w:val="20"/>
                <w:color w:val="auto"/>
              </w:rPr>
            </w:pPr>
            <w:r>
              <w:rPr>
                <w:rFonts w:ascii="Arial" w:cs="Arial" w:eastAsia="Arial" w:hAnsi="Arial"/>
                <w:sz w:val="16"/>
                <w:szCs w:val="16"/>
                <w:b w:val="1"/>
                <w:bCs w:val="1"/>
                <w:color w:val="auto"/>
              </w:rPr>
              <w:t>Darien</w:t>
            </w:r>
          </w:p>
        </w:tc>
        <w:tc>
          <w:tcPr>
            <w:tcW w:w="2540" w:type="dxa"/>
            <w:vAlign w:val="bottom"/>
          </w:tcPr>
          <w:p>
            <w:pPr>
              <w:ind w:left="760"/>
              <w:spacing w:after="0"/>
              <w:rPr>
                <w:sz w:val="20"/>
                <w:szCs w:val="20"/>
                <w:color w:val="auto"/>
              </w:rPr>
            </w:pPr>
            <w:r>
              <w:rPr>
                <w:rFonts w:ascii="Arial" w:cs="Arial" w:eastAsia="Arial" w:hAnsi="Arial"/>
                <w:sz w:val="16"/>
                <w:szCs w:val="16"/>
                <w:color w:val="auto"/>
              </w:rPr>
              <w:t>Darien, CT</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3600" w:type="dxa"/>
            <w:vAlign w:val="bottom"/>
          </w:tcPr>
          <w:p>
            <w:pPr>
              <w:ind w:left="460"/>
              <w:spacing w:after="0"/>
              <w:rPr>
                <w:sz w:val="20"/>
                <w:szCs w:val="20"/>
                <w:color w:val="auto"/>
              </w:rPr>
            </w:pPr>
            <w:r>
              <w:rPr>
                <w:rFonts w:ascii="Arial" w:cs="Arial" w:eastAsia="Arial" w:hAnsi="Arial"/>
                <w:sz w:val="16"/>
                <w:szCs w:val="16"/>
                <w:color w:val="auto"/>
              </w:rPr>
              <w:t>South Miami, FL</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Dedham Plaza</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Dedham, MA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Santa Monica, CA</w:t>
            </w:r>
          </w:p>
        </w:tc>
      </w:tr>
      <w:tr>
        <w:trPr>
          <w:trHeight w:val="237"/>
        </w:trPr>
        <w:tc>
          <w:tcPr>
            <w:tcW w:w="2480" w:type="dxa"/>
            <w:vAlign w:val="bottom"/>
          </w:tcPr>
          <w:p>
            <w:pPr>
              <w:ind w:left="620"/>
              <w:spacing w:after="0"/>
              <w:rPr>
                <w:sz w:val="20"/>
                <w:szCs w:val="20"/>
                <w:color w:val="auto"/>
              </w:rPr>
            </w:pPr>
            <w:r>
              <w:rPr>
                <w:rFonts w:ascii="Arial" w:cs="Arial" w:eastAsia="Arial" w:hAnsi="Arial"/>
                <w:sz w:val="16"/>
                <w:szCs w:val="16"/>
                <w:b w:val="1"/>
                <w:bCs w:val="1"/>
                <w:color w:val="auto"/>
              </w:rPr>
              <w:t>Fourth Street</w:t>
            </w:r>
          </w:p>
        </w:tc>
        <w:tc>
          <w:tcPr>
            <w:tcW w:w="2540" w:type="dxa"/>
            <w:vAlign w:val="bottom"/>
          </w:tcPr>
          <w:p>
            <w:pPr>
              <w:ind w:left="760"/>
              <w:spacing w:after="0"/>
              <w:rPr>
                <w:sz w:val="20"/>
                <w:szCs w:val="20"/>
                <w:color w:val="auto"/>
              </w:rPr>
            </w:pPr>
            <w:r>
              <w:rPr>
                <w:rFonts w:ascii="Arial" w:cs="Arial" w:eastAsia="Arial" w:hAnsi="Arial"/>
                <w:sz w:val="16"/>
                <w:szCs w:val="16"/>
                <w:color w:val="auto"/>
              </w:rPr>
              <w:t>Berkeley, CA</w:t>
            </w:r>
          </w:p>
        </w:tc>
        <w:tc>
          <w:tcPr>
            <w:tcW w:w="280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3600" w:type="dxa"/>
            <w:vAlign w:val="bottom"/>
          </w:tcPr>
          <w:p>
            <w:pPr>
              <w:ind w:left="460"/>
              <w:spacing w:after="0"/>
              <w:rPr>
                <w:sz w:val="20"/>
                <w:szCs w:val="20"/>
                <w:color w:val="auto"/>
              </w:rPr>
            </w:pPr>
            <w:r>
              <w:rPr>
                <w:rFonts w:ascii="Arial" w:cs="Arial" w:eastAsia="Arial" w:hAnsi="Arial"/>
                <w:sz w:val="16"/>
                <w:szCs w:val="16"/>
                <w:color w:val="auto"/>
              </w:rPr>
              <w:t>Bethesda, MD</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37"/>
        </w:trPr>
        <w:tc>
          <w:tcPr>
            <w:tcW w:w="248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25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Queens, NY</w:t>
            </w:r>
          </w:p>
        </w:tc>
        <w:tc>
          <w:tcPr>
            <w:tcW w:w="28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33"/>
        </w:trPr>
        <w:tc>
          <w:tcPr>
            <w:tcW w:w="24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Barracks Road</w:t>
            </w:r>
          </w:p>
        </w:tc>
        <w:tc>
          <w:tcPr>
            <w:tcW w:w="2080" w:type="dxa"/>
            <w:vAlign w:val="bottom"/>
          </w:tcPr>
          <w:p>
            <w:pPr>
              <w:ind w:left="240"/>
              <w:spacing w:after="0"/>
              <w:rPr>
                <w:sz w:val="20"/>
                <w:szCs w:val="20"/>
                <w:color w:val="auto"/>
              </w:rPr>
            </w:pPr>
            <w:r>
              <w:rPr>
                <w:rFonts w:ascii="Arial" w:cs="Arial" w:eastAsia="Arial" w:hAnsi="Arial"/>
                <w:sz w:val="16"/>
                <w:szCs w:val="16"/>
                <w:color w:val="auto"/>
              </w:rPr>
              <w:t>Charlottesville, VA</w:t>
            </w: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rPr>
              <w:t>Graham Park Plaza</w:t>
            </w:r>
          </w:p>
        </w:tc>
        <w:tc>
          <w:tcPr>
            <w:tcW w:w="3300" w:type="dxa"/>
            <w:vAlign w:val="bottom"/>
          </w:tcPr>
          <w:p>
            <w:pPr>
              <w:ind w:left="160"/>
              <w:spacing w:after="0"/>
              <w:rPr>
                <w:sz w:val="20"/>
                <w:szCs w:val="20"/>
                <w:color w:val="auto"/>
              </w:rPr>
            </w:pPr>
            <w:r>
              <w:rPr>
                <w:rFonts w:ascii="Arial" w:cs="Arial" w:eastAsia="Arial" w:hAnsi="Arial"/>
                <w:sz w:val="16"/>
                <w:szCs w:val="16"/>
                <w:color w:val="auto"/>
              </w:rPr>
              <w:t>Falls Church,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Village at Shirlington</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Arlington, VA</w:t>
            </w: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80" w:type="dxa"/>
            <w:vAlign w:val="bottom"/>
            <w:gridSpan w:val="2"/>
          </w:tcPr>
          <w:p>
            <w:pPr>
              <w:spacing w:after="0"/>
              <w:rPr>
                <w:sz w:val="23"/>
                <w:szCs w:val="23"/>
                <w:color w:val="auto"/>
              </w:rPr>
            </w:pPr>
          </w:p>
        </w:tc>
        <w:tc>
          <w:tcPr>
            <w:tcW w:w="20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37"/>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208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Assembly Row (1)</w:t>
            </w:r>
          </w:p>
        </w:tc>
        <w:tc>
          <w:tcPr>
            <w:tcW w:w="2080" w:type="dxa"/>
            <w:vAlign w:val="bottom"/>
          </w:tcPr>
          <w:p>
            <w:pPr>
              <w:ind w:left="240"/>
              <w:spacing w:after="0"/>
              <w:rPr>
                <w:sz w:val="20"/>
                <w:szCs w:val="20"/>
                <w:color w:val="auto"/>
              </w:rPr>
            </w:pPr>
            <w:r>
              <w:rPr>
                <w:rFonts w:ascii="Arial" w:cs="Arial" w:eastAsia="Arial" w:hAnsi="Arial"/>
                <w:sz w:val="16"/>
                <w:szCs w:val="16"/>
                <w:color w:val="auto"/>
              </w:rPr>
              <w:t>Somerville, MA</w:t>
            </w: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rPr>
              <w:t>San Antonio Center</w:t>
            </w:r>
          </w:p>
        </w:tc>
        <w:tc>
          <w:tcPr>
            <w:tcW w:w="3300" w:type="dxa"/>
            <w:vAlign w:val="bottom"/>
          </w:tcPr>
          <w:p>
            <w:pPr>
              <w:ind w:left="16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Bala Cynwyd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Bala Cynwyd, PA</w:t>
            </w:r>
          </w:p>
        </w:tc>
        <w:tc>
          <w:tcPr>
            <w:tcW w:w="3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Santana Row (3)</w:t>
            </w:r>
          </w:p>
        </w:tc>
        <w:tc>
          <w:tcPr>
            <w:tcW w:w="3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San Jose, CA</w:t>
            </w: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w w:val="97"/>
              </w:rPr>
              <w:t>Santana Row - Winchester Theater</w:t>
            </w:r>
          </w:p>
        </w:tc>
        <w:tc>
          <w:tcPr>
            <w:tcW w:w="33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6"/>
                <w:szCs w:val="16"/>
                <w:b w:val="1"/>
                <w:bCs w:val="1"/>
                <w:color w:val="auto"/>
              </w:rPr>
              <w:t>Pike 7 Plaza</w:t>
            </w:r>
          </w:p>
        </w:tc>
        <w:tc>
          <w:tcPr>
            <w:tcW w:w="2080" w:type="dxa"/>
            <w:vAlign w:val="bottom"/>
          </w:tcPr>
          <w:p>
            <w:pPr>
              <w:ind w:left="240"/>
              <w:spacing w:after="0"/>
              <w:rPr>
                <w:sz w:val="20"/>
                <w:szCs w:val="20"/>
                <w:color w:val="auto"/>
              </w:rPr>
            </w:pPr>
            <w:r>
              <w:rPr>
                <w:rFonts w:ascii="Arial" w:cs="Arial" w:eastAsia="Arial" w:hAnsi="Arial"/>
                <w:sz w:val="16"/>
                <w:szCs w:val="16"/>
                <w:color w:val="auto"/>
              </w:rPr>
              <w:t>Vienna, VA</w:t>
            </w:r>
          </w:p>
        </w:tc>
        <w:tc>
          <w:tcPr>
            <w:tcW w:w="3040" w:type="dxa"/>
            <w:vAlign w:val="bottom"/>
          </w:tcPr>
          <w:p>
            <w:pPr>
              <w:ind w:left="460"/>
              <w:spacing w:after="0"/>
              <w:rPr>
                <w:sz w:val="20"/>
                <w:szCs w:val="20"/>
                <w:color w:val="auto"/>
              </w:rPr>
            </w:pPr>
            <w:r>
              <w:rPr>
                <w:rFonts w:ascii="Arial" w:cs="Arial" w:eastAsia="Arial" w:hAnsi="Arial"/>
                <w:sz w:val="16"/>
                <w:szCs w:val="16"/>
                <w:b w:val="1"/>
                <w:bCs w:val="1"/>
                <w:color w:val="auto"/>
              </w:rPr>
              <w:t>site (3)</w:t>
            </w:r>
          </w:p>
        </w:tc>
        <w:tc>
          <w:tcPr>
            <w:tcW w:w="3300" w:type="dxa"/>
            <w:vAlign w:val="bottom"/>
          </w:tcPr>
          <w:p>
            <w:pPr>
              <w:ind w:left="16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Pike &amp; Rose (2)</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North Bethesda, MD</w:t>
            </w:r>
          </w:p>
        </w:tc>
        <w:tc>
          <w:tcPr>
            <w:tcW w:w="30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300" w:type="dxa"/>
            <w:vAlign w:val="bottom"/>
          </w:tcPr>
          <w:p>
            <w:pPr>
              <w:spacing w:after="0"/>
              <w:rPr>
                <w:sz w:val="23"/>
                <w:szCs w:val="23"/>
                <w:color w:val="auto"/>
              </w:rPr>
            </w:pPr>
          </w:p>
        </w:tc>
      </w:tr>
      <w:tr>
        <w:trPr>
          <w:trHeight w:val="230"/>
        </w:trPr>
        <w:tc>
          <w:tcPr>
            <w:tcW w:w="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24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Assembly Row</w:t>
            </w:r>
          </w:p>
        </w:tc>
        <w:tc>
          <w:tcPr>
            <w:tcW w:w="8420" w:type="dxa"/>
            <w:vAlign w:val="bottom"/>
            <w:gridSpan w:val="3"/>
          </w:tcPr>
          <w:p>
            <w:pPr>
              <w:ind w:left="240"/>
              <w:spacing w:after="0"/>
              <w:rPr>
                <w:sz w:val="20"/>
                <w:szCs w:val="20"/>
                <w:color w:val="auto"/>
              </w:rPr>
            </w:pPr>
            <w:r>
              <w:rPr>
                <w:rFonts w:ascii="Arial" w:cs="Arial" w:eastAsia="Arial" w:hAnsi="Arial"/>
                <w:sz w:val="14"/>
                <w:szCs w:val="14"/>
                <w:color w:val="auto"/>
                <w:w w:val="97"/>
              </w:rPr>
              <w:t>Remaining entitlements after Phase II include approximately 2 million square feet of commercial-use buildings and 826 residential units.</w:t>
            </w:r>
          </w:p>
        </w:tc>
      </w:tr>
      <w:tr>
        <w:trPr>
          <w:trHeight w:val="209"/>
        </w:trPr>
        <w:tc>
          <w:tcPr>
            <w:tcW w:w="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Pike &amp; Rose</w:t>
            </w:r>
          </w:p>
        </w:tc>
        <w:tc>
          <w:tcPr>
            <w:tcW w:w="84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w w:val="97"/>
              </w:rPr>
              <w:t>Remaining entitlements after Phase II include approximately 740,000 square feet of commercial-use buildings and 741 residential units.</w:t>
            </w:r>
          </w:p>
        </w:tc>
      </w:tr>
      <w:tr>
        <w:trPr>
          <w:trHeight w:val="157"/>
        </w:trPr>
        <w:tc>
          <w:tcPr>
            <w:tcW w:w="4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2480" w:type="dxa"/>
            <w:vAlign w:val="bottom"/>
          </w:tcPr>
          <w:p>
            <w:pPr>
              <w:ind w:left="100"/>
              <w:spacing w:after="0" w:line="157" w:lineRule="exact"/>
              <w:rPr>
                <w:sz w:val="20"/>
                <w:szCs w:val="20"/>
                <w:color w:val="auto"/>
              </w:rPr>
            </w:pPr>
            <w:r>
              <w:rPr>
                <w:rFonts w:ascii="Arial" w:cs="Arial" w:eastAsia="Arial" w:hAnsi="Arial"/>
                <w:sz w:val="14"/>
                <w:szCs w:val="14"/>
                <w:color w:val="auto"/>
              </w:rPr>
              <w:t>Santana Row</w:t>
            </w:r>
          </w:p>
        </w:tc>
        <w:tc>
          <w:tcPr>
            <w:tcW w:w="8420" w:type="dxa"/>
            <w:vAlign w:val="bottom"/>
            <w:gridSpan w:val="3"/>
          </w:tcPr>
          <w:p>
            <w:pPr>
              <w:ind w:left="240"/>
              <w:spacing w:after="0" w:line="157" w:lineRule="exact"/>
              <w:rPr>
                <w:sz w:val="20"/>
                <w:szCs w:val="20"/>
                <w:color w:val="auto"/>
              </w:rPr>
            </w:pPr>
            <w:r>
              <w:rPr>
                <w:rFonts w:ascii="Arial" w:cs="Arial" w:eastAsia="Arial" w:hAnsi="Arial"/>
                <w:sz w:val="14"/>
                <w:szCs w:val="14"/>
                <w:color w:val="auto"/>
                <w:w w:val="94"/>
              </w:rPr>
              <w:t>Remaining entitlements include approximately 321,000 square feet of commercial space and 395 residential units, as well as approximately</w:t>
            </w: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420" w:type="dxa"/>
            <w:vAlign w:val="bottom"/>
            <w:gridSpan w:val="3"/>
          </w:tcPr>
          <w:p>
            <w:pPr>
              <w:ind w:left="240"/>
              <w:spacing w:after="0"/>
              <w:rPr>
                <w:sz w:val="20"/>
                <w:szCs w:val="20"/>
                <w:color w:val="auto"/>
              </w:rPr>
            </w:pPr>
            <w:r>
              <w:rPr>
                <w:rFonts w:ascii="Arial" w:cs="Arial" w:eastAsia="Arial" w:hAnsi="Arial"/>
                <w:sz w:val="14"/>
                <w:szCs w:val="14"/>
                <w:color w:val="auto"/>
              </w:rPr>
              <w:t>1 million square feet of commercial space on land we control across from Santana Row.</w:t>
            </w:r>
          </w:p>
        </w:tc>
      </w:tr>
      <w:tr>
        <w:trPr>
          <w:trHeight w:val="47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40" w:type="dxa"/>
            <w:vAlign w:val="bottom"/>
          </w:tcPr>
          <w:p>
            <w:pPr>
              <w:ind w:left="540"/>
              <w:spacing w:after="0"/>
              <w:rPr>
                <w:sz w:val="20"/>
                <w:szCs w:val="20"/>
                <w:color w:val="auto"/>
              </w:rPr>
            </w:pPr>
            <w:r>
              <w:rPr>
                <w:rFonts w:ascii="Arial" w:cs="Arial" w:eastAsia="Arial" w:hAnsi="Arial"/>
                <w:sz w:val="18"/>
                <w:szCs w:val="18"/>
                <w:color w:val="auto"/>
              </w:rPr>
              <w:t>18</w:t>
            </w:r>
          </w:p>
        </w:tc>
        <w:tc>
          <w:tcPr>
            <w:tcW w:w="330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Property</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Name</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Acreage</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(2)</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74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Washington Metropolitan Area</w:t>
            </w: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CCEEFF"/>
            </w:tcBorders>
            <w:shd w:val="clear" w:color="auto" w:fill="CCEEFF"/>
          </w:tcPr>
          <w:p>
            <w:pPr>
              <w:spacing w:after="0"/>
              <w:rPr>
                <w:sz w:val="8"/>
                <w:szCs w:val="8"/>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Barcroft Plaza</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   46,609</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115,000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4"/>
              </w:rPr>
              <w:t>Harris Teeter</w:t>
            </w:r>
          </w:p>
        </w:tc>
        <w:tc>
          <w:tcPr>
            <w:tcW w:w="23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Bethesda Row</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228,374</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Apple / Equinox / Multiple Restaurants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8"/>
              </w:rPr>
              <w:t>Congressional</w:t>
            </w:r>
          </w:p>
        </w:tc>
        <w:tc>
          <w:tcPr>
            <w:tcW w:w="340" w:type="dxa"/>
            <w:vAlign w:val="bottom"/>
          </w:tcPr>
          <w:p>
            <w:pPr>
              <w:ind w:left="100"/>
              <w:spacing w:after="0" w:line="148" w:lineRule="exact"/>
              <w:rPr>
                <w:sz w:val="20"/>
                <w:szCs w:val="20"/>
                <w:color w:val="auto"/>
              </w:rPr>
            </w:pPr>
            <w:r>
              <w:rPr>
                <w:rFonts w:ascii="Arial" w:cs="Arial" w:eastAsia="Arial" w:hAnsi="Arial"/>
                <w:sz w:val="13"/>
                <w:szCs w:val="13"/>
                <w:color w:val="auto"/>
              </w:rPr>
              <w:t>(3)</w:t>
            </w: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102,874</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325,000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194</w:t>
            </w: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The Fresh</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93"/>
              </w:rPr>
              <w:t>Buy Buy Baby / Saks Fifth Avenue Off 5th</w:t>
            </w:r>
          </w:p>
        </w:tc>
      </w:tr>
      <w:tr>
        <w:trPr>
          <w:trHeight w:val="135"/>
        </w:trPr>
        <w:tc>
          <w:tcPr>
            <w:tcW w:w="88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Plaza</w:t>
            </w:r>
          </w:p>
        </w:tc>
        <w:tc>
          <w:tcPr>
            <w:tcW w:w="340" w:type="dxa"/>
            <w:vAlign w:val="bottom"/>
          </w:tcPr>
          <w:p>
            <w:pPr>
              <w:spacing w:after="0"/>
              <w:rPr>
                <w:sz w:val="11"/>
                <w:szCs w:val="11"/>
                <w:color w:val="auto"/>
              </w:rPr>
            </w:pPr>
          </w:p>
        </w:tc>
        <w:tc>
          <w:tcPr>
            <w:tcW w:w="25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MD-WV</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Market</w:t>
            </w:r>
          </w:p>
        </w:tc>
        <w:tc>
          <w:tcPr>
            <w:tcW w:w="2320" w:type="dxa"/>
            <w:vAlign w:val="bottom"/>
          </w:tcPr>
          <w:p>
            <w:pPr>
              <w:ind w:left="60"/>
              <w:spacing w:after="0" w:line="135" w:lineRule="exact"/>
              <w:rPr>
                <w:sz w:val="20"/>
                <w:szCs w:val="20"/>
                <w:color w:val="auto"/>
              </w:rPr>
            </w:pPr>
            <w:r>
              <w:rPr>
                <w:rFonts w:ascii="Arial" w:cs="Arial" w:eastAsia="Arial" w:hAnsi="Arial"/>
                <w:sz w:val="13"/>
                <w:szCs w:val="13"/>
                <w:color w:val="auto"/>
              </w:rPr>
              <w:t>/ Container Store / Last Call Studio by</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Neiman Marcus</w:t>
            </w: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Courthouse</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6,231</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r>
      <w:tr>
        <w:trPr>
          <w:trHeight w:val="17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Falls</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13,991</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51,000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CVS / Staples</w:t>
            </w:r>
          </w:p>
        </w:tc>
      </w:tr>
      <w:tr>
        <w:trPr>
          <w:trHeight w:val="135"/>
        </w:trPr>
        <w:tc>
          <w:tcPr>
            <w:tcW w:w="88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Plaza/Falls</w:t>
            </w:r>
          </w:p>
        </w:tc>
        <w:tc>
          <w:tcPr>
            <w:tcW w:w="340" w:type="dxa"/>
            <w:vAlign w:val="bottom"/>
          </w:tcPr>
          <w:p>
            <w:pPr>
              <w:spacing w:after="0"/>
              <w:rPr>
                <w:sz w:val="11"/>
                <w:szCs w:val="11"/>
                <w:color w:val="auto"/>
              </w:rPr>
            </w:pPr>
          </w:p>
        </w:tc>
        <w:tc>
          <w:tcPr>
            <w:tcW w:w="25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MD-WV</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Plaza-East</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Federal Plaza</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70,071</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TJ Maxx / Micro Center / Ross Dress For</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w:t>
            </w: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Free State</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65,050</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73,000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99"/>
              </w:rPr>
              <w:t>TJ Maxx / Ross Dress For Less / Office</w:t>
            </w:r>
          </w:p>
        </w:tc>
      </w:tr>
      <w:tr>
        <w:trPr>
          <w:trHeight w:val="135"/>
        </w:trPr>
        <w:tc>
          <w:tcPr>
            <w:tcW w:w="88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Shopping</w:t>
            </w:r>
          </w:p>
        </w:tc>
        <w:tc>
          <w:tcPr>
            <w:tcW w:w="340" w:type="dxa"/>
            <w:vAlign w:val="bottom"/>
          </w:tcPr>
          <w:p>
            <w:pPr>
              <w:spacing w:after="0"/>
              <w:rPr>
                <w:sz w:val="11"/>
                <w:szCs w:val="11"/>
                <w:color w:val="auto"/>
              </w:rPr>
            </w:pPr>
          </w:p>
        </w:tc>
        <w:tc>
          <w:tcPr>
            <w:tcW w:w="25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MD-WV</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ind w:left="60"/>
              <w:spacing w:after="0" w:line="135" w:lineRule="exact"/>
              <w:rPr>
                <w:sz w:val="20"/>
                <w:szCs w:val="20"/>
                <w:color w:val="auto"/>
              </w:rPr>
            </w:pPr>
            <w:r>
              <w:rPr>
                <w:rFonts w:ascii="Arial" w:cs="Arial" w:eastAsia="Arial" w:hAnsi="Arial"/>
                <w:sz w:val="13"/>
                <w:szCs w:val="13"/>
                <w:color w:val="auto"/>
              </w:rPr>
              <w:t>Depot</w:t>
            </w: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Center</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38,102</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Nordstrom Rack / DSW /</w:t>
            </w:r>
          </w:p>
        </w:tc>
      </w:tr>
      <w:tr>
        <w:trPr>
          <w:trHeight w:val="17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Maggiano's</w:t>
            </w: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Gaithersburg</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28,416</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89"/>
              </w:rPr>
              <w:t>Bed, Bath &amp; Beyond / Ross Dress For Less</w:t>
            </w: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Square</w:t>
            </w: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 Ashley Furniture HomeStore</w:t>
            </w: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36,011</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7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Idylwood</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16,940</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30,000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320" w:type="dxa"/>
            <w:vAlign w:val="bottom"/>
          </w:tcPr>
          <w:p>
            <w:pPr>
              <w:spacing w:after="0"/>
              <w:rPr>
                <w:sz w:val="12"/>
                <w:szCs w:val="12"/>
                <w:color w:val="auto"/>
              </w:rPr>
            </w:pP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Plaza</w:t>
            </w: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57,628</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L.A. Fitness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Leesburg</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36,771</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Petsmart / Gold's Gym / Office Depot</w:t>
            </w: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Plaza</w:t>
            </w: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Montrose</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(3)</w:t>
            </w: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161,844</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69,753</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7"/>
              </w:rPr>
              <w:t>Marshalls / Old Navy / Barnes &amp; Noble /</w:t>
            </w:r>
          </w:p>
        </w:tc>
      </w:tr>
      <w:tr>
        <w:trPr>
          <w:trHeight w:val="17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Crossing</w:t>
            </w: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Bob's Discount Furniture</w:t>
            </w: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w:t>
            </w:r>
          </w:p>
        </w:tc>
        <w:tc>
          <w:tcPr>
            <w:tcW w:w="340" w:type="dxa"/>
            <w:vAlign w:val="bottom"/>
          </w:tcPr>
          <w:p>
            <w:pPr>
              <w:ind w:left="100"/>
              <w:spacing w:after="0" w:line="148" w:lineRule="exact"/>
              <w:rPr>
                <w:sz w:val="20"/>
                <w:szCs w:val="20"/>
                <w:color w:val="auto"/>
              </w:rPr>
            </w:pPr>
            <w:r>
              <w:rPr>
                <w:rFonts w:ascii="Arial" w:cs="Arial" w:eastAsia="Arial" w:hAnsi="Arial"/>
                <w:sz w:val="13"/>
                <w:szCs w:val="13"/>
                <w:color w:val="auto"/>
              </w:rPr>
              <w:t>(5)</w:t>
            </w: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85,134</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568,000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TJ Maxx / Home Depot / Bed, Bath &amp;</w:t>
            </w:r>
          </w:p>
        </w:tc>
      </w:tr>
      <w:tr>
        <w:trPr>
          <w:trHeight w:val="135"/>
        </w:trPr>
        <w:tc>
          <w:tcPr>
            <w:tcW w:w="88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Vernon/South</w:t>
            </w:r>
          </w:p>
        </w:tc>
        <w:tc>
          <w:tcPr>
            <w:tcW w:w="340" w:type="dxa"/>
            <w:vAlign w:val="bottom"/>
          </w:tcPr>
          <w:p>
            <w:pPr>
              <w:spacing w:after="0"/>
              <w:rPr>
                <w:sz w:val="11"/>
                <w:szCs w:val="11"/>
                <w:color w:val="auto"/>
              </w:rPr>
            </w:pPr>
          </w:p>
        </w:tc>
        <w:tc>
          <w:tcPr>
            <w:tcW w:w="25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MD-WV</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320" w:type="dxa"/>
            <w:vAlign w:val="bottom"/>
          </w:tcPr>
          <w:p>
            <w:pPr>
              <w:ind w:left="60"/>
              <w:spacing w:after="0" w:line="135" w:lineRule="exact"/>
              <w:rPr>
                <w:sz w:val="20"/>
                <w:szCs w:val="20"/>
                <w:color w:val="auto"/>
              </w:rPr>
            </w:pPr>
            <w:r>
              <w:rPr>
                <w:rFonts w:ascii="Arial" w:cs="Arial" w:eastAsia="Arial" w:hAnsi="Arial"/>
                <w:sz w:val="13"/>
                <w:szCs w:val="13"/>
                <w:color w:val="auto"/>
              </w:rPr>
              <w:t>Beyond / Results Fitness</w:t>
            </w:r>
          </w:p>
        </w:tc>
      </w:tr>
      <w:tr>
        <w:trPr>
          <w:trHeight w:val="135"/>
        </w:trPr>
        <w:tc>
          <w:tcPr>
            <w:tcW w:w="88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Valley/7770</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20" w:type="dxa"/>
            <w:vAlign w:val="bottom"/>
          </w:tcPr>
          <w:p>
            <w:pPr>
              <w:spacing w:after="0"/>
              <w:rPr>
                <w:sz w:val="11"/>
                <w:szCs w:val="11"/>
                <w:color w:val="auto"/>
              </w:rPr>
            </w:pPr>
          </w:p>
        </w:tc>
      </w:tr>
      <w:tr>
        <w:trPr>
          <w:trHeight w:val="135"/>
        </w:trPr>
        <w:tc>
          <w:tcPr>
            <w:tcW w:w="88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Richmond</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Hwy</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8,617</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 / Planet Fitness</w:t>
            </w:r>
          </w:p>
        </w:tc>
      </w:tr>
      <w:tr>
        <w:trPr>
          <w:trHeight w:val="17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Mill</w:t>
            </w: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Pan Am</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29,391</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Safeway</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Micro Center / CVS / Michaels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6"/>
              </w:rPr>
              <w:t>Pentagon Row</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104,445</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 / Bed, Bath &amp; Beyond / DSW</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Pike &amp; Rose</w:t>
            </w:r>
          </w:p>
        </w:tc>
        <w:tc>
          <w:tcPr>
            <w:tcW w:w="340" w:type="dxa"/>
            <w:vAlign w:val="bottom"/>
          </w:tcPr>
          <w:p>
            <w:pPr>
              <w:ind w:left="100"/>
              <w:spacing w:after="0" w:line="148" w:lineRule="exact"/>
              <w:rPr>
                <w:sz w:val="20"/>
                <w:szCs w:val="20"/>
                <w:color w:val="auto"/>
              </w:rPr>
            </w:pPr>
            <w:r>
              <w:rPr>
                <w:rFonts w:ascii="Arial" w:cs="Arial" w:eastAsia="Arial" w:hAnsi="Arial"/>
                <w:sz w:val="13"/>
                <w:szCs w:val="13"/>
                <w:color w:val="auto"/>
              </w:rPr>
              <w:t>(4)</w:t>
            </w: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566,288</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433,000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765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iPic Theater / Porsche / H &amp; M / REI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Pinstripes / Multiple Restaurants</w:t>
            </w: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47,950</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TJ Maxx / DSW / Crunch Fitness / Staples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Plaza del</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46,398</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Mercado</w:t>
            </w: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Quince</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39,115</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267,000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19,000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HomeGoods / L.A. Fitness / Staples</w:t>
            </w:r>
          </w:p>
        </w:tc>
      </w:tr>
      <w:tr>
        <w:trPr>
          <w:trHeight w:val="17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Orchard</w:t>
            </w: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Rockville</w:t>
            </w:r>
          </w:p>
        </w:tc>
        <w:tc>
          <w:tcPr>
            <w:tcW w:w="340" w:type="dxa"/>
            <w:vAlign w:val="bottom"/>
          </w:tcPr>
          <w:p>
            <w:pPr>
              <w:ind w:left="100"/>
              <w:spacing w:after="0" w:line="148" w:lineRule="exact"/>
              <w:rPr>
                <w:sz w:val="20"/>
                <w:szCs w:val="20"/>
                <w:color w:val="auto"/>
              </w:rPr>
            </w:pPr>
            <w:r>
              <w:rPr>
                <w:rFonts w:ascii="Arial" w:cs="Arial" w:eastAsia="Arial" w:hAnsi="Arial"/>
                <w:sz w:val="13"/>
                <w:szCs w:val="13"/>
                <w:color w:val="auto"/>
              </w:rPr>
              <w:t>(6)</w:t>
            </w: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51,801</w:t>
            </w:r>
          </w:p>
        </w:tc>
        <w:tc>
          <w:tcPr>
            <w:tcW w:w="7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4,441</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Dawson's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95"/>
              </w:rPr>
              <w:t>CVS / Gold's Gym / Multiple Restaurants</w:t>
            </w: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Town Square</w:t>
            </w: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Rollingwood</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11,009</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20,457</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N/A</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282</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r>
      <w:tr>
        <w:trPr>
          <w:trHeight w:val="17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Apartments</w:t>
            </w: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Sam's Park &amp;</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13,789</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Shop</w:t>
            </w: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Tower</w:t>
            </w:r>
          </w:p>
        </w:tc>
        <w:tc>
          <w:tcPr>
            <w:tcW w:w="3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22,077</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L.A. Mart</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Talbots / Total Wine &amp; More</w:t>
            </w:r>
          </w:p>
        </w:tc>
      </w:tr>
      <w:tr>
        <w:trPr>
          <w:trHeight w:val="135"/>
        </w:trPr>
        <w:tc>
          <w:tcPr>
            <w:tcW w:w="88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Shopping</w:t>
            </w:r>
          </w:p>
        </w:tc>
        <w:tc>
          <w:tcPr>
            <w:tcW w:w="340" w:type="dxa"/>
            <w:vAlign w:val="bottom"/>
            <w:shd w:val="clear" w:color="auto" w:fill="CCEEFF"/>
          </w:tcPr>
          <w:p>
            <w:pPr>
              <w:spacing w:after="0"/>
              <w:rPr>
                <w:sz w:val="11"/>
                <w:szCs w:val="11"/>
                <w:color w:val="auto"/>
              </w:rPr>
            </w:pPr>
          </w:p>
        </w:tc>
        <w:tc>
          <w:tcPr>
            <w:tcW w:w="25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r>
      <w:tr>
        <w:trPr>
          <w:trHeight w:val="17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Tyson's</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4,673</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11,000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320" w:type="dxa"/>
            <w:vAlign w:val="bottom"/>
          </w:tcPr>
          <w:p>
            <w:pPr>
              <w:spacing w:after="0"/>
              <w:rPr>
                <w:sz w:val="12"/>
                <w:szCs w:val="12"/>
                <w:color w:val="auto"/>
              </w:rPr>
            </w:pPr>
          </w:p>
        </w:tc>
      </w:tr>
      <w:tr>
        <w:trPr>
          <w:trHeight w:val="168"/>
        </w:trPr>
        <w:tc>
          <w:tcPr>
            <w:tcW w:w="880" w:type="dxa"/>
            <w:vAlign w:val="bottom"/>
            <w:gridSpan w:val="3"/>
          </w:tcPr>
          <w:p>
            <w:pPr>
              <w:ind w:left="40"/>
              <w:spacing w:after="0"/>
              <w:rPr>
                <w:sz w:val="20"/>
                <w:szCs w:val="20"/>
                <w:color w:val="auto"/>
              </w:rPr>
            </w:pPr>
            <w:r>
              <w:rPr>
                <w:rFonts w:ascii="Arial" w:cs="Arial" w:eastAsia="Arial" w:hAnsi="Arial"/>
                <w:sz w:val="13"/>
                <w:szCs w:val="13"/>
                <w:color w:val="auto"/>
              </w:rPr>
              <w:t>Station</w:t>
            </w:r>
          </w:p>
        </w:tc>
        <w:tc>
          <w:tcPr>
            <w:tcW w:w="340" w:type="dxa"/>
            <w:vAlign w:val="bottom"/>
          </w:tcPr>
          <w:p>
            <w:pPr>
              <w:spacing w:after="0"/>
              <w:rPr>
                <w:sz w:val="14"/>
                <w:szCs w:val="14"/>
                <w:color w:val="auto"/>
              </w:rPr>
            </w:pPr>
          </w:p>
        </w:tc>
        <w:tc>
          <w:tcPr>
            <w:tcW w:w="2560" w:type="dxa"/>
            <w:vAlign w:val="bottom"/>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Village at</w:t>
            </w:r>
          </w:p>
        </w:tc>
        <w:tc>
          <w:tcPr>
            <w:tcW w:w="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w:t>
            </w: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Washington-Arlington-Alexandria, DC-VA-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65,588</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6,689</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28,000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 Carlyle Grand Café</w:t>
            </w:r>
          </w:p>
        </w:tc>
      </w:tr>
      <w:tr>
        <w:trPr>
          <w:trHeight w:val="17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Shirlington</w:t>
            </w: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MD-WV</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Wildwood</w:t>
            </w:r>
          </w:p>
        </w:tc>
        <w:tc>
          <w:tcPr>
            <w:tcW w:w="340" w:type="dxa"/>
            <w:vAlign w:val="bottom"/>
          </w:tcPr>
          <w:p>
            <w:pPr>
              <w:spacing w:after="0"/>
              <w:rPr>
                <w:sz w:val="12"/>
                <w:szCs w:val="12"/>
                <w:color w:val="auto"/>
              </w:rPr>
            </w:pPr>
          </w:p>
        </w:tc>
        <w:tc>
          <w:tcPr>
            <w:tcW w:w="256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Washington-Arlington-Alexandria, DC-VA-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22,512</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Balducci's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70"/>
        </w:trPr>
        <w:tc>
          <w:tcPr>
            <w:tcW w:w="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56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MD-WV</w:t>
            </w: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Total Washington Metropolitan Area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2,027,699</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6,226,000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w w:val="99"/>
              </w:rPr>
              <w:t>California</w:t>
            </w: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20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CCEEFF"/>
            </w:tcBorders>
            <w:shd w:val="clear" w:color="auto" w:fill="CCEEFF"/>
          </w:tcPr>
          <w:p>
            <w:pPr>
              <w:spacing w:after="0"/>
              <w:rPr>
                <w:sz w:val="8"/>
                <w:szCs w:val="8"/>
                <w:color w:val="auto"/>
              </w:rPr>
            </w:pPr>
          </w:p>
        </w:tc>
      </w:tr>
      <w:tr>
        <w:trPr>
          <w:trHeight w:val="148"/>
        </w:trPr>
        <w:tc>
          <w:tcPr>
            <w:tcW w:w="8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Azalea</w:t>
            </w:r>
          </w:p>
        </w:tc>
        <w:tc>
          <w:tcPr>
            <w:tcW w:w="2900" w:type="dxa"/>
            <w:vAlign w:val="bottom"/>
            <w:gridSpan w:val="3"/>
          </w:tcPr>
          <w:p>
            <w:pPr>
              <w:ind w:left="100"/>
              <w:spacing w:after="0" w:line="148" w:lineRule="exact"/>
              <w:rPr>
                <w:sz w:val="20"/>
                <w:szCs w:val="20"/>
                <w:color w:val="auto"/>
              </w:rPr>
            </w:pPr>
            <w:r>
              <w:rPr>
                <w:rFonts w:ascii="Arial" w:cs="Arial" w:eastAsia="Arial" w:hAnsi="Arial"/>
                <w:sz w:val="13"/>
                <w:szCs w:val="13"/>
                <w:color w:val="auto"/>
              </w:rPr>
              <w:t>(3)   Los Angeles-Long Beach-Anaheim, CA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107,413</w:t>
            </w:r>
          </w:p>
        </w:tc>
        <w:tc>
          <w:tcPr>
            <w:tcW w:w="7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40,000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99"/>
              </w:rPr>
              <w:t>Marshalls / Ross Dress for Less / Ulta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156"/>
        </w:trPr>
        <w:tc>
          <w:tcPr>
            <w:tcW w:w="8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Bell Gardens</w:t>
            </w:r>
          </w:p>
        </w:tc>
        <w:tc>
          <w:tcPr>
            <w:tcW w:w="290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(3)   Los Angeles-Long Beach-Anaheim, CA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99,852</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12,999</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67,000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4 Less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Marshalls / Ross Dress for Less / Petco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Bob's Discount Furniture</w:t>
            </w:r>
          </w:p>
        </w:tc>
      </w:tr>
    </w:tbl>
    <w:p>
      <w:pPr>
        <w:spacing w:after="0" w:line="200" w:lineRule="exact"/>
        <w:rPr>
          <w:sz w:val="20"/>
          <w:szCs w:val="20"/>
          <w:color w:val="auto"/>
        </w:rPr>
      </w:pPr>
    </w:p>
    <w:p>
      <w:pPr>
        <w:sectPr>
          <w:pgSz w:w="11900" w:h="16838" w:orient="portrait"/>
          <w:cols w:equalWidth="0" w:num="1">
            <w:col w:w="11420"/>
          </w:cols>
          <w:pgMar w:left="240" w:top="747" w:right="239" w:bottom="1136"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136"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Property</w:t>
            </w:r>
          </w:p>
        </w:tc>
        <w:tc>
          <w:tcPr>
            <w:tcW w:w="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28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Name</w:t>
            </w:r>
          </w:p>
        </w:tc>
        <w:tc>
          <w:tcPr>
            <w:tcW w:w="4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Acreage</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GLA (2)</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195"/>
        </w:trPr>
        <w:tc>
          <w:tcPr>
            <w:tcW w:w="840" w:type="dxa"/>
            <w:vAlign w:val="bottom"/>
            <w:gridSpan w:val="2"/>
          </w:tcPr>
          <w:p>
            <w:pPr>
              <w:ind w:left="40"/>
              <w:spacing w:after="0"/>
              <w:rPr>
                <w:sz w:val="20"/>
                <w:szCs w:val="20"/>
                <w:color w:val="auto"/>
              </w:rPr>
            </w:pPr>
            <w:r>
              <w:rPr>
                <w:rFonts w:ascii="Arial" w:cs="Arial" w:eastAsia="Arial" w:hAnsi="Arial"/>
                <w:sz w:val="13"/>
                <w:szCs w:val="13"/>
                <w:color w:val="auto"/>
                <w:w w:val="95"/>
              </w:rPr>
              <w:t>Colorado Blvd</w:t>
            </w:r>
          </w:p>
        </w:tc>
        <w:tc>
          <w:tcPr>
            <w:tcW w:w="4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Arial" w:cs="Arial" w:eastAsia="Arial" w:hAnsi="Arial"/>
                <w:sz w:val="13"/>
                <w:szCs w:val="13"/>
                <w:color w:val="auto"/>
              </w:rPr>
              <w:t>Los Angeles-Long Beach-Anaheim, CA</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19,517</w:t>
            </w:r>
          </w:p>
        </w:tc>
        <w:tc>
          <w:tcPr>
            <w:tcW w:w="700" w:type="dxa"/>
            <w:vAlign w:val="bottom"/>
          </w:tcPr>
          <w:p>
            <w:pPr>
              <w:spacing w:after="0"/>
              <w:rPr>
                <w:sz w:val="16"/>
                <w:szCs w:val="16"/>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62,000</w:t>
            </w: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3"/>
                <w:szCs w:val="13"/>
                <w:color w:val="auto"/>
              </w:rPr>
              <w:t>Pottery Barn / Banana Republic</w:t>
            </w:r>
          </w:p>
        </w:tc>
      </w:tr>
      <w:tr>
        <w:trPr>
          <w:trHeight w:val="97"/>
        </w:trPr>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8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Crow Canyon</w:t>
            </w:r>
          </w:p>
        </w:tc>
        <w:tc>
          <w:tcPr>
            <w:tcW w:w="46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San Francisco-Oakland-Hayward, CA</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90,847</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241,000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32,000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Sprouts</w:t>
            </w:r>
          </w:p>
        </w:tc>
        <w:tc>
          <w:tcPr>
            <w:tcW w:w="22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0"/>
              </w:rPr>
              <w:t>Orchard Supply Hardware / Rite Aid / Total</w:t>
            </w:r>
          </w:p>
        </w:tc>
      </w:tr>
      <w:tr>
        <w:trPr>
          <w:trHeight w:val="17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Commons</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Wine &amp; More</w:t>
            </w: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East Bay</w:t>
            </w:r>
          </w:p>
        </w:tc>
        <w:tc>
          <w:tcPr>
            <w:tcW w:w="460" w:type="dxa"/>
            <w:vAlign w:val="bottom"/>
          </w:tcPr>
          <w:p>
            <w:pPr>
              <w:spacing w:after="0"/>
              <w:rPr>
                <w:sz w:val="12"/>
                <w:szCs w:val="12"/>
                <w:color w:val="auto"/>
              </w:rPr>
            </w:pP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San Francisco-Oakland-Hayward, CA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178,958</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441,000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59,000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w w:val="99"/>
              </w:rPr>
              <w:t>Home Depot / Target / Nordstrom Rack</w:t>
            </w:r>
          </w:p>
        </w:tc>
      </w:tr>
      <w:tr>
        <w:trPr>
          <w:trHeight w:val="168"/>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Bridge</w:t>
            </w: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Escondido</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San Diego-Carlsbad, CA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50,038</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TJ Maxx / Dick’s Sporting Goods / Ross</w:t>
            </w:r>
          </w:p>
        </w:tc>
      </w:tr>
      <w:tr>
        <w:trPr>
          <w:trHeight w:val="17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Promenade</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Dress For Less</w:t>
            </w:r>
          </w:p>
        </w:tc>
      </w:tr>
      <w:tr>
        <w:trPr>
          <w:trHeight w:val="173"/>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Fourth Street</w:t>
            </w:r>
          </w:p>
        </w:tc>
        <w:tc>
          <w:tcPr>
            <w:tcW w:w="460" w:type="dxa"/>
            <w:vAlign w:val="bottom"/>
          </w:tcPr>
          <w:p>
            <w:pPr>
              <w:jc w:val="center"/>
              <w:spacing w:after="0"/>
              <w:rPr>
                <w:sz w:val="20"/>
                <w:szCs w:val="20"/>
                <w:color w:val="auto"/>
              </w:rPr>
            </w:pPr>
            <w:r>
              <w:rPr>
                <w:rFonts w:ascii="Arial" w:cs="Arial" w:eastAsia="Arial" w:hAnsi="Arial"/>
                <w:sz w:val="13"/>
                <w:szCs w:val="13"/>
                <w:color w:val="auto"/>
                <w:w w:val="87"/>
              </w:rPr>
              <w:t>(3)</w:t>
            </w:r>
          </w:p>
        </w:tc>
        <w:tc>
          <w:tcPr>
            <w:tcW w:w="2480" w:type="dxa"/>
            <w:vAlign w:val="bottom"/>
          </w:tcPr>
          <w:p>
            <w:pPr>
              <w:spacing w:after="0"/>
              <w:rPr>
                <w:sz w:val="20"/>
                <w:szCs w:val="20"/>
                <w:color w:val="auto"/>
              </w:rPr>
            </w:pPr>
            <w:r>
              <w:rPr>
                <w:rFonts w:ascii="Arial" w:cs="Arial" w:eastAsia="Arial" w:hAnsi="Arial"/>
                <w:sz w:val="13"/>
                <w:szCs w:val="13"/>
                <w:color w:val="auto"/>
              </w:rPr>
              <w:t>San Francisco-Oakland-Hayward, CA</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23,965</w:t>
            </w:r>
          </w:p>
        </w:tc>
        <w:tc>
          <w:tcPr>
            <w:tcW w:w="70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71,000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55%</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Arial" w:cs="Arial" w:eastAsia="Arial" w:hAnsi="Arial"/>
                <w:sz w:val="13"/>
                <w:szCs w:val="13"/>
                <w:color w:val="auto"/>
              </w:rPr>
              <w:t>CB2 / Ingram Book Group</w:t>
            </w:r>
          </w:p>
        </w:tc>
      </w:tr>
      <w:tr>
        <w:trPr>
          <w:trHeight w:val="97"/>
        </w:trPr>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48"/>
        </w:trPr>
        <w:tc>
          <w:tcPr>
            <w:tcW w:w="8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Hastings</w:t>
            </w:r>
          </w:p>
        </w:tc>
        <w:tc>
          <w:tcPr>
            <w:tcW w:w="46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Los Angeles-Long Beach-Anaheim, CA</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22,658</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273,000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Marshalls / HomeGoods / CVS / Sears</w:t>
            </w:r>
          </w:p>
        </w:tc>
      </w:tr>
      <w:tr>
        <w:trPr>
          <w:trHeight w:val="17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Ranch Plaza</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Hermosa</w:t>
            </w:r>
          </w:p>
        </w:tc>
        <w:tc>
          <w:tcPr>
            <w:tcW w:w="460" w:type="dxa"/>
            <w:vAlign w:val="bottom"/>
          </w:tcPr>
          <w:p>
            <w:pPr>
              <w:spacing w:after="0"/>
              <w:rPr>
                <w:sz w:val="12"/>
                <w:szCs w:val="12"/>
                <w:color w:val="auto"/>
              </w:rPr>
            </w:pP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Los Angeles-Long Beach-Anaheim, CA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6,225</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&lt;1</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81%</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8"/>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Avenue</w:t>
            </w: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Hollywood</w:t>
            </w:r>
          </w:p>
        </w:tc>
        <w:tc>
          <w:tcPr>
            <w:tcW w:w="46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Los Angeles-Long Beach-Anaheim, CA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46,333</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Marshalls / L.A. Fitness / La La Land</w:t>
            </w:r>
          </w:p>
        </w:tc>
      </w:tr>
      <w:tr>
        <w:trPr>
          <w:trHeight w:val="17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Blvd</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Jordan Downs</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87"/>
              </w:rPr>
              <w:t>(7)</w:t>
            </w: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Los Angeles-Long Beach-Anaheim, CA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9,481</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N/A</w:t>
            </w:r>
          </w:p>
        </w:tc>
        <w:tc>
          <w:tcPr>
            <w:tcW w:w="460" w:type="dxa"/>
            <w:vAlign w:val="bottom"/>
          </w:tcPr>
          <w:p>
            <w:pPr>
              <w:jc w:val="right"/>
              <w:ind w:right="77"/>
              <w:spacing w:after="0" w:line="148" w:lineRule="exact"/>
              <w:rPr>
                <w:sz w:val="20"/>
                <w:szCs w:val="20"/>
                <w:color w:val="auto"/>
              </w:rPr>
            </w:pPr>
            <w:r>
              <w:rPr>
                <w:rFonts w:ascii="Arial" w:cs="Arial" w:eastAsia="Arial" w:hAnsi="Arial"/>
                <w:sz w:val="13"/>
                <w:szCs w:val="13"/>
                <w:color w:val="auto"/>
              </w:rPr>
              <w:t>N/A</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68"/>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Plaza</w:t>
            </w: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Kings Court</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San Jose-Sunnyvale-Santa Clara, CA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11,598</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31,000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Lunardi's</w:t>
            </w: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w w:val="97"/>
              </w:rPr>
              <w:t>Super Market</w:t>
            </w:r>
          </w:p>
        </w:tc>
        <w:tc>
          <w:tcPr>
            <w:tcW w:w="2280" w:type="dxa"/>
            <w:vAlign w:val="bottom"/>
            <w:shd w:val="clear" w:color="auto" w:fill="CCEEFF"/>
          </w:tcPr>
          <w:p>
            <w:pPr>
              <w:spacing w:after="0"/>
              <w:rPr>
                <w:sz w:val="15"/>
                <w:szCs w:val="15"/>
                <w:color w:val="auto"/>
              </w:rPr>
            </w:pP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Old Town</w:t>
            </w:r>
          </w:p>
        </w:tc>
        <w:tc>
          <w:tcPr>
            <w:tcW w:w="460" w:type="dxa"/>
            <w:vAlign w:val="bottom"/>
          </w:tcPr>
          <w:p>
            <w:pPr>
              <w:spacing w:after="0"/>
              <w:rPr>
                <w:sz w:val="12"/>
                <w:szCs w:val="12"/>
                <w:color w:val="auto"/>
              </w:rPr>
            </w:pP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San Jose-Sunnyvale-Santa Clara, CA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35,844</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98,000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86%</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w w:val="99"/>
              </w:rPr>
              <w:t>Anthropologie / Banana Republic / Gap</w:t>
            </w:r>
          </w:p>
        </w:tc>
      </w:tr>
      <w:tr>
        <w:trPr>
          <w:trHeight w:val="168"/>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Olivo at</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Los Angeles-Long Beach-Anaheim, CA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75,854</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Target / 24 Hour Fitness / Fallas Stores</w:t>
            </w:r>
          </w:p>
        </w:tc>
      </w:tr>
      <w:tr>
        <w:trPr>
          <w:trHeight w:val="17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Mission Hills</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73"/>
        </w:trPr>
        <w:tc>
          <w:tcPr>
            <w:tcW w:w="840" w:type="dxa"/>
            <w:vAlign w:val="bottom"/>
            <w:gridSpan w:val="2"/>
          </w:tcPr>
          <w:p>
            <w:pPr>
              <w:ind w:left="40"/>
              <w:spacing w:after="0"/>
              <w:rPr>
                <w:sz w:val="20"/>
                <w:szCs w:val="20"/>
                <w:color w:val="auto"/>
              </w:rPr>
            </w:pPr>
            <w:r>
              <w:rPr>
                <w:rFonts w:ascii="Arial" w:cs="Arial" w:eastAsia="Arial" w:hAnsi="Arial"/>
                <w:sz w:val="13"/>
                <w:szCs w:val="13"/>
                <w:color w:val="auto"/>
                <w:w w:val="99"/>
              </w:rPr>
              <w:t>Plaza Del Sol</w:t>
            </w:r>
          </w:p>
        </w:tc>
        <w:tc>
          <w:tcPr>
            <w:tcW w:w="460" w:type="dxa"/>
            <w:vAlign w:val="bottom"/>
          </w:tcPr>
          <w:p>
            <w:pPr>
              <w:jc w:val="center"/>
              <w:spacing w:after="0"/>
              <w:rPr>
                <w:sz w:val="20"/>
                <w:szCs w:val="20"/>
                <w:color w:val="auto"/>
              </w:rPr>
            </w:pPr>
            <w:r>
              <w:rPr>
                <w:rFonts w:ascii="Arial" w:cs="Arial" w:eastAsia="Arial" w:hAnsi="Arial"/>
                <w:sz w:val="13"/>
                <w:szCs w:val="13"/>
                <w:color w:val="auto"/>
                <w:w w:val="87"/>
              </w:rPr>
              <w:t>(3)</w:t>
            </w:r>
          </w:p>
        </w:tc>
        <w:tc>
          <w:tcPr>
            <w:tcW w:w="2480" w:type="dxa"/>
            <w:vAlign w:val="bottom"/>
          </w:tcPr>
          <w:p>
            <w:pPr>
              <w:spacing w:after="0"/>
              <w:rPr>
                <w:sz w:val="20"/>
                <w:szCs w:val="20"/>
                <w:color w:val="auto"/>
              </w:rPr>
            </w:pPr>
            <w:r>
              <w:rPr>
                <w:rFonts w:ascii="Arial" w:cs="Arial" w:eastAsia="Arial" w:hAnsi="Arial"/>
                <w:sz w:val="13"/>
                <w:szCs w:val="13"/>
                <w:color w:val="auto"/>
              </w:rPr>
              <w:t>Los Angeles-Long Beach-Anaheim, CA</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17,934</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8,453</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48,000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Arial" w:cs="Arial" w:eastAsia="Arial" w:hAnsi="Arial"/>
                <w:sz w:val="13"/>
                <w:szCs w:val="13"/>
                <w:color w:val="auto"/>
              </w:rPr>
              <w:t>Marshalls</w:t>
            </w:r>
          </w:p>
        </w:tc>
      </w:tr>
      <w:tr>
        <w:trPr>
          <w:trHeight w:val="97"/>
        </w:trPr>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73"/>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9"/>
              </w:rPr>
              <w:t>Plaza Pacoima</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Los Angeles-Long Beach-Anaheim, CA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50,359</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204,000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Costco / Best Buy</w:t>
            </w:r>
          </w:p>
        </w:tc>
      </w:tr>
      <w:tr>
        <w:trPr>
          <w:trHeight w:val="97"/>
        </w:trPr>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Plaza El</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87"/>
              </w:rPr>
              <w:t>(3)</w:t>
            </w: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Los Angeles-Long Beach-Anaheim, CA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285,135</w:t>
            </w:r>
          </w:p>
        </w:tc>
        <w:tc>
          <w:tcPr>
            <w:tcW w:w="7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125,000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495,000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66,000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w w:val="99"/>
              </w:rPr>
              <w:t>Whole Foods</w:t>
            </w: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rPr>
              <w:t>Anthropologie / HomeGoods / Dick's</w:t>
            </w:r>
          </w:p>
        </w:tc>
      </w:tr>
      <w:tr>
        <w:trPr>
          <w:trHeight w:val="135"/>
        </w:trPr>
        <w:tc>
          <w:tcPr>
            <w:tcW w:w="84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1"/>
              </w:rPr>
              <w:t>Segundo / The</w:t>
            </w:r>
          </w:p>
        </w:tc>
        <w:tc>
          <w:tcPr>
            <w:tcW w:w="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80" w:type="dxa"/>
            <w:vAlign w:val="bottom"/>
          </w:tcPr>
          <w:p>
            <w:pPr>
              <w:ind w:left="20"/>
              <w:spacing w:after="0" w:line="135" w:lineRule="exact"/>
              <w:rPr>
                <w:sz w:val="20"/>
                <w:szCs w:val="20"/>
                <w:color w:val="auto"/>
              </w:rPr>
            </w:pPr>
            <w:r>
              <w:rPr>
                <w:rFonts w:ascii="Arial" w:cs="Arial" w:eastAsia="Arial" w:hAnsi="Arial"/>
                <w:sz w:val="13"/>
                <w:szCs w:val="13"/>
                <w:color w:val="auto"/>
              </w:rPr>
              <w:t>Sporting Goods / Multiple Restaurants</w:t>
            </w:r>
          </w:p>
        </w:tc>
      </w:tr>
      <w:tr>
        <w:trPr>
          <w:trHeight w:val="168"/>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Point</w:t>
            </w: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Santana Row</w:t>
            </w:r>
          </w:p>
        </w:tc>
        <w:tc>
          <w:tcPr>
            <w:tcW w:w="46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San Jose-Sunnyvale-Santa Clara, CA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935,930</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662</w:t>
            </w: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Crate &amp; Barrel / H&amp;M / Container Store /</w:t>
            </w:r>
          </w:p>
        </w:tc>
      </w:tr>
      <w:tr>
        <w:trPr>
          <w:trHeight w:val="176"/>
        </w:trPr>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Multiple Restaurants</w:t>
            </w: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Antonio</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San Jose-Sunnyvale-Santa Clara, CA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73,905</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33</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11,000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rPr>
              <w:t>Walmart / Kohl's / 24 Hour Fitness</w:t>
            </w:r>
          </w:p>
        </w:tc>
      </w:tr>
      <w:tr>
        <w:trPr>
          <w:trHeight w:val="168"/>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Sylmar Towne</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Los Angeles-Long Beach-Anaheim, CA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43,531</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17,097</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43,000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Food 4 Less</w:t>
            </w: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CVS</w:t>
            </w:r>
          </w:p>
        </w:tc>
      </w:tr>
      <w:tr>
        <w:trPr>
          <w:trHeight w:val="17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Third Street</w:t>
            </w:r>
          </w:p>
        </w:tc>
        <w:tc>
          <w:tcPr>
            <w:tcW w:w="460" w:type="dxa"/>
            <w:vAlign w:val="bottom"/>
          </w:tcPr>
          <w:p>
            <w:pPr>
              <w:spacing w:after="0"/>
              <w:rPr>
                <w:sz w:val="12"/>
                <w:szCs w:val="12"/>
                <w:color w:val="auto"/>
              </w:rPr>
            </w:pP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Los Angeles-Long Beach-Anaheim, CA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80,409</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rPr>
              <w:t>Banana Republic / Old Navy / J. Crew</w:t>
            </w:r>
          </w:p>
        </w:tc>
      </w:tr>
      <w:tr>
        <w:trPr>
          <w:trHeight w:val="168"/>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Promenade</w:t>
            </w: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Westgate</w:t>
            </w:r>
          </w:p>
        </w:tc>
        <w:tc>
          <w:tcPr>
            <w:tcW w:w="46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San Jose-Sunnyvale-Santa Clara, CA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155,917</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652,000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38,000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Walmart</w:t>
            </w: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Target / Nordstrom Rack / Nike Factory /</w:t>
            </w:r>
          </w:p>
        </w:tc>
      </w:tr>
      <w:tr>
        <w:trPr>
          <w:trHeight w:val="135"/>
        </w:trPr>
        <w:tc>
          <w:tcPr>
            <w:tcW w:w="8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Center</w:t>
            </w:r>
          </w:p>
        </w:tc>
        <w:tc>
          <w:tcPr>
            <w:tcW w:w="46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3"/>
              </w:rPr>
              <w:t>Neighborhood</w:t>
            </w:r>
          </w:p>
        </w:tc>
        <w:tc>
          <w:tcPr>
            <w:tcW w:w="2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TJ Maxx</w:t>
            </w:r>
          </w:p>
        </w:tc>
      </w:tr>
      <w:tr>
        <w:trPr>
          <w:trHeight w:val="176"/>
        </w:trPr>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28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Arial" w:cs="Arial" w:eastAsia="Arial" w:hAnsi="Arial"/>
                <w:sz w:val="13"/>
                <w:szCs w:val="13"/>
                <w:b w:val="1"/>
                <w:bCs w:val="1"/>
                <w:color w:val="auto"/>
              </w:rPr>
              <w:t>Total California</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2,421,703</w:t>
            </w:r>
          </w:p>
        </w:tc>
        <w:tc>
          <w:tcPr>
            <w:tcW w:w="70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5,443,000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96%</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1260" w:type="dxa"/>
            <w:vAlign w:val="bottom"/>
            <w:gridSpan w:val="2"/>
          </w:tcPr>
          <w:p>
            <w:pPr>
              <w:spacing w:after="0"/>
              <w:rPr>
                <w:sz w:val="7"/>
                <w:szCs w:val="7"/>
                <w:color w:val="auto"/>
              </w:rPr>
            </w:pPr>
          </w:p>
        </w:tc>
        <w:tc>
          <w:tcPr>
            <w:tcW w:w="2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8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89"/>
              </w:rPr>
              <w:t>NY Metro/New Jersey</w:t>
            </w:r>
          </w:p>
        </w:tc>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73"/>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Brick Plaza</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New York-Newark-Jersey City, NY-NJ-PA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81,851</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406,000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AMC / HomeGoods / Ulta / DSW</w:t>
            </w:r>
          </w:p>
        </w:tc>
      </w:tr>
      <w:tr>
        <w:trPr>
          <w:trHeight w:val="97"/>
        </w:trPr>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73"/>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Brook 35</w:t>
            </w:r>
          </w:p>
        </w:tc>
        <w:tc>
          <w:tcPr>
            <w:tcW w:w="460" w:type="dxa"/>
            <w:vAlign w:val="bottom"/>
          </w:tcPr>
          <w:p>
            <w:pPr>
              <w:jc w:val="center"/>
              <w:spacing w:after="0"/>
              <w:rPr>
                <w:sz w:val="20"/>
                <w:szCs w:val="20"/>
                <w:color w:val="auto"/>
              </w:rPr>
            </w:pPr>
            <w:r>
              <w:rPr>
                <w:rFonts w:ascii="Arial" w:cs="Arial" w:eastAsia="Arial" w:hAnsi="Arial"/>
                <w:sz w:val="13"/>
                <w:szCs w:val="13"/>
                <w:color w:val="auto"/>
                <w:w w:val="95"/>
              </w:rPr>
              <w:t>(3) (5)</w:t>
            </w:r>
          </w:p>
        </w:tc>
        <w:tc>
          <w:tcPr>
            <w:tcW w:w="2480" w:type="dxa"/>
            <w:vAlign w:val="bottom"/>
          </w:tcPr>
          <w:p>
            <w:pPr>
              <w:spacing w:after="0"/>
              <w:rPr>
                <w:sz w:val="20"/>
                <w:szCs w:val="20"/>
                <w:color w:val="auto"/>
              </w:rPr>
            </w:pPr>
            <w:r>
              <w:rPr>
                <w:rFonts w:ascii="Arial" w:cs="Arial" w:eastAsia="Arial" w:hAnsi="Arial"/>
                <w:sz w:val="13"/>
                <w:szCs w:val="13"/>
                <w:color w:val="auto"/>
              </w:rPr>
              <w:t>New York-Newark-Jersey City, NY-NJ-PA</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47,773</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11,500</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99,000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96%</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Arial" w:cs="Arial" w:eastAsia="Arial" w:hAnsi="Arial"/>
                <w:sz w:val="13"/>
                <w:szCs w:val="13"/>
                <w:color w:val="auto"/>
                <w:w w:val="90"/>
              </w:rPr>
              <w:t>Banana Republic / Gap / Williams-Sonoma</w:t>
            </w:r>
          </w:p>
        </w:tc>
      </w:tr>
      <w:tr>
        <w:trPr>
          <w:trHeight w:val="97"/>
        </w:trPr>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173"/>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Darien</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Bridgeport-Stamford-Norwalk, CT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54,029</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Equinox</w:t>
            </w:r>
          </w:p>
        </w:tc>
      </w:tr>
      <w:tr>
        <w:trPr>
          <w:trHeight w:val="97"/>
        </w:trPr>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Fresh</w:t>
            </w:r>
          </w:p>
        </w:tc>
        <w:tc>
          <w:tcPr>
            <w:tcW w:w="460" w:type="dxa"/>
            <w:vAlign w:val="bottom"/>
          </w:tcPr>
          <w:p>
            <w:pPr>
              <w:spacing w:after="0"/>
              <w:rPr>
                <w:sz w:val="12"/>
                <w:szCs w:val="12"/>
                <w:color w:val="auto"/>
              </w:rPr>
            </w:pP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New York-Newark-Jersey City, NY-NJ-PA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90,960</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404,000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15,000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w w:val="94"/>
              </w:rPr>
              <w:t>Island of Gold</w:t>
            </w: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rPr>
              <w:t>AMC / Kohl's / Michaels</w:t>
            </w:r>
          </w:p>
        </w:tc>
      </w:tr>
      <w:tr>
        <w:trPr>
          <w:trHeight w:val="168"/>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Meadows</w:t>
            </w: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Greenlawn</w:t>
            </w:r>
          </w:p>
        </w:tc>
        <w:tc>
          <w:tcPr>
            <w:tcW w:w="46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New York-Newark-Jersey City, NY-NJ-PA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31,712</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Greenlawn</w:t>
            </w: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Tuesday Morning</w:t>
            </w:r>
          </w:p>
        </w:tc>
      </w:tr>
      <w:tr>
        <w:trPr>
          <w:trHeight w:val="17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Farms</w:t>
            </w:r>
          </w:p>
        </w:tc>
        <w:tc>
          <w:tcPr>
            <w:tcW w:w="2280" w:type="dxa"/>
            <w:vAlign w:val="bottom"/>
            <w:shd w:val="clear" w:color="auto" w:fill="CCEEFF"/>
          </w:tcPr>
          <w:p>
            <w:pPr>
              <w:spacing w:after="0"/>
              <w:rPr>
                <w:sz w:val="15"/>
                <w:szCs w:val="15"/>
                <w:color w:val="auto"/>
              </w:rPr>
            </w:pP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Greenwich</w:t>
            </w:r>
          </w:p>
        </w:tc>
        <w:tc>
          <w:tcPr>
            <w:tcW w:w="460" w:type="dxa"/>
            <w:vAlign w:val="bottom"/>
          </w:tcPr>
          <w:p>
            <w:pPr>
              <w:spacing w:after="0"/>
              <w:rPr>
                <w:sz w:val="12"/>
                <w:szCs w:val="12"/>
                <w:color w:val="auto"/>
              </w:rPr>
            </w:pP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Bridgeport-Stamford-Norwalk, CT</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14,127</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Avenue</w:t>
            </w: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1"/>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New York-Newark-Jersey City, NY-NJ-PA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29,063</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61,000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 Moore</w:t>
            </w:r>
          </w:p>
        </w:tc>
      </w:tr>
      <w:tr>
        <w:trPr>
          <w:trHeight w:val="97"/>
        </w:trPr>
        <w:tc>
          <w:tcPr>
            <w:tcW w:w="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Huntington</w:t>
            </w:r>
          </w:p>
        </w:tc>
        <w:tc>
          <w:tcPr>
            <w:tcW w:w="460" w:type="dxa"/>
            <w:vAlign w:val="bottom"/>
          </w:tcPr>
          <w:p>
            <w:pPr>
              <w:spacing w:after="0"/>
              <w:rPr>
                <w:sz w:val="12"/>
                <w:szCs w:val="12"/>
                <w:color w:val="auto"/>
              </w:rPr>
            </w:pP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New York-Newark-Jersey City, NY-NJ-PA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47,475</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277,000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w w:val="97"/>
              </w:rPr>
              <w:t>Nordstrom Rack / Bed, Bath &amp; Beyond /</w:t>
            </w:r>
          </w:p>
        </w:tc>
      </w:tr>
      <w:tr>
        <w:trPr>
          <w:trHeight w:val="168"/>
        </w:trPr>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ind w:left="20"/>
              <w:spacing w:after="0"/>
              <w:rPr>
                <w:sz w:val="20"/>
                <w:szCs w:val="20"/>
                <w:color w:val="auto"/>
              </w:rPr>
            </w:pPr>
            <w:r>
              <w:rPr>
                <w:rFonts w:ascii="Arial" w:cs="Arial" w:eastAsia="Arial" w:hAnsi="Arial"/>
                <w:sz w:val="13"/>
                <w:szCs w:val="13"/>
                <w:color w:val="auto"/>
              </w:rPr>
              <w:t>Buy Buy Baby / Michaels</w:t>
            </w: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Huntington</w:t>
            </w:r>
          </w:p>
        </w:tc>
        <w:tc>
          <w:tcPr>
            <w:tcW w:w="46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New York-Newark-Jersey City, NY-NJ-PA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12,736</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Barnes &amp; Noble</w:t>
            </w:r>
          </w:p>
        </w:tc>
      </w:tr>
      <w:tr>
        <w:trPr>
          <w:trHeight w:val="17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Square</w:t>
            </w: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Melville Mall</w:t>
            </w:r>
          </w:p>
        </w:tc>
        <w:tc>
          <w:tcPr>
            <w:tcW w:w="460" w:type="dxa"/>
            <w:vAlign w:val="bottom"/>
          </w:tcPr>
          <w:p>
            <w:pPr>
              <w:spacing w:after="0"/>
              <w:rPr>
                <w:sz w:val="12"/>
                <w:szCs w:val="12"/>
                <w:color w:val="auto"/>
              </w:rPr>
            </w:pP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New York-Newark-Jersey City, NY-NJ-PA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90,662</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251,000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53,000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Uncle</w:t>
            </w: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w w:val="91"/>
              </w:rPr>
              <w:t>Marshalls / Dick's Sporting Goods / Field &amp;</w:t>
            </w:r>
          </w:p>
        </w:tc>
      </w:tr>
      <w:tr>
        <w:trPr>
          <w:trHeight w:val="135"/>
        </w:trPr>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3"/>
                <w:szCs w:val="13"/>
                <w:color w:val="auto"/>
              </w:rPr>
              <w:t>Giuseppe's</w:t>
            </w:r>
          </w:p>
        </w:tc>
        <w:tc>
          <w:tcPr>
            <w:tcW w:w="2280" w:type="dxa"/>
            <w:vAlign w:val="bottom"/>
          </w:tcPr>
          <w:p>
            <w:pPr>
              <w:ind w:left="20"/>
              <w:spacing w:after="0" w:line="135" w:lineRule="exact"/>
              <w:rPr>
                <w:sz w:val="20"/>
                <w:szCs w:val="20"/>
                <w:color w:val="auto"/>
              </w:rPr>
            </w:pPr>
            <w:r>
              <w:rPr>
                <w:rFonts w:ascii="Arial" w:cs="Arial" w:eastAsia="Arial" w:hAnsi="Arial"/>
                <w:sz w:val="13"/>
                <w:szCs w:val="13"/>
                <w:color w:val="auto"/>
              </w:rPr>
              <w:t>Stream / Macy's Backstage</w:t>
            </w:r>
          </w:p>
        </w:tc>
      </w:tr>
      <w:tr>
        <w:trPr>
          <w:trHeight w:val="168"/>
        </w:trPr>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Marketplace</w:t>
            </w:r>
          </w:p>
        </w:tc>
        <w:tc>
          <w:tcPr>
            <w:tcW w:w="2280" w:type="dxa"/>
            <w:vAlign w:val="bottom"/>
          </w:tcPr>
          <w:p>
            <w:pPr>
              <w:spacing w:after="0"/>
              <w:rPr>
                <w:sz w:val="14"/>
                <w:szCs w:val="14"/>
                <w:color w:val="auto"/>
              </w:rPr>
            </w:pPr>
          </w:p>
        </w:tc>
      </w:tr>
      <w:tr>
        <w:trPr>
          <w:trHeight w:val="156"/>
        </w:trPr>
        <w:tc>
          <w:tcPr>
            <w:tcW w:w="8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Mercer Mall</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Trenton, NJ</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128,070</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55,492</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TJ Maxx / Nordstrom Rack / Bed, Bath &amp;</w:t>
            </w:r>
          </w:p>
        </w:tc>
      </w:tr>
      <w:tr>
        <w:trPr>
          <w:trHeight w:val="176"/>
        </w:trPr>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Beyond / REI</w:t>
            </w:r>
          </w:p>
        </w:tc>
      </w:tr>
      <w:tr>
        <w:trPr>
          <w:trHeight w:val="148"/>
        </w:trPr>
        <w:tc>
          <w:tcPr>
            <w:tcW w:w="8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The Grove at</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95"/>
              </w:rPr>
              <w:t>(3) (5)</w:t>
            </w:r>
          </w:p>
        </w:tc>
        <w:tc>
          <w:tcPr>
            <w:tcW w:w="2480" w:type="dxa"/>
            <w:vAlign w:val="bottom"/>
          </w:tcPr>
          <w:p>
            <w:pPr>
              <w:spacing w:after="0" w:line="148" w:lineRule="exact"/>
              <w:rPr>
                <w:sz w:val="20"/>
                <w:szCs w:val="20"/>
                <w:color w:val="auto"/>
              </w:rPr>
            </w:pPr>
            <w:r>
              <w:rPr>
                <w:rFonts w:ascii="Arial" w:cs="Arial" w:eastAsia="Arial" w:hAnsi="Arial"/>
                <w:sz w:val="13"/>
                <w:szCs w:val="13"/>
                <w:color w:val="auto"/>
              </w:rPr>
              <w:t>New York-Newark-Jersey City, NY-NJ-PA</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125,001</w:t>
            </w:r>
          </w:p>
        </w:tc>
        <w:tc>
          <w:tcPr>
            <w:tcW w:w="7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43,600</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192,000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ind w:left="20"/>
              <w:spacing w:after="0" w:line="148" w:lineRule="exact"/>
              <w:rPr>
                <w:sz w:val="20"/>
                <w:szCs w:val="20"/>
                <w:color w:val="auto"/>
              </w:rPr>
            </w:pPr>
            <w:r>
              <w:rPr>
                <w:rFonts w:ascii="Arial" w:cs="Arial" w:eastAsia="Arial" w:hAnsi="Arial"/>
                <w:sz w:val="13"/>
                <w:szCs w:val="13"/>
                <w:color w:val="auto"/>
                <w:w w:val="92"/>
              </w:rPr>
              <w:t>Lululemon / Anthropologie / Pottery Barn /</w:t>
            </w:r>
          </w:p>
        </w:tc>
      </w:tr>
      <w:tr>
        <w:trPr>
          <w:trHeight w:val="160"/>
        </w:trPr>
        <w:tc>
          <w:tcPr>
            <w:tcW w:w="840" w:type="dxa"/>
            <w:vAlign w:val="bottom"/>
            <w:gridSpan w:val="2"/>
          </w:tcPr>
          <w:p>
            <w:pPr>
              <w:ind w:left="40"/>
              <w:spacing w:after="0"/>
              <w:rPr>
                <w:sz w:val="20"/>
                <w:szCs w:val="20"/>
                <w:color w:val="auto"/>
              </w:rPr>
            </w:pPr>
            <w:r>
              <w:rPr>
                <w:rFonts w:ascii="Arial" w:cs="Arial" w:eastAsia="Arial" w:hAnsi="Arial"/>
                <w:sz w:val="13"/>
                <w:szCs w:val="13"/>
                <w:color w:val="auto"/>
              </w:rPr>
              <w:t>Shrewsbury</w:t>
            </w:r>
          </w:p>
        </w:tc>
        <w:tc>
          <w:tcPr>
            <w:tcW w:w="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80" w:type="dxa"/>
            <w:vAlign w:val="bottom"/>
          </w:tcPr>
          <w:p>
            <w:pPr>
              <w:ind w:left="20"/>
              <w:spacing w:after="0"/>
              <w:rPr>
                <w:sz w:val="20"/>
                <w:szCs w:val="20"/>
                <w:color w:val="auto"/>
              </w:rPr>
            </w:pPr>
            <w:r>
              <w:rPr>
                <w:rFonts w:ascii="Arial" w:cs="Arial" w:eastAsia="Arial" w:hAnsi="Arial"/>
                <w:sz w:val="13"/>
                <w:szCs w:val="13"/>
                <w:color w:val="auto"/>
              </w:rPr>
              <w:t>Williams-Sonoma</w:t>
            </w: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800" w:type="dxa"/>
            <w:vAlign w:val="bottom"/>
            <w:gridSpan w:val="6"/>
          </w:tcPr>
          <w:p>
            <w:pPr>
              <w:ind w:left="140"/>
              <w:spacing w:after="0" w:line="135" w:lineRule="exact"/>
              <w:rPr>
                <w:sz w:val="20"/>
                <w:szCs w:val="20"/>
                <w:color w:val="auto"/>
              </w:rPr>
            </w:pPr>
            <w:r>
              <w:rPr>
                <w:rFonts w:ascii="Arial" w:cs="Arial" w:eastAsia="Arial" w:hAnsi="Arial"/>
                <w:sz w:val="13"/>
                <w:szCs w:val="13"/>
                <w:b w:val="1"/>
                <w:bCs w:val="1"/>
                <w:color w:val="auto"/>
              </w:rPr>
              <w:t>Property</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6"/>
          </w:tcPr>
          <w:p>
            <w:pPr>
              <w:ind w:left="220"/>
              <w:spacing w:after="0"/>
              <w:rPr>
                <w:sz w:val="20"/>
                <w:szCs w:val="20"/>
                <w:color w:val="auto"/>
              </w:rPr>
            </w:pPr>
            <w:r>
              <w:rPr>
                <w:rFonts w:ascii="Arial" w:cs="Arial" w:eastAsia="Arial" w:hAnsi="Arial"/>
                <w:sz w:val="13"/>
                <w:szCs w:val="13"/>
                <w:b w:val="1"/>
                <w:bCs w:val="1"/>
                <w:color w:val="auto"/>
              </w:rPr>
              <w:t>Name</w:t>
            </w: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MSA Description</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7"/>
              </w:rPr>
              <w:t>Acreage</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(2)</w:t>
            </w:r>
          </w:p>
        </w:tc>
        <w:tc>
          <w:tcPr>
            <w:tcW w:w="4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70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22"/>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73"/>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Troy</w:t>
            </w:r>
          </w:p>
        </w:tc>
        <w:tc>
          <w:tcPr>
            <w:tcW w:w="4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 York-Newark-Jersey City, NY-NJ-PA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38,168</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Target / L.A. Fitness / Michaels</w:t>
            </w:r>
          </w:p>
        </w:tc>
      </w:tr>
      <w:tr>
        <w:trPr>
          <w:trHeight w:val="97"/>
        </w:trPr>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791,627</w:t>
            </w:r>
          </w:p>
        </w:tc>
        <w:tc>
          <w:tcPr>
            <w:tcW w:w="70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2,815,000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95%</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3"/>
          </w:tcPr>
          <w:p>
            <w:pPr>
              <w:spacing w:after="0"/>
              <w:rPr>
                <w:sz w:val="7"/>
                <w:szCs w:val="7"/>
                <w:color w:val="auto"/>
              </w:rPr>
            </w:pPr>
          </w:p>
        </w:tc>
        <w:tc>
          <w:tcPr>
            <w:tcW w:w="19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2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3740" w:type="dxa"/>
            <w:vAlign w:val="bottom"/>
            <w:gridSpan w:val="9"/>
            <w:shd w:val="clear" w:color="auto" w:fill="CCEEFF"/>
          </w:tcPr>
          <w:p>
            <w:pPr>
              <w:ind w:left="60"/>
              <w:spacing w:after="0"/>
              <w:rPr>
                <w:sz w:val="20"/>
                <w:szCs w:val="20"/>
                <w:color w:val="auto"/>
              </w:rPr>
            </w:pPr>
            <w:r>
              <w:rPr>
                <w:rFonts w:ascii="Arial" w:cs="Arial" w:eastAsia="Arial" w:hAnsi="Arial"/>
                <w:sz w:val="13"/>
                <w:szCs w:val="13"/>
                <w:b w:val="1"/>
                <w:bCs w:val="1"/>
                <w:color w:val="auto"/>
              </w:rPr>
              <w:t>Philadelphia Metropolitan Area</w:t>
            </w: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9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CCEEFF"/>
            </w:tcBorders>
            <w:shd w:val="clear" w:color="auto" w:fill="CCEEFF"/>
          </w:tcPr>
          <w:p>
            <w:pPr>
              <w:spacing w:after="0"/>
              <w:rPr>
                <w:sz w:val="8"/>
                <w:szCs w:val="8"/>
                <w:color w:val="auto"/>
              </w:rPr>
            </w:pP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Andorra</w:t>
            </w:r>
          </w:p>
        </w:tc>
        <w:tc>
          <w:tcPr>
            <w:tcW w:w="420" w:type="dxa"/>
            <w:vAlign w:val="bottom"/>
          </w:tcPr>
          <w:p>
            <w:pPr>
              <w:spacing w:after="0"/>
              <w:rPr>
                <w:sz w:val="12"/>
                <w:szCs w:val="12"/>
                <w:color w:val="auto"/>
              </w:rPr>
            </w:pP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PA-NJ-DE-</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25,895</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265,000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24,000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Kohl's / L.A. Fitness / Staples</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Markets</w:t>
            </w:r>
          </w:p>
        </w:tc>
        <w:tc>
          <w:tcPr>
            <w:tcW w:w="2320" w:type="dxa"/>
            <w:vAlign w:val="bottom"/>
          </w:tcPr>
          <w:p>
            <w:pPr>
              <w:spacing w:after="0"/>
              <w:rPr>
                <w:sz w:val="14"/>
                <w:szCs w:val="14"/>
                <w:color w:val="auto"/>
              </w:rPr>
            </w:pPr>
          </w:p>
        </w:tc>
      </w:tr>
      <w:tr>
        <w:trPr>
          <w:trHeight w:val="15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420" w:type="dxa"/>
            <w:vAlign w:val="bottom"/>
            <w:shd w:val="clear" w:color="auto" w:fill="CCEEFF"/>
          </w:tcPr>
          <w:p>
            <w:pPr>
              <w:spacing w:after="0"/>
              <w:rPr>
                <w:sz w:val="13"/>
                <w:szCs w:val="13"/>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Philadelphia-Camden-Wilmington, PA-NJ-DE-</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42,188</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Michaels / L.A. Fitness</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20" w:type="dxa"/>
            <w:vAlign w:val="bottom"/>
            <w:shd w:val="clear" w:color="auto" w:fill="CCEEFF"/>
          </w:tcPr>
          <w:p>
            <w:pPr>
              <w:spacing w:after="0"/>
              <w:rPr>
                <w:sz w:val="15"/>
                <w:szCs w:val="15"/>
                <w:color w:val="auto"/>
              </w:rPr>
            </w:pP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Ellisburg</w:t>
            </w:r>
          </w:p>
        </w:tc>
        <w:tc>
          <w:tcPr>
            <w:tcW w:w="420" w:type="dxa"/>
            <w:vAlign w:val="bottom"/>
          </w:tcPr>
          <w:p>
            <w:pPr>
              <w:spacing w:after="0"/>
              <w:rPr>
                <w:sz w:val="12"/>
                <w:szCs w:val="12"/>
                <w:color w:val="auto"/>
              </w:rPr>
            </w:pP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PA-NJ-DE-</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34,564</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268,000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47,000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Buy Buy Baby / Stein Mart</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420" w:type="dxa"/>
            <w:vAlign w:val="bottom"/>
            <w:shd w:val="clear" w:color="auto" w:fill="CCEEFF"/>
          </w:tcPr>
          <w:p>
            <w:pPr>
              <w:spacing w:after="0"/>
              <w:rPr>
                <w:sz w:val="13"/>
                <w:szCs w:val="13"/>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Philadelphia-Camden-Wilmington, PA-NJ-DE-</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16,979</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Movie Tavern</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Langhorne</w:t>
            </w:r>
          </w:p>
        </w:tc>
        <w:tc>
          <w:tcPr>
            <w:tcW w:w="420" w:type="dxa"/>
            <w:vAlign w:val="bottom"/>
          </w:tcPr>
          <w:p>
            <w:pPr>
              <w:spacing w:after="0"/>
              <w:rPr>
                <w:sz w:val="12"/>
                <w:szCs w:val="12"/>
                <w:color w:val="auto"/>
              </w:rPr>
            </w:pP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PA-NJ-DE-</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22,318</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227,000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Marshalls / Planet Fitness</w:t>
            </w:r>
          </w:p>
        </w:tc>
      </w:tr>
      <w:tr>
        <w:trPr>
          <w:trHeight w:val="135"/>
        </w:trPr>
        <w:tc>
          <w:tcPr>
            <w:tcW w:w="84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Square</w:t>
            </w:r>
          </w:p>
        </w:tc>
        <w:tc>
          <w:tcPr>
            <w:tcW w:w="420" w:type="dxa"/>
            <w:vAlign w:val="bottom"/>
          </w:tcPr>
          <w:p>
            <w:pPr>
              <w:spacing w:after="0"/>
              <w:rPr>
                <w:sz w:val="11"/>
                <w:szCs w:val="11"/>
                <w:color w:val="auto"/>
              </w:rPr>
            </w:pPr>
          </w:p>
        </w:tc>
        <w:tc>
          <w:tcPr>
            <w:tcW w:w="25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MD</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2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Mkts.</w:t>
            </w:r>
          </w:p>
        </w:tc>
        <w:tc>
          <w:tcPr>
            <w:tcW w:w="2320" w:type="dxa"/>
            <w:vAlign w:val="bottom"/>
          </w:tcPr>
          <w:p>
            <w:pPr>
              <w:spacing w:after="0"/>
              <w:rPr>
                <w:sz w:val="14"/>
                <w:szCs w:val="14"/>
                <w:color w:val="auto"/>
              </w:rPr>
            </w:pPr>
          </w:p>
        </w:tc>
      </w:tr>
      <w:tr>
        <w:trPr>
          <w:trHeight w:val="15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Lawrence</w:t>
            </w:r>
          </w:p>
        </w:tc>
        <w:tc>
          <w:tcPr>
            <w:tcW w:w="420" w:type="dxa"/>
            <w:vAlign w:val="bottom"/>
            <w:shd w:val="clear" w:color="auto" w:fill="CCEEFF"/>
          </w:tcPr>
          <w:p>
            <w:pPr>
              <w:spacing w:after="0"/>
              <w:rPr>
                <w:sz w:val="13"/>
                <w:szCs w:val="13"/>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Philadelphia-Camden-Wilmington, PA-NJ-DE-</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35,273</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53,000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TJ Maxx / HomeGoods / Barnes &amp; Noble</w:t>
            </w:r>
          </w:p>
        </w:tc>
      </w:tr>
      <w:tr>
        <w:trPr>
          <w:trHeight w:val="17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Park</w:t>
            </w:r>
          </w:p>
        </w:tc>
        <w:tc>
          <w:tcPr>
            <w:tcW w:w="4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20" w:type="dxa"/>
            <w:vAlign w:val="bottom"/>
            <w:shd w:val="clear" w:color="auto" w:fill="CCEEFF"/>
          </w:tcPr>
          <w:p>
            <w:pPr>
              <w:spacing w:after="0"/>
              <w:rPr>
                <w:sz w:val="15"/>
                <w:szCs w:val="15"/>
                <w:color w:val="auto"/>
              </w:rPr>
            </w:pP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Northeast</w:t>
            </w:r>
          </w:p>
        </w:tc>
        <w:tc>
          <w:tcPr>
            <w:tcW w:w="420" w:type="dxa"/>
            <w:vAlign w:val="bottom"/>
          </w:tcPr>
          <w:p>
            <w:pPr>
              <w:spacing w:after="0"/>
              <w:rPr>
                <w:sz w:val="12"/>
                <w:szCs w:val="12"/>
                <w:color w:val="auto"/>
              </w:rPr>
            </w:pP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PA-NJ-DE-</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31,619</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288,000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Marshalls / Burlington / A.C. Moore</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Town Center</w:t>
            </w:r>
          </w:p>
        </w:tc>
        <w:tc>
          <w:tcPr>
            <w:tcW w:w="420" w:type="dxa"/>
            <w:vAlign w:val="bottom"/>
            <w:shd w:val="clear" w:color="auto" w:fill="CCEEFF"/>
          </w:tcPr>
          <w:p>
            <w:pPr>
              <w:spacing w:after="0"/>
              <w:rPr>
                <w:sz w:val="13"/>
                <w:szCs w:val="13"/>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Philadelphia-Camden-Wilmington, PA-NJ-DE-</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15,357</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36,000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 / Dollar Tree</w:t>
            </w:r>
          </w:p>
        </w:tc>
      </w:tr>
      <w:tr>
        <w:trPr>
          <w:trHeight w:val="17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6"/>
              </w:rPr>
              <w:t>of New Britain</w:t>
            </w:r>
          </w:p>
        </w:tc>
        <w:tc>
          <w:tcPr>
            <w:tcW w:w="4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Willow Grove</w:t>
            </w:r>
          </w:p>
        </w:tc>
        <w:tc>
          <w:tcPr>
            <w:tcW w:w="420" w:type="dxa"/>
            <w:vAlign w:val="bottom"/>
          </w:tcPr>
          <w:p>
            <w:pPr>
              <w:spacing w:after="0"/>
              <w:rPr>
                <w:sz w:val="12"/>
                <w:szCs w:val="12"/>
                <w:color w:val="auto"/>
              </w:rPr>
            </w:pP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3"/>
              </w:rPr>
              <w:t>Philadelphia-Camden-Wilmington, PA-NJ-DE-</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30,255</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92"/>
              </w:rPr>
              <w:t>Marshalls / HomeGoods / Barnes &amp; Noble</w:t>
            </w:r>
          </w:p>
        </w:tc>
      </w:tr>
      <w:tr>
        <w:trPr>
          <w:trHeight w:val="168"/>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2"/>
          </w:tcPr>
          <w:p>
            <w:pPr>
              <w:ind w:left="40"/>
              <w:spacing w:after="0"/>
              <w:rPr>
                <w:sz w:val="20"/>
                <w:szCs w:val="20"/>
                <w:color w:val="auto"/>
              </w:rPr>
            </w:pPr>
            <w:r>
              <w:rPr>
                <w:rFonts w:ascii="Arial" w:cs="Arial" w:eastAsia="Arial" w:hAnsi="Arial"/>
                <w:sz w:val="13"/>
                <w:szCs w:val="13"/>
                <w:color w:val="auto"/>
              </w:rPr>
              <w:t>MD</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420" w:type="dxa"/>
            <w:vAlign w:val="bottom"/>
            <w:shd w:val="clear" w:color="auto" w:fill="CCEEFF"/>
          </w:tcPr>
          <w:p>
            <w:pPr>
              <w:spacing w:after="0"/>
              <w:rPr>
                <w:sz w:val="13"/>
                <w:szCs w:val="13"/>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3"/>
              </w:rPr>
              <w:t>Philadelphia-Camden-Wilmington, PA-NJ-DE-</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42,898</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98,000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 / DSW</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MD</w:t>
            </w:r>
          </w:p>
        </w:tc>
        <w:tc>
          <w:tcPr>
            <w:tcW w:w="72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Philadelphia Metropolitan Area</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297,346</w:t>
            </w:r>
          </w:p>
        </w:tc>
        <w:tc>
          <w:tcPr>
            <w:tcW w:w="70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2,458,000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95%</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20" w:type="dxa"/>
            <w:vAlign w:val="bottom"/>
          </w:tcPr>
          <w:p>
            <w:pPr>
              <w:spacing w:after="0"/>
              <w:rPr>
                <w:sz w:val="7"/>
                <w:szCs w:val="7"/>
                <w:color w:val="auto"/>
              </w:rPr>
            </w:pPr>
          </w:p>
        </w:tc>
      </w:tr>
      <w:tr>
        <w:trPr>
          <w:trHeight w:val="189"/>
        </w:trPr>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r>
      <w:tr>
        <w:trPr>
          <w:trHeight w:val="149"/>
        </w:trPr>
        <w:tc>
          <w:tcPr>
            <w:tcW w:w="40" w:type="dxa"/>
            <w:vAlign w:val="bottom"/>
          </w:tcPr>
          <w:p>
            <w:pPr>
              <w:spacing w:after="0"/>
              <w:rPr>
                <w:sz w:val="12"/>
                <w:szCs w:val="12"/>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82"/>
              </w:rPr>
              <w:t>New</w:t>
            </w:r>
          </w:p>
        </w:tc>
        <w:tc>
          <w:tcPr>
            <w:tcW w:w="500" w:type="dxa"/>
            <w:vAlign w:val="bottom"/>
            <w:gridSpan w:val="5"/>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15"/>
        </w:trPr>
        <w:tc>
          <w:tcPr>
            <w:tcW w:w="40" w:type="dxa"/>
            <w:vAlign w:val="bottom"/>
          </w:tcPr>
          <w:p>
            <w:pPr>
              <w:spacing w:after="0"/>
              <w:rPr>
                <w:sz w:val="10"/>
                <w:szCs w:val="10"/>
                <w:color w:val="auto"/>
              </w:rPr>
            </w:pPr>
          </w:p>
        </w:tc>
        <w:tc>
          <w:tcPr>
            <w:tcW w:w="800" w:type="dxa"/>
            <w:vAlign w:val="bottom"/>
            <w:gridSpan w:val="6"/>
          </w:tcPr>
          <w:p>
            <w:pPr>
              <w:spacing w:after="0" w:line="115" w:lineRule="exact"/>
              <w:rPr>
                <w:sz w:val="20"/>
                <w:szCs w:val="20"/>
                <w:color w:val="auto"/>
              </w:rPr>
            </w:pPr>
            <w:r>
              <w:rPr>
                <w:rFonts w:ascii="Arial" w:cs="Arial" w:eastAsia="Arial" w:hAnsi="Arial"/>
                <w:sz w:val="13"/>
                <w:szCs w:val="13"/>
                <w:b w:val="1"/>
                <w:bCs w:val="1"/>
                <w:color w:val="auto"/>
              </w:rPr>
              <w:t>England</w:t>
            </w: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320" w:type="dxa"/>
            <w:vAlign w:val="bottom"/>
          </w:tcPr>
          <w:p>
            <w:pPr>
              <w:spacing w:after="0"/>
              <w:rPr>
                <w:sz w:val="10"/>
                <w:szCs w:val="10"/>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48"/>
        </w:trPr>
        <w:tc>
          <w:tcPr>
            <w:tcW w:w="84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Assembly</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25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686,630</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878,000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447</w:t>
            </w: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3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TJ Maxx / AMC / LEGOLAND Discovery</w:t>
            </w:r>
          </w:p>
        </w:tc>
      </w:tr>
      <w:tr>
        <w:trPr>
          <w:trHeight w:val="135"/>
        </w:trPr>
        <w:tc>
          <w:tcPr>
            <w:tcW w:w="84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rPr>
              <w:t>Row /</w:t>
            </w: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9"/>
              </w:rPr>
              <w:t>Center / Multiple Restaurants &amp; Outlets</w:t>
            </w:r>
          </w:p>
        </w:tc>
      </w:tr>
      <w:tr>
        <w:trPr>
          <w:trHeight w:val="135"/>
        </w:trPr>
        <w:tc>
          <w:tcPr>
            <w:tcW w:w="84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rPr>
              <w:t>Assembly</w:t>
            </w: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r>
      <w:tr>
        <w:trPr>
          <w:trHeight w:val="135"/>
        </w:trPr>
        <w:tc>
          <w:tcPr>
            <w:tcW w:w="840" w:type="dxa"/>
            <w:vAlign w:val="bottom"/>
            <w:gridSpan w:val="7"/>
            <w:shd w:val="clear" w:color="auto" w:fill="CCEEFF"/>
          </w:tcPr>
          <w:p>
            <w:pPr>
              <w:ind w:left="40"/>
              <w:spacing w:after="0" w:line="135" w:lineRule="exact"/>
              <w:rPr>
                <w:sz w:val="20"/>
                <w:szCs w:val="20"/>
                <w:color w:val="auto"/>
              </w:rPr>
            </w:pPr>
            <w:r>
              <w:rPr>
                <w:rFonts w:ascii="Arial" w:cs="Arial" w:eastAsia="Arial" w:hAnsi="Arial"/>
                <w:sz w:val="13"/>
                <w:szCs w:val="13"/>
                <w:color w:val="auto"/>
              </w:rPr>
              <w:t>Square</w:t>
            </w: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r>
      <w:tr>
        <w:trPr>
          <w:trHeight w:val="17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Marketplace</w:t>
            </w: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73"/>
        </w:trPr>
        <w:tc>
          <w:tcPr>
            <w:tcW w:w="840" w:type="dxa"/>
            <w:vAlign w:val="bottom"/>
            <w:gridSpan w:val="7"/>
          </w:tcPr>
          <w:p>
            <w:pPr>
              <w:ind w:left="40"/>
              <w:spacing w:after="0"/>
              <w:rPr>
                <w:sz w:val="20"/>
                <w:szCs w:val="20"/>
                <w:color w:val="auto"/>
              </w:rPr>
            </w:pPr>
            <w:r>
              <w:rPr>
                <w:rFonts w:ascii="Arial" w:cs="Arial" w:eastAsia="Arial" w:hAnsi="Arial"/>
                <w:sz w:val="13"/>
                <w:szCs w:val="13"/>
                <w:color w:val="auto"/>
                <w:w w:val="98"/>
              </w:rPr>
              <w:t>Atlantic Plaza</w:t>
            </w:r>
          </w:p>
        </w:tc>
        <w:tc>
          <w:tcPr>
            <w:tcW w:w="420" w:type="dxa"/>
            <w:vAlign w:val="bottom"/>
          </w:tcPr>
          <w:p>
            <w:pPr>
              <w:spacing w:after="0"/>
              <w:rPr>
                <w:sz w:val="15"/>
                <w:szCs w:val="15"/>
                <w:color w:val="auto"/>
              </w:rPr>
            </w:pPr>
          </w:p>
        </w:tc>
        <w:tc>
          <w:tcPr>
            <w:tcW w:w="252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25,958</w:t>
            </w:r>
          </w:p>
        </w:tc>
        <w:tc>
          <w:tcPr>
            <w:tcW w:w="70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126,000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96%</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64,000</w:t>
            </w:r>
          </w:p>
        </w:tc>
        <w:tc>
          <w:tcPr>
            <w:tcW w:w="820" w:type="dxa"/>
            <w:vAlign w:val="bottom"/>
          </w:tcPr>
          <w:p>
            <w:pPr>
              <w:ind w:left="80"/>
              <w:spacing w:after="0"/>
              <w:rPr>
                <w:sz w:val="20"/>
                <w:szCs w:val="20"/>
                <w:color w:val="auto"/>
              </w:rPr>
            </w:pPr>
            <w:r>
              <w:rPr>
                <w:rFonts w:ascii="Arial" w:cs="Arial" w:eastAsia="Arial" w:hAnsi="Arial"/>
                <w:sz w:val="13"/>
                <w:szCs w:val="13"/>
                <w:color w:val="auto"/>
                <w:w w:val="98"/>
              </w:rPr>
              <w:t>Stop &amp; Shop</w:t>
            </w:r>
          </w:p>
        </w:tc>
        <w:tc>
          <w:tcPr>
            <w:tcW w:w="23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2"/>
              </w:rPr>
              <w:t>Campus Plaza</w:t>
            </w:r>
          </w:p>
        </w:tc>
        <w:tc>
          <w:tcPr>
            <w:tcW w:w="4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30,435</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w:t>
            </w:r>
          </w:p>
        </w:tc>
      </w:tr>
      <w:tr>
        <w:trPr>
          <w:trHeight w:val="97"/>
        </w:trPr>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Chelsea</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(8)</w:t>
            </w: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29,778</w:t>
            </w:r>
          </w:p>
        </w:tc>
        <w:tc>
          <w:tcPr>
            <w:tcW w:w="7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6,024</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222,000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840" w:type="dxa"/>
            <w:vAlign w:val="bottom"/>
            <w:gridSpan w:val="7"/>
          </w:tcPr>
          <w:p>
            <w:pPr>
              <w:ind w:left="40"/>
              <w:spacing w:after="0"/>
              <w:rPr>
                <w:sz w:val="20"/>
                <w:szCs w:val="20"/>
                <w:color w:val="auto"/>
              </w:rPr>
            </w:pPr>
            <w:r>
              <w:rPr>
                <w:rFonts w:ascii="Arial" w:cs="Arial" w:eastAsia="Arial" w:hAnsi="Arial"/>
                <w:sz w:val="13"/>
                <w:szCs w:val="13"/>
                <w:color w:val="auto"/>
              </w:rPr>
              <w:t>Commons</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81"/>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1"/>
              </w:rPr>
              <w:t>Dedham Plaza</w:t>
            </w:r>
          </w:p>
        </w:tc>
        <w:tc>
          <w:tcPr>
            <w:tcW w:w="4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41,591</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245,000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80,000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Planet Fitness</w:t>
            </w:r>
          </w:p>
        </w:tc>
      </w:tr>
      <w:tr>
        <w:trPr>
          <w:trHeight w:val="97"/>
        </w:trPr>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73"/>
        </w:trPr>
        <w:tc>
          <w:tcPr>
            <w:tcW w:w="840" w:type="dxa"/>
            <w:vAlign w:val="bottom"/>
            <w:gridSpan w:val="7"/>
          </w:tcPr>
          <w:p>
            <w:pPr>
              <w:ind w:left="40"/>
              <w:spacing w:after="0"/>
              <w:rPr>
                <w:sz w:val="20"/>
                <w:szCs w:val="20"/>
                <w:color w:val="auto"/>
              </w:rPr>
            </w:pPr>
            <w:r>
              <w:rPr>
                <w:rFonts w:ascii="Arial" w:cs="Arial" w:eastAsia="Arial" w:hAnsi="Arial"/>
                <w:sz w:val="13"/>
                <w:szCs w:val="13"/>
                <w:color w:val="auto"/>
                <w:w w:val="92"/>
              </w:rPr>
              <w:t>Linden Square</w:t>
            </w:r>
          </w:p>
        </w:tc>
        <w:tc>
          <w:tcPr>
            <w:tcW w:w="420" w:type="dxa"/>
            <w:vAlign w:val="bottom"/>
          </w:tcPr>
          <w:p>
            <w:pPr>
              <w:spacing w:after="0"/>
              <w:rPr>
                <w:sz w:val="15"/>
                <w:szCs w:val="15"/>
                <w:color w:val="auto"/>
              </w:rPr>
            </w:pPr>
          </w:p>
        </w:tc>
        <w:tc>
          <w:tcPr>
            <w:tcW w:w="252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149,182</w:t>
            </w:r>
          </w:p>
        </w:tc>
        <w:tc>
          <w:tcPr>
            <w:tcW w:w="70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223,000</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97%</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rPr>
                <w:sz w:val="20"/>
                <w:szCs w:val="20"/>
                <w:color w:val="auto"/>
              </w:rPr>
            </w:pPr>
            <w:r>
              <w:rPr>
                <w:rFonts w:ascii="Arial" w:cs="Arial" w:eastAsia="Arial" w:hAnsi="Arial"/>
                <w:sz w:val="13"/>
                <w:szCs w:val="13"/>
                <w:color w:val="auto"/>
              </w:rPr>
              <w:t>Roche Bros.</w:t>
            </w:r>
          </w:p>
        </w:tc>
        <w:tc>
          <w:tcPr>
            <w:tcW w:w="232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48"/>
        </w:trPr>
        <w:tc>
          <w:tcPr>
            <w:tcW w:w="84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North</w:t>
            </w:r>
          </w:p>
        </w:tc>
        <w:tc>
          <w:tcPr>
            <w:tcW w:w="42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Providence-Warwick, RI-MA</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9,369</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48,000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48,000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2320" w:type="dxa"/>
            <w:vAlign w:val="bottom"/>
            <w:shd w:val="clear" w:color="auto" w:fill="CCEEFF"/>
          </w:tcPr>
          <w:p>
            <w:pPr>
              <w:spacing w:after="0"/>
              <w:rPr>
                <w:sz w:val="12"/>
                <w:szCs w:val="12"/>
                <w:color w:val="auto"/>
              </w:rPr>
            </w:pPr>
          </w:p>
        </w:tc>
      </w:tr>
      <w:tr>
        <w:trPr>
          <w:trHeight w:val="17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Dartmouth</w:t>
            </w: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Queen Anne</w:t>
            </w:r>
          </w:p>
        </w:tc>
        <w:tc>
          <w:tcPr>
            <w:tcW w:w="420" w:type="dxa"/>
            <w:vAlign w:val="bottom"/>
          </w:tcPr>
          <w:p>
            <w:pPr>
              <w:spacing w:after="0"/>
              <w:rPr>
                <w:sz w:val="12"/>
                <w:szCs w:val="12"/>
                <w:color w:val="auto"/>
              </w:rPr>
            </w:pP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Boston-Cambridge-Newton, MA-NH</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18,466</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149,000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Big Y Foods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840" w:type="dxa"/>
            <w:vAlign w:val="bottom"/>
            <w:gridSpan w:val="7"/>
          </w:tcPr>
          <w:p>
            <w:pPr>
              <w:ind w:left="40"/>
              <w:spacing w:after="0"/>
              <w:rPr>
                <w:sz w:val="20"/>
                <w:szCs w:val="20"/>
                <w:color w:val="auto"/>
              </w:rPr>
            </w:pPr>
            <w:r>
              <w:rPr>
                <w:rFonts w:ascii="Arial" w:cs="Arial" w:eastAsia="Arial" w:hAnsi="Arial"/>
                <w:sz w:val="13"/>
                <w:szCs w:val="13"/>
                <w:color w:val="auto"/>
              </w:rPr>
              <w:t>Plaza</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7"/>
              </w:rPr>
              <w:t>Saugus Plaza</w:t>
            </w:r>
          </w:p>
        </w:tc>
        <w:tc>
          <w:tcPr>
            <w:tcW w:w="420" w:type="dxa"/>
            <w:vAlign w:val="bottom"/>
            <w:shd w:val="clear" w:color="auto" w:fill="CCEEFF"/>
          </w:tcPr>
          <w:p>
            <w:pPr>
              <w:spacing w:after="0"/>
              <w:rPr>
                <w:sz w:val="13"/>
                <w:szCs w:val="13"/>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15,485</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169,000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Super Stop &amp;</w:t>
            </w:r>
          </w:p>
        </w:tc>
        <w:tc>
          <w:tcPr>
            <w:tcW w:w="232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23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2"/>
          </w:tcPr>
          <w:p>
            <w:pPr>
              <w:ind w:left="40"/>
              <w:spacing w:after="0"/>
              <w:rPr>
                <w:sz w:val="20"/>
                <w:szCs w:val="20"/>
                <w:color w:val="auto"/>
              </w:rPr>
            </w:pPr>
            <w:r>
              <w:rPr>
                <w:rFonts w:ascii="Arial" w:cs="Arial" w:eastAsia="Arial" w:hAnsi="Arial"/>
                <w:sz w:val="13"/>
                <w:szCs w:val="13"/>
                <w:b w:val="1"/>
                <w:bCs w:val="1"/>
                <w:color w:val="auto"/>
              </w:rPr>
              <w:t>Total New England</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1,006,894</w:t>
            </w:r>
          </w:p>
        </w:tc>
        <w:tc>
          <w:tcPr>
            <w:tcW w:w="70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2,176,000</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97%</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2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800" w:type="dxa"/>
            <w:vAlign w:val="bottom"/>
            <w:gridSpan w:val="6"/>
          </w:tcPr>
          <w:p>
            <w:pPr>
              <w:ind w:left="60"/>
              <w:spacing w:after="0"/>
              <w:rPr>
                <w:sz w:val="20"/>
                <w:szCs w:val="20"/>
                <w:color w:val="auto"/>
              </w:rPr>
            </w:pPr>
            <w:r>
              <w:rPr>
                <w:rFonts w:ascii="Arial" w:cs="Arial" w:eastAsia="Arial" w:hAnsi="Arial"/>
                <w:sz w:val="13"/>
                <w:szCs w:val="13"/>
                <w:b w:val="1"/>
                <w:bCs w:val="1"/>
                <w:color w:val="auto"/>
              </w:rPr>
              <w:t>South</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15"/>
        </w:trPr>
        <w:tc>
          <w:tcPr>
            <w:tcW w:w="40" w:type="dxa"/>
            <w:vAlign w:val="bottom"/>
          </w:tcPr>
          <w:p>
            <w:pPr>
              <w:spacing w:after="0"/>
              <w:rPr>
                <w:sz w:val="10"/>
                <w:szCs w:val="10"/>
                <w:color w:val="auto"/>
              </w:rPr>
            </w:pPr>
          </w:p>
        </w:tc>
        <w:tc>
          <w:tcPr>
            <w:tcW w:w="38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3"/>
                <w:szCs w:val="13"/>
                <w:b w:val="1"/>
                <w:bCs w:val="1"/>
                <w:color w:val="auto"/>
                <w:w w:val="82"/>
              </w:rPr>
              <w:t>Florida</w:t>
            </w:r>
          </w:p>
        </w:tc>
        <w:tc>
          <w:tcPr>
            <w:tcW w:w="20" w:type="dxa"/>
            <w:vAlign w:val="bottom"/>
            <w:tcBorders>
              <w:bottom w:val="single" w:sz="8" w:color="auto"/>
            </w:tcBorders>
          </w:tcPr>
          <w:p>
            <w:pPr>
              <w:spacing w:after="0"/>
              <w:rPr>
                <w:sz w:val="10"/>
                <w:szCs w:val="10"/>
                <w:color w:val="auto"/>
              </w:rPr>
            </w:pPr>
          </w:p>
        </w:tc>
        <w:tc>
          <w:tcPr>
            <w:tcW w:w="20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320" w:type="dxa"/>
            <w:vAlign w:val="bottom"/>
          </w:tcPr>
          <w:p>
            <w:pPr>
              <w:spacing w:after="0"/>
              <w:rPr>
                <w:sz w:val="10"/>
                <w:szCs w:val="10"/>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48"/>
        </w:trPr>
        <w:tc>
          <w:tcPr>
            <w:tcW w:w="840" w:type="dxa"/>
            <w:vAlign w:val="bottom"/>
            <w:gridSpan w:val="7"/>
            <w:shd w:val="clear" w:color="auto" w:fill="CCEEFF"/>
          </w:tcPr>
          <w:p>
            <w:pPr>
              <w:ind w:left="40"/>
              <w:spacing w:after="0" w:line="148" w:lineRule="exact"/>
              <w:rPr>
                <w:sz w:val="20"/>
                <w:szCs w:val="20"/>
                <w:color w:val="auto"/>
              </w:rPr>
            </w:pPr>
            <w:r>
              <w:rPr>
                <w:rFonts w:ascii="Arial" w:cs="Arial" w:eastAsia="Arial" w:hAnsi="Arial"/>
                <w:sz w:val="13"/>
                <w:szCs w:val="13"/>
                <w:color w:val="auto"/>
              </w:rPr>
              <w:t>Cocowalk</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(3) (9)</w:t>
            </w:r>
          </w:p>
        </w:tc>
        <w:tc>
          <w:tcPr>
            <w:tcW w:w="25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4"/>
              </w:rPr>
              <w:t>Miami-Fort Lauderdale-West Palm Beach, FL</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126,350</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170,000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74%</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7"/>
              </w:rPr>
              <w:t>Gap / Cinepolis Theaters / Youfit Health</w:t>
            </w: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Club</w:t>
            </w: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Del Mar</w:t>
            </w:r>
          </w:p>
        </w:tc>
        <w:tc>
          <w:tcPr>
            <w:tcW w:w="420" w:type="dxa"/>
            <w:vAlign w:val="bottom"/>
          </w:tcPr>
          <w:p>
            <w:pPr>
              <w:spacing w:after="0"/>
              <w:rPr>
                <w:sz w:val="12"/>
                <w:szCs w:val="12"/>
                <w:color w:val="auto"/>
              </w:rPr>
            </w:pP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Miami-Fort Lauderdale-West Palm Beach, FL</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70,854</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191,000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44,000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Winn Dixie</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CVS / L.A. Fitness</w:t>
            </w:r>
          </w:p>
        </w:tc>
      </w:tr>
      <w:tr>
        <w:trPr>
          <w:trHeight w:val="168"/>
        </w:trPr>
        <w:tc>
          <w:tcPr>
            <w:tcW w:w="840" w:type="dxa"/>
            <w:vAlign w:val="bottom"/>
            <w:gridSpan w:val="7"/>
          </w:tcPr>
          <w:p>
            <w:pPr>
              <w:ind w:left="40"/>
              <w:spacing w:after="0"/>
              <w:rPr>
                <w:sz w:val="20"/>
                <w:szCs w:val="20"/>
                <w:color w:val="auto"/>
              </w:rPr>
            </w:pPr>
            <w:r>
              <w:rPr>
                <w:rFonts w:ascii="Arial" w:cs="Arial" w:eastAsia="Arial" w:hAnsi="Arial"/>
                <w:sz w:val="13"/>
                <w:szCs w:val="13"/>
                <w:color w:val="auto"/>
              </w:rPr>
              <w:t>Village</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The Shops at</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(3)</w:t>
            </w: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4"/>
              </w:rPr>
              <w:t>Miami-Fort Lauderdale-West Palm Beach, FL</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124,302</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65,004</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523,000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 L.A. Fitness / Barnes &amp; Noble /</w:t>
            </w:r>
          </w:p>
        </w:tc>
      </w:tr>
      <w:tr>
        <w:trPr>
          <w:trHeight w:val="17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rPr>
              <w:t>Sunset Place</w:t>
            </w: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Restoration Hardware Outlet</w:t>
            </w: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Tower Shops</w:t>
            </w:r>
          </w:p>
        </w:tc>
        <w:tc>
          <w:tcPr>
            <w:tcW w:w="420" w:type="dxa"/>
            <w:vAlign w:val="bottom"/>
          </w:tcPr>
          <w:p>
            <w:pPr>
              <w:spacing w:after="0"/>
              <w:rPr>
                <w:sz w:val="12"/>
                <w:szCs w:val="12"/>
                <w:color w:val="auto"/>
              </w:rPr>
            </w:pP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4"/>
              </w:rPr>
              <w:t>Miami-Fort Lauderdale-West Palm Beach, FL</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97,678</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67</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426,000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89"/>
              </w:rPr>
              <w:t>TJ Maxx / Ross Dress For Less / Best Buy /</w:t>
            </w:r>
          </w:p>
        </w:tc>
      </w:tr>
      <w:tr>
        <w:trPr>
          <w:trHeight w:val="170"/>
        </w:trPr>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DSW</w:t>
            </w:r>
          </w:p>
        </w:tc>
      </w:tr>
      <w:tr>
        <w:trPr>
          <w:trHeight w:val="173"/>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419,184</w:t>
            </w: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6"/>
              </w:rPr>
              <w:t>1,310,000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9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80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9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CCEEFF"/>
            </w:tcBorders>
            <w:shd w:val="clear" w:color="auto" w:fill="CCEEFF"/>
          </w:tcPr>
          <w:p>
            <w:pPr>
              <w:spacing w:after="0"/>
              <w:rPr>
                <w:sz w:val="8"/>
                <w:szCs w:val="8"/>
                <w:color w:val="auto"/>
              </w:rPr>
            </w:pP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Governor</w:t>
            </w:r>
          </w:p>
        </w:tc>
        <w:tc>
          <w:tcPr>
            <w:tcW w:w="420" w:type="dxa"/>
            <w:vAlign w:val="bottom"/>
          </w:tcPr>
          <w:p>
            <w:pPr>
              <w:spacing w:after="0"/>
              <w:rPr>
                <w:sz w:val="12"/>
                <w:szCs w:val="12"/>
                <w:color w:val="auto"/>
              </w:rPr>
            </w:pP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Baltimore-Columbia-Towson, MD</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27,334</w:t>
            </w:r>
          </w:p>
        </w:tc>
        <w:tc>
          <w:tcPr>
            <w:tcW w:w="70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243,000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16,500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Aldi</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Dick's Sporting Goods / A.C. Moore</w:t>
            </w:r>
          </w:p>
        </w:tc>
      </w:tr>
      <w:tr>
        <w:trPr>
          <w:trHeight w:val="168"/>
        </w:trPr>
        <w:tc>
          <w:tcPr>
            <w:tcW w:w="840" w:type="dxa"/>
            <w:vAlign w:val="bottom"/>
            <w:gridSpan w:val="7"/>
          </w:tcPr>
          <w:p>
            <w:pPr>
              <w:ind w:left="40"/>
              <w:spacing w:after="0"/>
              <w:rPr>
                <w:sz w:val="20"/>
                <w:szCs w:val="20"/>
                <w:color w:val="auto"/>
              </w:rPr>
            </w:pPr>
            <w:r>
              <w:rPr>
                <w:rFonts w:ascii="Arial" w:cs="Arial" w:eastAsia="Arial" w:hAnsi="Arial"/>
                <w:sz w:val="13"/>
                <w:szCs w:val="13"/>
                <w:color w:val="auto"/>
              </w:rPr>
              <w:t>Plaza</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40" w:type="dxa"/>
            <w:vAlign w:val="bottom"/>
            <w:gridSpan w:val="7"/>
            <w:shd w:val="clear" w:color="auto" w:fill="CCEEFF"/>
          </w:tcPr>
          <w:p>
            <w:pPr>
              <w:ind w:left="40"/>
              <w:spacing w:after="0"/>
              <w:rPr>
                <w:sz w:val="20"/>
                <w:szCs w:val="20"/>
                <w:color w:val="auto"/>
              </w:rPr>
            </w:pPr>
            <w:r>
              <w:rPr>
                <w:rFonts w:ascii="Arial" w:cs="Arial" w:eastAsia="Arial" w:hAnsi="Arial"/>
                <w:sz w:val="13"/>
                <w:szCs w:val="13"/>
                <w:color w:val="auto"/>
                <w:w w:val="99"/>
              </w:rPr>
              <w:t>Perring Plaza</w:t>
            </w:r>
          </w:p>
        </w:tc>
        <w:tc>
          <w:tcPr>
            <w:tcW w:w="420" w:type="dxa"/>
            <w:vAlign w:val="bottom"/>
            <w:shd w:val="clear" w:color="auto" w:fill="CCEEFF"/>
          </w:tcPr>
          <w:p>
            <w:pPr>
              <w:spacing w:after="0"/>
              <w:rPr>
                <w:sz w:val="13"/>
                <w:szCs w:val="13"/>
                <w:color w:val="auto"/>
              </w:rPr>
            </w:pPr>
          </w:p>
        </w:tc>
        <w:tc>
          <w:tcPr>
            <w:tcW w:w="2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Baltimore-Columbia-Towson, MD</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31,140</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396,000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Shoppers</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Home Depot / Micro Center / Burlington</w:t>
            </w:r>
          </w:p>
        </w:tc>
      </w:tr>
      <w:tr>
        <w:trPr>
          <w:trHeight w:val="135"/>
        </w:trPr>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32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320" w:type="dxa"/>
            <w:vAlign w:val="bottom"/>
            <w:shd w:val="clear" w:color="auto" w:fill="CCEEFF"/>
          </w:tcPr>
          <w:p>
            <w:pPr>
              <w:spacing w:after="0"/>
              <w:rPr>
                <w:sz w:val="15"/>
                <w:szCs w:val="15"/>
                <w:color w:val="auto"/>
              </w:rPr>
            </w:pPr>
          </w:p>
        </w:tc>
      </w:tr>
      <w:tr>
        <w:trPr>
          <w:trHeight w:val="148"/>
        </w:trPr>
        <w:tc>
          <w:tcPr>
            <w:tcW w:w="840" w:type="dxa"/>
            <w:vAlign w:val="bottom"/>
            <w:gridSpan w:val="7"/>
          </w:tcPr>
          <w:p>
            <w:pPr>
              <w:ind w:left="40"/>
              <w:spacing w:after="0" w:line="148" w:lineRule="exact"/>
              <w:rPr>
                <w:sz w:val="20"/>
                <w:szCs w:val="20"/>
                <w:color w:val="auto"/>
              </w:rPr>
            </w:pPr>
            <w:r>
              <w:rPr>
                <w:rFonts w:ascii="Arial" w:cs="Arial" w:eastAsia="Arial" w:hAnsi="Arial"/>
                <w:sz w:val="13"/>
                <w:szCs w:val="13"/>
                <w:color w:val="auto"/>
              </w:rPr>
              <w:t>THE</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252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Baltimore-Columbia-Towson, MD</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118,153</w:t>
            </w:r>
          </w:p>
        </w:tc>
        <w:tc>
          <w:tcPr>
            <w:tcW w:w="70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52,705</w:t>
            </w: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2"/>
                <w:szCs w:val="12"/>
                <w:color w:val="auto"/>
              </w:rPr>
            </w:pPr>
          </w:p>
        </w:tc>
        <w:tc>
          <w:tcPr>
            <w:tcW w:w="68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314,000</w:t>
            </w:r>
          </w:p>
        </w:tc>
        <w:tc>
          <w:tcPr>
            <w:tcW w:w="12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w w:val="97"/>
              </w:rPr>
              <w:t>AMC / Ulta / Old Navy / Barnes &amp; Noble</w:t>
            </w:r>
          </w:p>
        </w:tc>
      </w:tr>
      <w:tr>
        <w:trPr>
          <w:trHeight w:val="135"/>
        </w:trPr>
        <w:tc>
          <w:tcPr>
            <w:tcW w:w="840" w:type="dxa"/>
            <w:vAlign w:val="bottom"/>
            <w:gridSpan w:val="7"/>
          </w:tcPr>
          <w:p>
            <w:pPr>
              <w:ind w:left="40"/>
              <w:spacing w:after="0" w:line="135" w:lineRule="exact"/>
              <w:rPr>
                <w:sz w:val="20"/>
                <w:szCs w:val="20"/>
                <w:color w:val="auto"/>
              </w:rPr>
            </w:pPr>
            <w:r>
              <w:rPr>
                <w:rFonts w:ascii="Arial" w:cs="Arial" w:eastAsia="Arial" w:hAnsi="Arial"/>
                <w:sz w:val="13"/>
                <w:szCs w:val="13"/>
                <w:color w:val="auto"/>
              </w:rPr>
              <w:t>AVENUE at</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60"/>
        </w:trPr>
        <w:tc>
          <w:tcPr>
            <w:tcW w:w="840" w:type="dxa"/>
            <w:vAlign w:val="bottom"/>
            <w:gridSpan w:val="7"/>
          </w:tcPr>
          <w:p>
            <w:pPr>
              <w:ind w:left="40"/>
              <w:spacing w:after="0"/>
              <w:rPr>
                <w:sz w:val="20"/>
                <w:szCs w:val="20"/>
                <w:color w:val="auto"/>
              </w:rPr>
            </w:pPr>
            <w:r>
              <w:rPr>
                <w:rFonts w:ascii="Arial" w:cs="Arial" w:eastAsia="Arial" w:hAnsi="Arial"/>
                <w:sz w:val="13"/>
                <w:szCs w:val="13"/>
                <w:color w:val="auto"/>
              </w:rPr>
              <w:t>White Marsh</w:t>
            </w: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919"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919"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September 30, 2018</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and/or</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8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Property</w:t>
            </w:r>
          </w:p>
        </w:tc>
        <w:tc>
          <w:tcPr>
            <w:tcW w:w="28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Leased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Residential</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0"/>
              </w:rPr>
              <w:t>Name</w:t>
            </w:r>
          </w:p>
        </w:tc>
        <w:tc>
          <w:tcPr>
            <w:tcW w:w="28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Acreage</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w:t>
            </w: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Retail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48"/>
        </w:trPr>
        <w:tc>
          <w:tcPr>
            <w:tcW w:w="8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The Shoppes</w:t>
            </w:r>
          </w:p>
        </w:tc>
        <w:tc>
          <w:tcPr>
            <w:tcW w:w="288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17,675</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32,000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35"/>
        </w:trPr>
        <w:tc>
          <w:tcPr>
            <w:tcW w:w="86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at Nottingham</w:t>
            </w:r>
          </w:p>
        </w:tc>
        <w:tc>
          <w:tcPr>
            <w:tcW w:w="28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r>
      <w:tr>
        <w:trPr>
          <w:trHeight w:val="176"/>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Square</w:t>
            </w:r>
          </w:p>
        </w:tc>
        <w:tc>
          <w:tcPr>
            <w:tcW w:w="2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Towson</w:t>
            </w:r>
          </w:p>
        </w:tc>
        <w:tc>
          <w:tcPr>
            <w:tcW w:w="2880" w:type="dxa"/>
            <w:vAlign w:val="bottom"/>
          </w:tcPr>
          <w:p>
            <w:pPr>
              <w:ind w:left="42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22,344</w:t>
            </w:r>
          </w:p>
        </w:tc>
        <w:tc>
          <w:tcPr>
            <w:tcW w:w="66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105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35"/>
        </w:trPr>
        <w:tc>
          <w:tcPr>
            <w:tcW w:w="86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Residential</w:t>
            </w: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68"/>
        </w:trPr>
        <w:tc>
          <w:tcPr>
            <w:tcW w:w="860" w:type="dxa"/>
            <w:vAlign w:val="bottom"/>
            <w:gridSpan w:val="4"/>
          </w:tcPr>
          <w:p>
            <w:pPr>
              <w:ind w:left="40"/>
              <w:spacing w:after="0"/>
              <w:rPr>
                <w:sz w:val="20"/>
                <w:szCs w:val="20"/>
                <w:color w:val="auto"/>
              </w:rPr>
            </w:pPr>
            <w:r>
              <w:rPr>
                <w:rFonts w:ascii="Arial" w:cs="Arial" w:eastAsia="Arial" w:hAnsi="Arial"/>
                <w:sz w:val="13"/>
                <w:szCs w:val="13"/>
                <w:color w:val="auto"/>
              </w:rPr>
              <w:t>(Flats @ 703)</w:t>
            </w: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56"/>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White Marsh</w:t>
            </w:r>
          </w:p>
        </w:tc>
        <w:tc>
          <w:tcPr>
            <w:tcW w:w="28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Baltimore-Columbia-Towson, MD</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25,611</w:t>
            </w: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80,000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54,000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spacing w:after="0"/>
              <w:rPr>
                <w:sz w:val="13"/>
                <w:szCs w:val="13"/>
                <w:color w:val="auto"/>
              </w:rPr>
            </w:pPr>
          </w:p>
        </w:tc>
      </w:tr>
      <w:tr>
        <w:trPr>
          <w:trHeight w:val="176"/>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Plaza</w:t>
            </w:r>
          </w:p>
        </w:tc>
        <w:tc>
          <w:tcPr>
            <w:tcW w:w="2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48"/>
        </w:trPr>
        <w:tc>
          <w:tcPr>
            <w:tcW w:w="8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White Marsh</w:t>
            </w:r>
          </w:p>
        </w:tc>
        <w:tc>
          <w:tcPr>
            <w:tcW w:w="2880" w:type="dxa"/>
            <w:vAlign w:val="bottom"/>
          </w:tcPr>
          <w:p>
            <w:pPr>
              <w:ind w:left="420"/>
              <w:spacing w:after="0" w:line="148" w:lineRule="exact"/>
              <w:rPr>
                <w:sz w:val="20"/>
                <w:szCs w:val="20"/>
                <w:color w:val="auto"/>
              </w:rPr>
            </w:pPr>
            <w:r>
              <w:rPr>
                <w:rFonts w:ascii="Arial" w:cs="Arial" w:eastAsia="Arial" w:hAnsi="Arial"/>
                <w:sz w:val="13"/>
                <w:szCs w:val="13"/>
                <w:color w:val="auto"/>
              </w:rPr>
              <w:t>Baltimore-Columbia-Towson, MD</w:t>
            </w:r>
          </w:p>
        </w:tc>
        <w:tc>
          <w:tcPr>
            <w:tcW w:w="7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33,940</w:t>
            </w:r>
          </w:p>
        </w:tc>
        <w:tc>
          <w:tcPr>
            <w:tcW w:w="66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70,000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70"/>
        </w:trPr>
        <w:tc>
          <w:tcPr>
            <w:tcW w:w="86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Other</w:t>
            </w:r>
          </w:p>
        </w:tc>
        <w:tc>
          <w:tcPr>
            <w:tcW w:w="28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3"/>
                <w:szCs w:val="13"/>
                <w:b w:val="1"/>
                <w:bCs w:val="1"/>
                <w:color w:val="auto"/>
              </w:rPr>
              <w:t>Total Baltimore</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276,197</w:t>
            </w: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6"/>
              </w:rPr>
              <w:t>1,139,000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8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3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2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28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8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320" w:type="dxa"/>
            <w:vAlign w:val="bottom"/>
            <w:tcBorders>
              <w:top w:val="single" w:sz="8" w:color="CCEEFF"/>
            </w:tcBorders>
            <w:shd w:val="clear" w:color="auto" w:fill="CCEEFF"/>
          </w:tcPr>
          <w:p>
            <w:pPr>
              <w:spacing w:after="0"/>
              <w:rPr>
                <w:sz w:val="8"/>
                <w:szCs w:val="8"/>
                <w:color w:val="auto"/>
              </w:rPr>
            </w:pPr>
          </w:p>
        </w:tc>
      </w:tr>
      <w:tr>
        <w:trPr>
          <w:trHeight w:val="173"/>
        </w:trPr>
        <w:tc>
          <w:tcPr>
            <w:tcW w:w="860" w:type="dxa"/>
            <w:vAlign w:val="bottom"/>
            <w:gridSpan w:val="4"/>
          </w:tcPr>
          <w:p>
            <w:pPr>
              <w:ind w:left="40"/>
              <w:spacing w:after="0"/>
              <w:rPr>
                <w:sz w:val="20"/>
                <w:szCs w:val="20"/>
                <w:color w:val="auto"/>
              </w:rPr>
            </w:pPr>
            <w:r>
              <w:rPr>
                <w:rFonts w:ascii="Arial" w:cs="Arial" w:eastAsia="Arial" w:hAnsi="Arial"/>
                <w:sz w:val="13"/>
                <w:szCs w:val="13"/>
                <w:color w:val="auto"/>
              </w:rPr>
              <w:t>Crossroads</w:t>
            </w:r>
          </w:p>
        </w:tc>
        <w:tc>
          <w:tcPr>
            <w:tcW w:w="2880" w:type="dxa"/>
            <w:vAlign w:val="bottom"/>
          </w:tcPr>
          <w:p>
            <w:pPr>
              <w:ind w:left="420"/>
              <w:spacing w:after="0"/>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34,398</w:t>
            </w:r>
          </w:p>
        </w:tc>
        <w:tc>
          <w:tcPr>
            <w:tcW w:w="66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168,000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w w:val="91"/>
              </w:rPr>
              <w:t>L.A. Fitness / Ulta / Binny's / Guitar Center</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48"/>
        </w:trPr>
        <w:tc>
          <w:tcPr>
            <w:tcW w:w="8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Finley Square</w:t>
            </w:r>
          </w:p>
        </w:tc>
        <w:tc>
          <w:tcPr>
            <w:tcW w:w="288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39,057</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278,000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87%</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 / Portillo's</w:t>
            </w:r>
          </w:p>
        </w:tc>
      </w:tr>
      <w:tr>
        <w:trPr>
          <w:trHeight w:val="148"/>
        </w:trPr>
        <w:tc>
          <w:tcPr>
            <w:tcW w:w="86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Garden</w:t>
            </w:r>
          </w:p>
        </w:tc>
        <w:tc>
          <w:tcPr>
            <w:tcW w:w="2880" w:type="dxa"/>
            <w:vAlign w:val="bottom"/>
          </w:tcPr>
          <w:p>
            <w:pPr>
              <w:ind w:left="420"/>
              <w:spacing w:after="0" w:line="148" w:lineRule="exact"/>
              <w:rPr>
                <w:sz w:val="20"/>
                <w:szCs w:val="20"/>
                <w:color w:val="auto"/>
              </w:rPr>
            </w:pPr>
            <w:r>
              <w:rPr>
                <w:rFonts w:ascii="Arial" w:cs="Arial" w:eastAsia="Arial" w:hAnsi="Arial"/>
                <w:sz w:val="13"/>
                <w:szCs w:val="13"/>
                <w:color w:val="auto"/>
              </w:rPr>
              <w:t>Chicago-Naperville-Elgin, IL-IN-WI</w:t>
            </w:r>
          </w:p>
        </w:tc>
        <w:tc>
          <w:tcPr>
            <w:tcW w:w="7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14,653</w:t>
            </w:r>
          </w:p>
        </w:tc>
        <w:tc>
          <w:tcPr>
            <w:tcW w:w="660" w:type="dxa"/>
            <w:vAlign w:val="bottom"/>
          </w:tcPr>
          <w:p>
            <w:pPr>
              <w:spacing w:after="0"/>
              <w:rPr>
                <w:sz w:val="12"/>
                <w:szCs w:val="12"/>
                <w:color w:val="auto"/>
              </w:rPr>
            </w:pPr>
          </w:p>
        </w:tc>
        <w:tc>
          <w:tcPr>
            <w:tcW w:w="4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7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140,000</w:t>
            </w:r>
          </w:p>
        </w:tc>
        <w:tc>
          <w:tcPr>
            <w:tcW w:w="100" w:type="dxa"/>
            <w:vAlign w:val="bottom"/>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700" w:type="dxa"/>
            <w:vAlign w:val="bottom"/>
          </w:tcPr>
          <w:p>
            <w:pPr>
              <w:spacing w:after="0"/>
              <w:rPr>
                <w:sz w:val="12"/>
                <w:szCs w:val="12"/>
                <w:color w:val="auto"/>
              </w:rPr>
            </w:pPr>
          </w:p>
        </w:tc>
        <w:tc>
          <w:tcPr>
            <w:tcW w:w="580" w:type="dxa"/>
            <w:vAlign w:val="bottom"/>
          </w:tcPr>
          <w:p>
            <w:pPr>
              <w:jc w:val="center"/>
              <w:ind w:right="17"/>
              <w:spacing w:after="0" w:line="148" w:lineRule="exact"/>
              <w:rPr>
                <w:sz w:val="20"/>
                <w:szCs w:val="20"/>
                <w:color w:val="auto"/>
              </w:rPr>
            </w:pPr>
            <w:r>
              <w:rPr>
                <w:rFonts w:ascii="Arial" w:cs="Arial" w:eastAsia="Arial" w:hAnsi="Arial"/>
                <w:sz w:val="13"/>
                <w:szCs w:val="13"/>
                <w:color w:val="auto"/>
                <w:w w:val="85"/>
              </w:rPr>
              <w:t>63,000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Mariano's</w:t>
            </w:r>
          </w:p>
        </w:tc>
        <w:tc>
          <w:tcPr>
            <w:tcW w:w="2320" w:type="dxa"/>
            <w:vAlign w:val="bottom"/>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860" w:type="dxa"/>
            <w:vAlign w:val="bottom"/>
            <w:gridSpan w:val="4"/>
          </w:tcPr>
          <w:p>
            <w:pPr>
              <w:ind w:left="40"/>
              <w:spacing w:after="0"/>
              <w:rPr>
                <w:sz w:val="20"/>
                <w:szCs w:val="20"/>
                <w:color w:val="auto"/>
              </w:rPr>
            </w:pPr>
            <w:r>
              <w:rPr>
                <w:rFonts w:ascii="Arial" w:cs="Arial" w:eastAsia="Arial" w:hAnsi="Arial"/>
                <w:sz w:val="13"/>
                <w:szCs w:val="13"/>
                <w:color w:val="auto"/>
              </w:rPr>
              <w:t>Market</w:t>
            </w:r>
          </w:p>
        </w:tc>
        <w:tc>
          <w:tcPr>
            <w:tcW w:w="2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w w:val="93"/>
              </w:rPr>
              <w:t>Fresh Market</w:t>
            </w:r>
          </w:p>
        </w:tc>
        <w:tc>
          <w:tcPr>
            <w:tcW w:w="2320" w:type="dxa"/>
            <w:vAlign w:val="bottom"/>
          </w:tcPr>
          <w:p>
            <w:pPr>
              <w:spacing w:after="0"/>
              <w:rPr>
                <w:sz w:val="14"/>
                <w:szCs w:val="14"/>
                <w:color w:val="auto"/>
              </w:rPr>
            </w:pPr>
          </w:p>
        </w:tc>
      </w:tr>
      <w:tr>
        <w:trPr>
          <w:trHeight w:val="156"/>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Riverpoint</w:t>
            </w:r>
          </w:p>
        </w:tc>
        <w:tc>
          <w:tcPr>
            <w:tcW w:w="28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Chicago-Naperville-Elgin, IL-IN-WI</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120,414</w:t>
            </w: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211,000</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86,000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Jewel Osco</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Old Navy</w:t>
            </w:r>
          </w:p>
        </w:tc>
      </w:tr>
      <w:tr>
        <w:trPr>
          <w:trHeight w:val="176"/>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8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tcPr>
          <w:p>
            <w:pPr>
              <w:ind w:left="420"/>
              <w:spacing w:after="0"/>
              <w:rPr>
                <w:sz w:val="20"/>
                <w:szCs w:val="20"/>
                <w:color w:val="auto"/>
              </w:rPr>
            </w:pPr>
            <w:r>
              <w:rPr>
                <w:rFonts w:ascii="Arial" w:cs="Arial" w:eastAsia="Arial" w:hAnsi="Arial"/>
                <w:sz w:val="13"/>
                <w:szCs w:val="13"/>
                <w:b w:val="1"/>
                <w:bCs w:val="1"/>
                <w:color w:val="auto"/>
              </w:rPr>
              <w:t>Total Chicago</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208,522</w:t>
            </w:r>
          </w:p>
        </w:tc>
        <w:tc>
          <w:tcPr>
            <w:tcW w:w="66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797,000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2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8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32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rPr>
              <w:t>Other</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48"/>
        </w:trPr>
        <w:tc>
          <w:tcPr>
            <w:tcW w:w="8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Barracks</w:t>
            </w:r>
          </w:p>
        </w:tc>
        <w:tc>
          <w:tcPr>
            <w:tcW w:w="288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Charlottesville, VA</w:t>
            </w:r>
          </w:p>
        </w:tc>
        <w:tc>
          <w:tcPr>
            <w:tcW w:w="7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68,115</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498,000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99,000</w:t>
            </w:r>
          </w:p>
        </w:tc>
        <w:tc>
          <w:tcPr>
            <w:tcW w:w="314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rPr>
              <w:t>Harris Teeter / Anthropologie / Nike / Bed, Bath &amp;</w:t>
            </w:r>
          </w:p>
        </w:tc>
      </w:tr>
      <w:tr>
        <w:trPr>
          <w:trHeight w:val="176"/>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Road</w:t>
            </w:r>
          </w:p>
        </w:tc>
        <w:tc>
          <w:tcPr>
            <w:tcW w:w="2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Beyond / Old Navy</w:t>
            </w:r>
          </w:p>
        </w:tc>
      </w:tr>
      <w:tr>
        <w:trPr>
          <w:trHeight w:val="173"/>
        </w:trPr>
        <w:tc>
          <w:tcPr>
            <w:tcW w:w="860" w:type="dxa"/>
            <w:vAlign w:val="bottom"/>
            <w:gridSpan w:val="4"/>
          </w:tcPr>
          <w:p>
            <w:pPr>
              <w:ind w:left="40"/>
              <w:spacing w:after="0"/>
              <w:rPr>
                <w:sz w:val="20"/>
                <w:szCs w:val="20"/>
                <w:color w:val="auto"/>
              </w:rPr>
            </w:pPr>
            <w:r>
              <w:rPr>
                <w:rFonts w:ascii="Arial" w:cs="Arial" w:eastAsia="Arial" w:hAnsi="Arial"/>
                <w:sz w:val="13"/>
                <w:szCs w:val="13"/>
                <w:color w:val="auto"/>
              </w:rPr>
              <w:t>Bristol Plaza</w:t>
            </w:r>
          </w:p>
        </w:tc>
        <w:tc>
          <w:tcPr>
            <w:tcW w:w="2880" w:type="dxa"/>
            <w:vAlign w:val="bottom"/>
          </w:tcPr>
          <w:p>
            <w:pPr>
              <w:ind w:left="420"/>
              <w:spacing w:after="0"/>
              <w:rPr>
                <w:sz w:val="20"/>
                <w:szCs w:val="20"/>
                <w:color w:val="auto"/>
              </w:rPr>
            </w:pPr>
            <w:r>
              <w:rPr>
                <w:rFonts w:ascii="Arial" w:cs="Arial" w:eastAsia="Arial" w:hAnsi="Arial"/>
                <w:sz w:val="13"/>
                <w:szCs w:val="13"/>
                <w:color w:val="auto"/>
              </w:rPr>
              <w:t>Hartford-West Hartford-East Hartford, CT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31,755</w:t>
            </w:r>
          </w:p>
        </w:tc>
        <w:tc>
          <w:tcPr>
            <w:tcW w:w="66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266,000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74,000</w:t>
            </w:r>
          </w:p>
        </w:tc>
        <w:tc>
          <w:tcPr>
            <w:tcW w:w="820" w:type="dxa"/>
            <w:vAlign w:val="bottom"/>
          </w:tcPr>
          <w:p>
            <w:pPr>
              <w:ind w:left="80"/>
              <w:spacing w:after="0"/>
              <w:rPr>
                <w:sz w:val="20"/>
                <w:szCs w:val="20"/>
                <w:color w:val="auto"/>
              </w:rPr>
            </w:pPr>
            <w:r>
              <w:rPr>
                <w:rFonts w:ascii="Arial" w:cs="Arial" w:eastAsia="Arial" w:hAnsi="Arial"/>
                <w:sz w:val="13"/>
                <w:szCs w:val="13"/>
                <w:color w:val="auto"/>
                <w:w w:val="98"/>
              </w:rPr>
              <w:t>Stop &amp; Shop</w:t>
            </w:r>
          </w:p>
        </w:tc>
        <w:tc>
          <w:tcPr>
            <w:tcW w:w="232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48"/>
        </w:trPr>
        <w:tc>
          <w:tcPr>
            <w:tcW w:w="8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Eastgate</w:t>
            </w:r>
          </w:p>
        </w:tc>
        <w:tc>
          <w:tcPr>
            <w:tcW w:w="288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Durham-Chapel Hill, NC</w:t>
            </w:r>
          </w:p>
        </w:tc>
        <w:tc>
          <w:tcPr>
            <w:tcW w:w="7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34,587</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159,000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13,000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3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Ulta / Stein Mart / Petco</w:t>
            </w:r>
          </w:p>
        </w:tc>
      </w:tr>
      <w:tr>
        <w:trPr>
          <w:trHeight w:val="176"/>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Crossing</w:t>
            </w:r>
          </w:p>
        </w:tc>
        <w:tc>
          <w:tcPr>
            <w:tcW w:w="28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r>
      <w:tr>
        <w:trPr>
          <w:trHeight w:val="173"/>
        </w:trPr>
        <w:tc>
          <w:tcPr>
            <w:tcW w:w="860" w:type="dxa"/>
            <w:vAlign w:val="bottom"/>
            <w:gridSpan w:val="4"/>
          </w:tcPr>
          <w:p>
            <w:pPr>
              <w:ind w:left="40"/>
              <w:spacing w:after="0"/>
              <w:rPr>
                <w:sz w:val="20"/>
                <w:szCs w:val="20"/>
                <w:color w:val="auto"/>
              </w:rPr>
            </w:pPr>
            <w:r>
              <w:rPr>
                <w:rFonts w:ascii="Arial" w:cs="Arial" w:eastAsia="Arial" w:hAnsi="Arial"/>
                <w:sz w:val="13"/>
                <w:szCs w:val="13"/>
                <w:color w:val="auto"/>
              </w:rPr>
              <w:t>Gratiot Plaza</w:t>
            </w:r>
          </w:p>
        </w:tc>
        <w:tc>
          <w:tcPr>
            <w:tcW w:w="2880" w:type="dxa"/>
            <w:vAlign w:val="bottom"/>
          </w:tcPr>
          <w:p>
            <w:pPr>
              <w:ind w:left="420"/>
              <w:spacing w:after="0"/>
              <w:rPr>
                <w:sz w:val="20"/>
                <w:szCs w:val="20"/>
                <w:color w:val="auto"/>
              </w:rPr>
            </w:pPr>
            <w:r>
              <w:rPr>
                <w:rFonts w:ascii="Arial" w:cs="Arial" w:eastAsia="Arial" w:hAnsi="Arial"/>
                <w:sz w:val="13"/>
                <w:szCs w:val="13"/>
                <w:color w:val="auto"/>
              </w:rPr>
              <w:t>Detroit-Warren-Dearborn, MI</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19,921</w:t>
            </w:r>
          </w:p>
        </w:tc>
        <w:tc>
          <w:tcPr>
            <w:tcW w:w="660" w:type="dxa"/>
            <w:vAlign w:val="bottom"/>
          </w:tcPr>
          <w:p>
            <w:pPr>
              <w:spacing w:after="0"/>
              <w:rPr>
                <w:sz w:val="15"/>
                <w:szCs w:val="15"/>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Arial" w:cs="Arial" w:eastAsia="Arial" w:hAnsi="Arial"/>
                <w:sz w:val="13"/>
                <w:szCs w:val="13"/>
                <w:color w:val="auto"/>
                <w:w w:val="85"/>
              </w:rPr>
              <w:t>69,000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2320" w:type="dxa"/>
            <w:vAlign w:val="bottom"/>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73"/>
        </w:trPr>
        <w:tc>
          <w:tcPr>
            <w:tcW w:w="86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Lancaster</w:t>
            </w:r>
          </w:p>
        </w:tc>
        <w:tc>
          <w:tcPr>
            <w:tcW w:w="2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(6)   Lancaster, PA</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13,716</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4,907</w:t>
            </w: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127,000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5"/>
              </w:rPr>
              <w:t>75,000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r>
      <w:tr>
        <w:trPr>
          <w:trHeight w:val="173"/>
        </w:trPr>
        <w:tc>
          <w:tcPr>
            <w:tcW w:w="860" w:type="dxa"/>
            <w:vAlign w:val="bottom"/>
            <w:gridSpan w:val="4"/>
          </w:tcPr>
          <w:p>
            <w:pPr>
              <w:ind w:left="40"/>
              <w:spacing w:after="0"/>
              <w:rPr>
                <w:sz w:val="20"/>
                <w:szCs w:val="20"/>
                <w:color w:val="auto"/>
              </w:rPr>
            </w:pPr>
            <w:r>
              <w:rPr>
                <w:rFonts w:ascii="Arial" w:cs="Arial" w:eastAsia="Arial" w:hAnsi="Arial"/>
                <w:sz w:val="13"/>
                <w:szCs w:val="13"/>
                <w:color w:val="auto"/>
              </w:rPr>
              <w:t>29th Place</w:t>
            </w:r>
          </w:p>
        </w:tc>
        <w:tc>
          <w:tcPr>
            <w:tcW w:w="2880" w:type="dxa"/>
            <w:vAlign w:val="bottom"/>
          </w:tcPr>
          <w:p>
            <w:pPr>
              <w:ind w:left="420"/>
              <w:spacing w:after="0"/>
              <w:rPr>
                <w:sz w:val="20"/>
                <w:szCs w:val="20"/>
                <w:color w:val="auto"/>
              </w:rPr>
            </w:pPr>
            <w:r>
              <w:rPr>
                <w:rFonts w:ascii="Arial" w:cs="Arial" w:eastAsia="Arial" w:hAnsi="Arial"/>
                <w:sz w:val="13"/>
                <w:szCs w:val="13"/>
                <w:color w:val="auto"/>
              </w:rPr>
              <w:t>Charlottesville, VA</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40,776</w:t>
            </w: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4,174</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169,000</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20" w:type="dxa"/>
            <w:vAlign w:val="bottom"/>
          </w:tcPr>
          <w:p>
            <w:pPr>
              <w:ind w:left="60"/>
              <w:spacing w:after="0"/>
              <w:rPr>
                <w:sz w:val="20"/>
                <w:szCs w:val="20"/>
                <w:color w:val="auto"/>
              </w:rPr>
            </w:pPr>
            <w:r>
              <w:rPr>
                <w:rFonts w:ascii="Arial" w:cs="Arial" w:eastAsia="Arial" w:hAnsi="Arial"/>
                <w:sz w:val="13"/>
                <w:szCs w:val="13"/>
                <w:color w:val="auto"/>
                <w:w w:val="93"/>
              </w:rPr>
              <w:t>HomeGoods / DSW / Stein Mart / Staples</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320" w:type="dxa"/>
            <w:vAlign w:val="bottom"/>
          </w:tcPr>
          <w:p>
            <w:pPr>
              <w:spacing w:after="0"/>
              <w:rPr>
                <w:sz w:val="8"/>
                <w:szCs w:val="8"/>
                <w:color w:val="auto"/>
              </w:rPr>
            </w:pPr>
          </w:p>
        </w:tc>
      </w:tr>
      <w:tr>
        <w:trPr>
          <w:trHeight w:val="148"/>
        </w:trPr>
        <w:tc>
          <w:tcPr>
            <w:tcW w:w="86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Willow Lawn</w:t>
            </w:r>
          </w:p>
        </w:tc>
        <w:tc>
          <w:tcPr>
            <w:tcW w:w="2880" w:type="dxa"/>
            <w:vAlign w:val="bottom"/>
            <w:shd w:val="clear" w:color="auto" w:fill="CCEEFF"/>
          </w:tcPr>
          <w:p>
            <w:pPr>
              <w:ind w:left="420"/>
              <w:spacing w:after="0" w:line="148" w:lineRule="exact"/>
              <w:rPr>
                <w:sz w:val="20"/>
                <w:szCs w:val="20"/>
                <w:color w:val="auto"/>
              </w:rPr>
            </w:pPr>
            <w:r>
              <w:rPr>
                <w:rFonts w:ascii="Arial" w:cs="Arial" w:eastAsia="Arial" w:hAnsi="Arial"/>
                <w:sz w:val="13"/>
                <w:szCs w:val="13"/>
                <w:color w:val="auto"/>
              </w:rPr>
              <w:t>Richmond, VA</w:t>
            </w:r>
          </w:p>
        </w:tc>
        <w:tc>
          <w:tcPr>
            <w:tcW w:w="7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102,818</w:t>
            </w: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463,000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8" w:lineRule="exact"/>
              <w:rPr>
                <w:sz w:val="20"/>
                <w:szCs w:val="20"/>
                <w:color w:val="auto"/>
              </w:rPr>
            </w:pPr>
            <w:r>
              <w:rPr>
                <w:rFonts w:ascii="Arial" w:cs="Arial" w:eastAsia="Arial" w:hAnsi="Arial"/>
                <w:sz w:val="13"/>
                <w:szCs w:val="13"/>
                <w:color w:val="auto"/>
                <w:w w:val="85"/>
              </w:rPr>
              <w:t>66,000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Kroger</w:t>
            </w:r>
          </w:p>
        </w:tc>
        <w:tc>
          <w:tcPr>
            <w:tcW w:w="23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7"/>
              </w:rPr>
              <w:t>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 / Gold's Gym / DSW</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tcPr>
          <w:p>
            <w:pPr>
              <w:ind w:left="420"/>
              <w:spacing w:after="0"/>
              <w:rPr>
                <w:sz w:val="20"/>
                <w:szCs w:val="20"/>
                <w:color w:val="auto"/>
              </w:rPr>
            </w:pPr>
            <w:r>
              <w:rPr>
                <w:rFonts w:ascii="Arial" w:cs="Arial" w:eastAsia="Arial" w:hAnsi="Arial"/>
                <w:sz w:val="13"/>
                <w:szCs w:val="13"/>
                <w:b w:val="1"/>
                <w:bCs w:val="1"/>
                <w:color w:val="auto"/>
              </w:rPr>
              <w:t>Total Other</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311,688</w:t>
            </w:r>
          </w:p>
        </w:tc>
        <w:tc>
          <w:tcPr>
            <w:tcW w:w="660" w:type="dxa"/>
            <w:vAlign w:val="bottom"/>
          </w:tcPr>
          <w:p>
            <w:pPr>
              <w:spacing w:after="0"/>
              <w:rPr>
                <w:sz w:val="14"/>
                <w:szCs w:val="14"/>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w w:val="96"/>
              </w:rPr>
              <w:t>1,899,000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320" w:type="dxa"/>
            <w:vAlign w:val="bottom"/>
          </w:tcPr>
          <w:p>
            <w:pPr>
              <w:spacing w:after="0"/>
              <w:rPr>
                <w:sz w:val="7"/>
                <w:szCs w:val="7"/>
                <w:color w:val="auto"/>
              </w:rPr>
            </w:pPr>
          </w:p>
        </w:tc>
      </w:tr>
      <w:tr>
        <w:trPr>
          <w:trHeight w:val="162"/>
        </w:trPr>
        <w:tc>
          <w:tcPr>
            <w:tcW w:w="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8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320" w:type="dxa"/>
            <w:vAlign w:val="bottom"/>
            <w:tcBorders>
              <w:bottom w:val="single" w:sz="8" w:color="auto"/>
            </w:tcBorders>
            <w:shd w:val="clear" w:color="auto" w:fill="CCEEFF"/>
          </w:tcPr>
          <w:p>
            <w:pPr>
              <w:spacing w:after="0"/>
              <w:rPr>
                <w:sz w:val="14"/>
                <w:szCs w:val="14"/>
                <w:color w:val="auto"/>
              </w:rPr>
            </w:pPr>
          </w:p>
        </w:tc>
      </w:tr>
      <w:tr>
        <w:trPr>
          <w:trHeight w:val="167"/>
        </w:trPr>
        <w:tc>
          <w:tcPr>
            <w:tcW w:w="860" w:type="dxa"/>
            <w:vAlign w:val="bottom"/>
            <w:gridSpan w:val="4"/>
          </w:tcPr>
          <w:p>
            <w:pPr>
              <w:ind w:left="40"/>
              <w:spacing w:after="0"/>
              <w:rPr>
                <w:sz w:val="20"/>
                <w:szCs w:val="20"/>
                <w:color w:val="auto"/>
              </w:rPr>
            </w:pPr>
            <w:r>
              <w:rPr>
                <w:rFonts w:ascii="Arial" w:cs="Arial" w:eastAsia="Arial" w:hAnsi="Arial"/>
                <w:sz w:val="13"/>
                <w:szCs w:val="13"/>
                <w:b w:val="1"/>
                <w:bCs w:val="1"/>
                <w:color w:val="auto"/>
              </w:rPr>
              <w:t>Grand Total</w:t>
            </w:r>
          </w:p>
        </w:tc>
        <w:tc>
          <w:tcPr>
            <w:tcW w:w="288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w w:val="90"/>
              </w:rPr>
              <w:t>$ 7,760,860</w:t>
            </w:r>
          </w:p>
        </w:tc>
        <w:tc>
          <w:tcPr>
            <w:tcW w:w="660" w:type="dxa"/>
            <w:vAlign w:val="bottom"/>
          </w:tcPr>
          <w:p>
            <w:pPr>
              <w:jc w:val="right"/>
              <w:ind w:right="39"/>
              <w:spacing w:after="0"/>
              <w:rPr>
                <w:sz w:val="20"/>
                <w:szCs w:val="20"/>
                <w:color w:val="auto"/>
              </w:rPr>
            </w:pPr>
            <w:r>
              <w:rPr>
                <w:rFonts w:ascii="Arial" w:cs="Arial" w:eastAsia="Arial" w:hAnsi="Arial"/>
                <w:sz w:val="13"/>
                <w:szCs w:val="13"/>
                <w:b w:val="1"/>
                <w:bCs w:val="1"/>
                <w:color w:val="auto"/>
                <w:w w:val="93"/>
              </w:rPr>
              <w:t>$ 548,295</w:t>
            </w:r>
          </w:p>
        </w:tc>
        <w:tc>
          <w:tcPr>
            <w:tcW w:w="440" w:type="dxa"/>
            <w:vAlign w:val="bottom"/>
          </w:tcPr>
          <w:p>
            <w:pPr>
              <w:jc w:val="right"/>
              <w:ind w:right="37"/>
              <w:spacing w:after="0"/>
              <w:rPr>
                <w:sz w:val="20"/>
                <w:szCs w:val="20"/>
                <w:color w:val="auto"/>
              </w:rPr>
            </w:pPr>
            <w:r>
              <w:rPr>
                <w:rFonts w:ascii="Arial" w:cs="Arial" w:eastAsia="Arial" w:hAnsi="Arial"/>
                <w:sz w:val="13"/>
                <w:szCs w:val="13"/>
                <w:b w:val="1"/>
                <w:bCs w:val="1"/>
                <w:color w:val="auto"/>
                <w:w w:val="98"/>
              </w:rPr>
              <w:t>1,984</w:t>
            </w:r>
          </w:p>
        </w:tc>
        <w:tc>
          <w:tcPr>
            <w:tcW w:w="12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w w:val="86"/>
              </w:rPr>
              <w:t>24,263,000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95%</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2,669</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80"/>
        <w:spacing w:after="0"/>
        <w:rPr>
          <w:sz w:val="20"/>
          <w:szCs w:val="20"/>
          <w:color w:val="auto"/>
        </w:rPr>
      </w:pPr>
      <w:r>
        <w:rPr>
          <w:rFonts w:ascii="Arial" w:cs="Arial" w:eastAsia="Arial" w:hAnsi="Arial"/>
          <w:sz w:val="14"/>
          <w:szCs w:val="14"/>
          <w:u w:val="single" w:color="auto"/>
          <w:color w:val="auto"/>
        </w:rPr>
        <w:t>Notes:</w:t>
      </w:r>
    </w:p>
    <w:p>
      <w:pPr>
        <w:spacing w:after="0" w:line="50" w:lineRule="exact"/>
        <w:rPr>
          <w:sz w:val="20"/>
          <w:szCs w:val="20"/>
          <w:color w:val="auto"/>
        </w:rPr>
      </w:pPr>
    </w:p>
    <w:p>
      <w:pPr>
        <w:ind w:left="660" w:right="140" w:hanging="571"/>
        <w:spacing w:after="0" w:line="239"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mortgage or capital lease obligations differ from the total reported on the consolidated balance sheet due to the unamortized discount, premium, and/or debt issuance costs on certain mortgages payable.</w:t>
      </w:r>
    </w:p>
    <w:p>
      <w:pPr>
        <w:spacing w:after="0" w:line="30" w:lineRule="exact"/>
        <w:rPr>
          <w:rFonts w:ascii="Arial" w:cs="Arial" w:eastAsia="Arial" w:hAnsi="Arial"/>
          <w:sz w:val="14"/>
          <w:szCs w:val="14"/>
          <w:color w:val="auto"/>
        </w:rPr>
      </w:pPr>
    </w:p>
    <w:p>
      <w:pPr>
        <w:ind w:left="660" w:right="460" w:hanging="571"/>
        <w:spacing w:after="0" w:line="239"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30" w:lineRule="exact"/>
        <w:rPr>
          <w:rFonts w:ascii="Arial" w:cs="Arial" w:eastAsia="Arial" w:hAnsi="Arial"/>
          <w:sz w:val="14"/>
          <w:szCs w:val="14"/>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Trust has a controlling financial interest in this property.</w:t>
      </w:r>
    </w:p>
    <w:p>
      <w:pPr>
        <w:spacing w:after="0" w:line="41" w:lineRule="exact"/>
        <w:rPr>
          <w:rFonts w:ascii="Arial" w:cs="Arial" w:eastAsia="Arial" w:hAnsi="Arial"/>
          <w:sz w:val="14"/>
          <w:szCs w:val="14"/>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Portion of property is currently under development. See further discussion in the Assembly Row and Pike &amp; Rose schedules.</w:t>
      </w:r>
    </w:p>
    <w:p>
      <w:pPr>
        <w:spacing w:after="0" w:line="41" w:lineRule="exact"/>
        <w:rPr>
          <w:rFonts w:ascii="Arial" w:cs="Arial" w:eastAsia="Arial" w:hAnsi="Arial"/>
          <w:sz w:val="14"/>
          <w:szCs w:val="14"/>
          <w:color w:val="auto"/>
        </w:rPr>
      </w:pPr>
    </w:p>
    <w:p>
      <w:pPr>
        <w:ind w:left="660" w:right="480" w:hanging="571"/>
        <w:spacing w:after="0" w:line="239"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or a portion of the property is owned in a "downREIT" partnership, of which a wholly owned subsidiary of the Trust is the sole general partner, with third party partners holding operating partnership units.</w:t>
      </w:r>
    </w:p>
    <w:p>
      <w:pPr>
        <w:spacing w:after="0" w:line="30" w:lineRule="exact"/>
        <w:rPr>
          <w:rFonts w:ascii="Arial" w:cs="Arial" w:eastAsia="Arial" w:hAnsi="Arial"/>
          <w:sz w:val="14"/>
          <w:szCs w:val="14"/>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or a portion of property subject to capital lease obligation.</w:t>
      </w:r>
    </w:p>
    <w:p>
      <w:pPr>
        <w:spacing w:after="0" w:line="41" w:lineRule="exact"/>
        <w:rPr>
          <w:rFonts w:ascii="Arial" w:cs="Arial" w:eastAsia="Arial" w:hAnsi="Arial"/>
          <w:sz w:val="14"/>
          <w:szCs w:val="14"/>
          <w:color w:val="auto"/>
        </w:rPr>
      </w:pPr>
    </w:p>
    <w:p>
      <w:pPr>
        <w:ind w:left="660" w:right="80" w:hanging="571"/>
        <w:spacing w:after="0" w:line="278" w:lineRule="auto"/>
        <w:tabs>
          <w:tab w:leader="none" w:pos="6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On June 15, 2018, we formed a new joint venture to develop Jordan Downs Plaza, which when completed, will be an approximately 113,000 square foot grocery anchored shopping center located in Los Angeles County, California. We initially invested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 10-year option periods which may be exercised at our option). See further discussion in the Summary of Redevelopments Opportunities schedule, as well as Note 3 of our September 30, 2018 Form 10-Q.</w:t>
      </w:r>
    </w:p>
    <w:p>
      <w:pPr>
        <w:spacing w:after="0" w:line="8" w:lineRule="exact"/>
        <w:rPr>
          <w:rFonts w:ascii="Arial" w:cs="Arial" w:eastAsia="Arial" w:hAnsi="Arial"/>
          <w:sz w:val="12"/>
          <w:szCs w:val="12"/>
          <w:color w:val="auto"/>
        </w:rPr>
      </w:pPr>
    </w:p>
    <w:p>
      <w:pPr>
        <w:ind w:left="660" w:hanging="571"/>
        <w:spacing w:after="0"/>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 August 16, 2018, we sold the residential building at our Chelsea Commons property in Chelsea, Massachusetts for a sales price of $15.0 million, resulting in a gain of $3.1 million.</w:t>
      </w:r>
    </w:p>
    <w:p>
      <w:pPr>
        <w:spacing w:after="0" w:line="53" w:lineRule="exact"/>
        <w:rPr>
          <w:rFonts w:ascii="Arial" w:cs="Arial" w:eastAsia="Arial" w:hAnsi="Arial"/>
          <w:sz w:val="13"/>
          <w:szCs w:val="13"/>
          <w:color w:val="auto"/>
        </w:rPr>
      </w:pPr>
    </w:p>
    <w:p>
      <w:pPr>
        <w:ind w:left="660" w:hanging="571"/>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property includes interests in five buildings in addition to our initial acquisition.</w:t>
      </w:r>
    </w:p>
    <w:p>
      <w:pPr>
        <w:sectPr>
          <w:pgSz w:w="11900" w:h="16838" w:orient="portrait"/>
          <w:cols w:equalWidth="0" w:num="1">
            <w:col w:w="11420"/>
          </w:cols>
          <w:pgMar w:left="240" w:top="747"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7" w:right="239" w:bottom="1440" w:gutter="0" w:footer="0" w:header="0"/>
          <w:type w:val="continuous"/>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September 30, 2018</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447,765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38.31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$ 36.22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938,618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11,600,019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25.91</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449,247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34.75</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$ 31.61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1,410,856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17,466,295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38.88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403,250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31.51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$ 25.91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2,258,454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7,422,889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18.41</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300,511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34.75</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1,369,494</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9,763,062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32.49</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1,600,773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34.93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$ 31.20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5,977,422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46,252,265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28.89</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151,703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43.71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$ 38.82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741,449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11,219,487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73.96</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203,883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38.18</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$ 33.13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1,030,413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16,706,322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81.94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203,038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28.44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$ 19.61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1,792,929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7,127,676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35.11</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49%</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158,213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32.66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$ 27.27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853,245</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9,545,231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60.33</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716,837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35.37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$ 29.21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4,418,036</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44,598,716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62.22</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296,062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35.55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$ 34.88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197,169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380,532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1.29</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245,364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31.90</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$ 30.35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380,443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759,973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3.10</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200,212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34.62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465,525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295,213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1.47</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51%</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142,298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37.07</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$ 33.44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516,249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217,831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1.53</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883,936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34.57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1,559,386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1,653,549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1.87</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2018</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469,214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38.73</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12,336,651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26.29</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2nd Quarter 2018</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474,578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35.37</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17,912,856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37.74</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2018</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405,556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31.69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7,831,363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19.31</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4th Quarter 2017</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344,768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35.68</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10,887,204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31.58</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1,694,116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35.49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48,968,074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28.90</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600" w:right="380" w:hanging="585"/>
        <w:spacing w:after="0" w:line="237" w:lineRule="auto"/>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Approximately $1.7 million ($3.06 per square foot) in 3rd Quarter 2018 and $5.4 million ($9.80 per square foot) in 2nd Quarter 2018 of the Tenant Improvements &amp; Incentives are for properties under active redevelopment and are included in the Projected Cost for those properties on the Summary of Redevelopment Opportunities.</w:t>
      </w:r>
    </w:p>
    <w:p>
      <w:pPr>
        <w:spacing w:after="0" w:line="28" w:lineRule="exact"/>
        <w:rPr>
          <w:rFonts w:ascii="Arial" w:cs="Arial" w:eastAsia="Arial" w:hAnsi="Arial"/>
          <w:sz w:val="13"/>
          <w:szCs w:val="13"/>
          <w:color w:val="auto"/>
        </w:rPr>
      </w:pPr>
    </w:p>
    <w:p>
      <w:pPr>
        <w:ind w:left="600" w:hanging="585"/>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600" w:right="120" w:hanging="585"/>
        <w:spacing w:after="0" w:line="288" w:lineRule="auto"/>
        <w:tabs>
          <w:tab w:leader="none" w:pos="60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Phase 2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2 of Assembly Row and Pike &amp; Rose are included in the Projected Cost column for those projects shown on the Assembly Row and Pike &amp; Rose schedule.</w:t>
      </w:r>
    </w:p>
    <w:p>
      <w:pPr>
        <w:sectPr>
          <w:pgSz w:w="11900" w:h="16838" w:orient="portrait"/>
          <w:cols w:equalWidth="0" w:num="1">
            <w:col w:w="11380"/>
          </w:cols>
          <w:pgMar w:left="260" w:top="760"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60" w:top="760" w:right="25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2130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50"/>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207,000</w:t>
            </w:r>
          </w:p>
        </w:tc>
        <w:tc>
          <w:tcPr>
            <w:tcW w:w="12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15.35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228,000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435,000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23.46</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1,383,000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18.99</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732,000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37.67</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2,115,000</w:t>
            </w: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25.46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1,328,000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16.95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971,000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26.98</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1,634,000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22.88</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932,000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43.27</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2,565,000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30.28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2,092,000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18.14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979,000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42.11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25.78</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1,662,000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20.26</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900,000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44.45</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2,563,000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28.76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1,765,000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16.58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628,000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45.50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2,393,000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905,000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23.02</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470,000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42.04</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1,374,000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26.20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364,000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33.62</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713,000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32.42</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483,000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48.39</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1,196,000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38.86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3,248,000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20.27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500,000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50.64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3,748,000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15,510,000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20.31</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7,187,000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43.02</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22,697,000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00" w:type="dxa"/>
            <w:vAlign w:val="bottom"/>
            <w:tcBorders>
              <w:left w:val="single" w:sz="8" w:color="auto"/>
            </w:tcBorders>
            <w:gridSpan w:val="3"/>
          </w:tcPr>
          <w:p>
            <w:pPr>
              <w:jc w:val="right"/>
              <w:ind w:right="497"/>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2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2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Minimum Rent</w:t>
            </w:r>
          </w:p>
        </w:tc>
        <w:tc>
          <w:tcPr>
            <w:tcW w:w="12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 of Small</w:t>
            </w:r>
          </w:p>
        </w:tc>
        <w:tc>
          <w:tcPr>
            <w:tcW w:w="1360" w:type="dxa"/>
            <w:vAlign w:val="bottom"/>
            <w:gridSpan w:val="3"/>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14.45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185,000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450,000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19.84</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498,000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36.99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948,000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17.03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402,000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26.95</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560,000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46.99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962,000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38.62</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23.04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41.59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34.56</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430,000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22.27</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532,000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41.66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962,000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20.44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381,000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45.13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29.52</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370,000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22.55</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404,000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43.03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774,000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26.56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32.94</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694,000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19.16</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Arial" w:cs="Arial" w:eastAsia="Arial" w:hAnsi="Arial"/>
                <w:sz w:val="16"/>
                <w:szCs w:val="16"/>
                <w:color w:val="auto"/>
              </w:rPr>
              <w:t>470,000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45.63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1,164,000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29.84</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11,246,000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19.84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2,577,000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45.36</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13,823,000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15,510,000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20.31</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7,187,000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43.02</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22,697,000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Anchor is defined as a tenant leasing 10,000 square feet or more.</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cash-basis excluding rent abatements) rent as of September 30, 2018.</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September 30, 2018.</w:t>
      </w:r>
    </w:p>
    <w:p>
      <w:pPr>
        <w:spacing w:after="0" w:line="72" w:lineRule="exact"/>
        <w:rPr>
          <w:rFonts w:ascii="Arial" w:cs="Arial" w:eastAsia="Arial" w:hAnsi="Arial"/>
          <w:sz w:val="16"/>
          <w:szCs w:val="16"/>
          <w:color w:val="auto"/>
        </w:rPr>
      </w:pPr>
    </w:p>
    <w:p>
      <w:pPr>
        <w:ind w:left="1140" w:hanging="110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9" w:name="page30"/>
    <w:bookmarkEnd w:id="29"/>
    <w:p>
      <w:pPr>
        <w:ind w:left="40" w:right="1260"/>
        <w:spacing w:after="0" w:line="355" w:lineRule="auto"/>
        <w:rPr>
          <w:sz w:val="20"/>
          <w:szCs w:val="20"/>
          <w:color w:val="auto"/>
        </w:rPr>
      </w:pPr>
      <w:r>
        <w:rPr>
          <w:rFonts w:ascii="Arial" w:cs="Arial" w:eastAsia="Arial" w:hAnsi="Arial"/>
          <w:sz w:val="17"/>
          <w:szCs w:val="17"/>
          <w:b w:val="1"/>
          <w:bCs w:val="1"/>
          <w:color w:val="auto"/>
        </w:rPr>
        <w:t>Federal Realty Investment Trust Portfolio Leased Statistics September 30, 2018</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(4)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5"/>
          <w:szCs w:val="15"/>
          <w:b w:val="1"/>
          <w:bCs w:val="1"/>
          <w:u w:val="single" w:color="auto"/>
          <w:color w:val="auto"/>
        </w:rPr>
        <w:t>Comparable Property Statistics (1)</w:t>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At September 30, 2018</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September 30, 2017</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60" w:type="dxa"/>
            <w:vAlign w:val="bottom"/>
            <w:gridSpan w:val="3"/>
          </w:tcPr>
          <w:p>
            <w:pPr>
              <w:ind w:left="680"/>
              <w:spacing w:after="0"/>
              <w:rPr>
                <w:sz w:val="20"/>
                <w:szCs w:val="20"/>
                <w:color w:val="auto"/>
              </w:rPr>
            </w:pPr>
            <w:r>
              <w:rPr>
                <w:rFonts w:ascii="Arial" w:cs="Arial" w:eastAsia="Arial" w:hAnsi="Arial"/>
                <w:sz w:val="16"/>
                <w:szCs w:val="16"/>
                <w:color w:val="auto"/>
                <w:w w:val="83"/>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24,263,000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22,996,000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24,063,000</w:t>
            </w: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22,844,000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94.9%</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2,669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2,557</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95.8%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2,084</w:t>
            </w:r>
          </w:p>
        </w:tc>
        <w:tc>
          <w:tcPr>
            <w:tcW w:w="2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1,972</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94.6%</w:t>
            </w:r>
          </w:p>
        </w:tc>
      </w:tr>
      <w:tr>
        <w:trPr>
          <w:trHeight w:val="864"/>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At September 30, 2018</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September 30, 2017</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60" w:type="dxa"/>
            <w:vAlign w:val="bottom"/>
            <w:gridSpan w:val="3"/>
          </w:tcPr>
          <w:p>
            <w:pPr>
              <w:ind w:left="680"/>
              <w:spacing w:after="0"/>
              <w:rPr>
                <w:sz w:val="20"/>
                <w:szCs w:val="20"/>
                <w:color w:val="auto"/>
              </w:rPr>
            </w:pPr>
            <w:r>
              <w:rPr>
                <w:rFonts w:ascii="Arial" w:cs="Arial" w:eastAsia="Arial" w:hAnsi="Arial"/>
                <w:sz w:val="16"/>
                <w:szCs w:val="16"/>
                <w:color w:val="auto"/>
                <w:w w:val="83"/>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(4) (sf)</w:t>
            </w:r>
          </w:p>
        </w:tc>
        <w:tc>
          <w:tcPr>
            <w:tcW w:w="2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21,847,000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20,796,000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95.2%</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21,866,000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20,850,000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70"/>
        </w:trPr>
        <w:tc>
          <w:tcPr>
            <w:tcW w:w="33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2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1,350</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1,300</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96.3%</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1,350</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1,317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33"/>
        </w:trPr>
        <w:tc>
          <w:tcPr>
            <w:tcW w:w="33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September 30, 2018 leased percentage was 97.7% for anchor tenants and 88.9% for small shop tenants.</w:t>
      </w:r>
    </w:p>
    <w:p>
      <w:pPr>
        <w:spacing w:after="0" w:line="72" w:lineRule="exact"/>
        <w:rPr>
          <w:rFonts w:ascii="Arial" w:cs="Arial" w:eastAsia="Arial" w:hAnsi="Arial"/>
          <w:sz w:val="16"/>
          <w:szCs w:val="16"/>
          <w:color w:val="auto"/>
        </w:rPr>
      </w:pPr>
    </w:p>
    <w:p>
      <w:pPr>
        <w:ind w:left="840" w:right="180" w:hanging="805"/>
        <w:spacing w:after="0" w:line="293"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Occupied percentage was 93.7% and 93.8% at September 30, 2018 and 2017, respectively, and comparable property occupied percentage was 94.1% and 94.2% at September 30,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type w:val="continuous"/>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940" w:type="dxa"/>
            <w:vAlign w:val="bottom"/>
            <w:vMerge w:val="restart"/>
          </w:tcPr>
          <w:p>
            <w:pPr>
              <w:jc w:val="center"/>
              <w:ind w:left="1028"/>
              <w:spacing w:after="0"/>
              <w:rPr>
                <w:sz w:val="20"/>
                <w:szCs w:val="20"/>
                <w:color w:val="auto"/>
              </w:rPr>
            </w:pPr>
            <w:r>
              <w:rPr>
                <w:rFonts w:ascii="Arial" w:cs="Arial" w:eastAsia="Arial" w:hAnsi="Arial"/>
                <w:sz w:val="14"/>
                <w:szCs w:val="14"/>
                <w:b w:val="1"/>
                <w:bCs w:val="1"/>
                <w:color w:val="auto"/>
                <w:w w:val="96"/>
              </w:rPr>
              <w:t>Credit Ratings</w:t>
            </w: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Annualized Base</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Percentage of Total</w:t>
            </w:r>
          </w:p>
        </w:tc>
        <w:tc>
          <w:tcPr>
            <w:tcW w:w="20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Percentage of</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Rank   Tenant Name</w:t>
            </w:r>
          </w:p>
        </w:tc>
        <w:tc>
          <w:tcPr>
            <w:tcW w:w="294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Annualized Base</w:t>
            </w:r>
          </w:p>
        </w:tc>
        <w:tc>
          <w:tcPr>
            <w:tcW w:w="2080" w:type="dxa"/>
            <w:vAlign w:val="bottom"/>
            <w:vMerge w:val="continue"/>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jc w:val="center"/>
              <w:ind w:left="1028"/>
              <w:spacing w:after="0"/>
              <w:rPr>
                <w:sz w:val="20"/>
                <w:szCs w:val="20"/>
                <w:color w:val="auto"/>
              </w:rPr>
            </w:pPr>
            <w:r>
              <w:rPr>
                <w:rFonts w:ascii="Arial" w:cs="Arial" w:eastAsia="Arial" w:hAnsi="Arial"/>
                <w:sz w:val="14"/>
                <w:szCs w:val="14"/>
                <w:b w:val="1"/>
                <w:bCs w:val="1"/>
                <w:color w:val="auto"/>
                <w:w w:val="97"/>
              </w:rPr>
              <w:t>(S&amp;P/Moody's/Fitch) (1)</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Rent (3)</w:t>
            </w:r>
          </w:p>
        </w:tc>
        <w:tc>
          <w:tcPr>
            <w:tcW w:w="2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Tenant GLA  Total GLA (3)</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3340" w:type="dxa"/>
            <w:vAlign w:val="bottom"/>
          </w:tcPr>
          <w:p>
            <w:pPr>
              <w:ind w:left="120"/>
              <w:spacing w:after="0"/>
              <w:rPr>
                <w:sz w:val="20"/>
                <w:szCs w:val="20"/>
                <w:color w:val="auto"/>
              </w:rPr>
            </w:pPr>
            <w:r>
              <w:rPr>
                <w:rFonts w:ascii="Arial" w:cs="Arial" w:eastAsia="Arial" w:hAnsi="Arial"/>
                <w:sz w:val="16"/>
                <w:szCs w:val="16"/>
                <w:color w:val="auto"/>
              </w:rPr>
              <w:t>TJX Companies,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340" w:type="dxa"/>
            <w:vAlign w:val="bottom"/>
          </w:tcPr>
          <w:p>
            <w:pPr>
              <w:ind w:left="120"/>
              <w:spacing w:after="0"/>
              <w:rPr>
                <w:sz w:val="20"/>
                <w:szCs w:val="20"/>
                <w:color w:val="auto"/>
              </w:rPr>
            </w:pPr>
            <w:r>
              <w:rPr>
                <w:rFonts w:ascii="Arial" w:cs="Arial" w:eastAsia="Arial" w:hAnsi="Arial"/>
                <w:sz w:val="16"/>
                <w:szCs w:val="16"/>
                <w:color w:val="auto"/>
              </w:rPr>
              <w:t>Ahold Delhaize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340" w:type="dxa"/>
            <w:vAlign w:val="bottom"/>
          </w:tcPr>
          <w:p>
            <w:pPr>
              <w:ind w:left="120"/>
              <w:spacing w:after="0"/>
              <w:rPr>
                <w:sz w:val="20"/>
                <w:szCs w:val="20"/>
                <w:color w:val="auto"/>
              </w:rPr>
            </w:pPr>
            <w:r>
              <w:rPr>
                <w:rFonts w:ascii="Arial" w:cs="Arial" w:eastAsia="Arial" w:hAnsi="Arial"/>
                <w:sz w:val="16"/>
                <w:szCs w:val="16"/>
                <w:color w:val="auto"/>
              </w:rPr>
              <w:t>Gap, Inc.,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340" w:type="dxa"/>
            <w:vAlign w:val="bottom"/>
          </w:tcPr>
          <w:p>
            <w:pPr>
              <w:ind w:left="120"/>
              <w:spacing w:after="0"/>
              <w:rPr>
                <w:sz w:val="20"/>
                <w:szCs w:val="20"/>
                <w:color w:val="auto"/>
              </w:rPr>
            </w:pPr>
            <w:r>
              <w:rPr>
                <w:rFonts w:ascii="Arial" w:cs="Arial" w:eastAsia="Arial" w:hAnsi="Arial"/>
                <w:sz w:val="16"/>
                <w:szCs w:val="16"/>
                <w:color w:val="auto"/>
              </w:rPr>
              <w:t>Bed, Bath &amp; Beyond,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340" w:type="dxa"/>
            <w:vAlign w:val="bottom"/>
          </w:tcPr>
          <w:p>
            <w:pPr>
              <w:ind w:left="120"/>
              <w:spacing w:after="0"/>
              <w:rPr>
                <w:sz w:val="20"/>
                <w:szCs w:val="20"/>
                <w:color w:val="auto"/>
              </w:rPr>
            </w:pPr>
            <w:r>
              <w:rPr>
                <w:rFonts w:ascii="Arial" w:cs="Arial" w:eastAsia="Arial" w:hAnsi="Arial"/>
                <w:sz w:val="16"/>
                <w:szCs w:val="16"/>
                <w:color w:val="auto"/>
              </w:rPr>
              <w:t>L.A. Fitness International LLC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B+ / B2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3340" w:type="dxa"/>
            <w:vAlign w:val="bottom"/>
          </w:tcPr>
          <w:p>
            <w:pPr>
              <w:ind w:left="120"/>
              <w:spacing w:after="0"/>
              <w:rPr>
                <w:sz w:val="20"/>
                <w:szCs w:val="20"/>
                <w:color w:val="auto"/>
              </w:rPr>
            </w:pPr>
            <w:r>
              <w:rPr>
                <w:rFonts w:ascii="Arial" w:cs="Arial" w:eastAsia="Arial" w:hAnsi="Arial"/>
                <w:sz w:val="16"/>
                <w:szCs w:val="16"/>
                <w:color w:val="auto"/>
              </w:rPr>
              <w:t>Splunk,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340" w:type="dxa"/>
            <w:vAlign w:val="bottom"/>
          </w:tcPr>
          <w:p>
            <w:pPr>
              <w:ind w:left="120"/>
              <w:spacing w:after="0"/>
              <w:rPr>
                <w:sz w:val="20"/>
                <w:szCs w:val="20"/>
                <w:color w:val="auto"/>
              </w:rPr>
            </w:pPr>
            <w:r>
              <w:rPr>
                <w:rFonts w:ascii="Arial" w:cs="Arial" w:eastAsia="Arial" w:hAnsi="Arial"/>
                <w:sz w:val="16"/>
                <w:szCs w:val="16"/>
                <w:color w:val="auto"/>
              </w:rPr>
              <w:t>CVS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3"/>
              </w:rPr>
              <w:t>BBB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3340" w:type="dxa"/>
            <w:vAlign w:val="bottom"/>
          </w:tcPr>
          <w:p>
            <w:pPr>
              <w:ind w:left="120"/>
              <w:spacing w:after="0"/>
              <w:rPr>
                <w:sz w:val="20"/>
                <w:szCs w:val="20"/>
                <w:color w:val="auto"/>
              </w:rPr>
            </w:pPr>
            <w:r>
              <w:rPr>
                <w:rFonts w:ascii="Arial" w:cs="Arial" w:eastAsia="Arial" w:hAnsi="Arial"/>
                <w:sz w:val="16"/>
                <w:szCs w:val="16"/>
                <w:color w:val="auto"/>
              </w:rPr>
              <w:t>AMC Entertainment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B2 / 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3340" w:type="dxa"/>
            <w:vAlign w:val="bottom"/>
          </w:tcPr>
          <w:p>
            <w:pPr>
              <w:ind w:left="120"/>
              <w:spacing w:after="0"/>
              <w:rPr>
                <w:sz w:val="20"/>
                <w:szCs w:val="20"/>
                <w:color w:val="auto"/>
              </w:rPr>
            </w:pPr>
            <w:r>
              <w:rPr>
                <w:rFonts w:ascii="Arial" w:cs="Arial" w:eastAsia="Arial" w:hAnsi="Arial"/>
                <w:sz w:val="16"/>
                <w:szCs w:val="16"/>
                <w:color w:val="auto"/>
              </w:rPr>
              <w:t>Best Buy Co.,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6"/>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10</w:t>
            </w:r>
          </w:p>
        </w:tc>
        <w:tc>
          <w:tcPr>
            <w:tcW w:w="3340" w:type="dxa"/>
            <w:vAlign w:val="bottom"/>
          </w:tcPr>
          <w:p>
            <w:pPr>
              <w:ind w:left="120"/>
              <w:spacing w:after="0"/>
              <w:rPr>
                <w:sz w:val="20"/>
                <w:szCs w:val="20"/>
                <w:color w:val="auto"/>
              </w:rPr>
            </w:pPr>
            <w:r>
              <w:rPr>
                <w:rFonts w:ascii="Arial" w:cs="Arial" w:eastAsia="Arial" w:hAnsi="Arial"/>
                <w:sz w:val="16"/>
                <w:szCs w:val="16"/>
                <w:color w:val="auto"/>
              </w:rPr>
              <w:t>Dick's Sporting Goods,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11</w:t>
            </w:r>
          </w:p>
        </w:tc>
        <w:tc>
          <w:tcPr>
            <w:tcW w:w="3340" w:type="dxa"/>
            <w:vAlign w:val="bottom"/>
          </w:tcPr>
          <w:p>
            <w:pPr>
              <w:ind w:left="120"/>
              <w:spacing w:after="0"/>
              <w:rPr>
                <w:sz w:val="20"/>
                <w:szCs w:val="20"/>
                <w:color w:val="auto"/>
              </w:rPr>
            </w:pPr>
            <w:r>
              <w:rPr>
                <w:rFonts w:ascii="Arial" w:cs="Arial" w:eastAsia="Arial" w:hAnsi="Arial"/>
                <w:sz w:val="16"/>
                <w:szCs w:val="16"/>
                <w:color w:val="auto"/>
              </w:rPr>
              <w:t>Michaels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 / Ba2 / NR</w:t>
            </w:r>
          </w:p>
        </w:tc>
      </w:tr>
      <w:tr>
        <w:trPr>
          <w:trHeight w:val="266"/>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12</w:t>
            </w:r>
          </w:p>
        </w:tc>
        <w:tc>
          <w:tcPr>
            <w:tcW w:w="3340" w:type="dxa"/>
            <w:vAlign w:val="bottom"/>
          </w:tcPr>
          <w:p>
            <w:pPr>
              <w:ind w:left="120"/>
              <w:spacing w:after="0"/>
              <w:rPr>
                <w:sz w:val="20"/>
                <w:szCs w:val="20"/>
                <w:color w:val="auto"/>
              </w:rPr>
            </w:pPr>
            <w:r>
              <w:rPr>
                <w:rFonts w:ascii="Arial" w:cs="Arial" w:eastAsia="Arial" w:hAnsi="Arial"/>
                <w:sz w:val="16"/>
                <w:szCs w:val="16"/>
                <w:color w:val="auto"/>
              </w:rPr>
              <w:t>Ascena Retail Group, Inc. (Dress Barn, Loft,</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Ba3 / NR</w:t>
            </w:r>
          </w:p>
        </w:tc>
      </w:tr>
      <w:tr>
        <w:trPr>
          <w:trHeight w:val="203"/>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Lou &amp; Grey, Ann Taylor, Catherine's, Justice,</w:t>
            </w:r>
          </w:p>
        </w:tc>
        <w:tc>
          <w:tcPr>
            <w:tcW w:w="1580" w:type="dxa"/>
            <w:vAlign w:val="bottom"/>
          </w:tcPr>
          <w:p>
            <w:pPr>
              <w:spacing w:after="0"/>
              <w:rPr>
                <w:sz w:val="17"/>
                <w:szCs w:val="17"/>
                <w:color w:val="auto"/>
              </w:rPr>
            </w:pPr>
          </w:p>
        </w:tc>
      </w:tr>
      <w:tr>
        <w:trPr>
          <w:trHeight w:val="206"/>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Lane Bryant)</w:t>
            </w:r>
          </w:p>
        </w:tc>
        <w:tc>
          <w:tcPr>
            <w:tcW w:w="1580" w:type="dxa"/>
            <w:vAlign w:val="bottom"/>
          </w:tcPr>
          <w:p>
            <w:pPr>
              <w:spacing w:after="0"/>
              <w:rPr>
                <w:sz w:val="17"/>
                <w:szCs w:val="17"/>
                <w:color w:val="auto"/>
              </w:rPr>
            </w:pPr>
          </w:p>
        </w:tc>
      </w:tr>
      <w:tr>
        <w:trPr>
          <w:trHeight w:val="257"/>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13</w:t>
            </w:r>
          </w:p>
        </w:tc>
        <w:tc>
          <w:tcPr>
            <w:tcW w:w="3340" w:type="dxa"/>
            <w:vAlign w:val="bottom"/>
          </w:tcPr>
          <w:p>
            <w:pPr>
              <w:ind w:left="120"/>
              <w:spacing w:after="0"/>
              <w:rPr>
                <w:sz w:val="20"/>
                <w:szCs w:val="20"/>
                <w:color w:val="auto"/>
              </w:rPr>
            </w:pPr>
            <w:r>
              <w:rPr>
                <w:rFonts w:ascii="Arial" w:cs="Arial" w:eastAsia="Arial" w:hAnsi="Arial"/>
                <w:sz w:val="16"/>
                <w:szCs w:val="16"/>
                <w:color w:val="auto"/>
              </w:rPr>
              <w:t>Kroger Co., The</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14</w:t>
            </w:r>
          </w:p>
        </w:tc>
        <w:tc>
          <w:tcPr>
            <w:tcW w:w="3340" w:type="dxa"/>
            <w:vAlign w:val="bottom"/>
          </w:tcPr>
          <w:p>
            <w:pPr>
              <w:ind w:left="120"/>
              <w:spacing w:after="0"/>
              <w:rPr>
                <w:sz w:val="20"/>
                <w:szCs w:val="20"/>
                <w:color w:val="auto"/>
              </w:rPr>
            </w:pPr>
            <w:r>
              <w:rPr>
                <w:rFonts w:ascii="Arial" w:cs="Arial" w:eastAsia="Arial" w:hAnsi="Arial"/>
                <w:sz w:val="16"/>
                <w:szCs w:val="16"/>
                <w:color w:val="auto"/>
              </w:rPr>
              <w:t>Home Depot,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15</w:t>
            </w:r>
          </w:p>
        </w:tc>
        <w:tc>
          <w:tcPr>
            <w:tcW w:w="3340" w:type="dxa"/>
            <w:vAlign w:val="bottom"/>
          </w:tcPr>
          <w:p>
            <w:pPr>
              <w:ind w:left="120"/>
              <w:spacing w:after="0"/>
              <w:rPr>
                <w:sz w:val="20"/>
                <w:szCs w:val="20"/>
                <w:color w:val="auto"/>
              </w:rPr>
            </w:pPr>
            <w:r>
              <w:rPr>
                <w:rFonts w:ascii="Arial" w:cs="Arial" w:eastAsia="Arial" w:hAnsi="Arial"/>
                <w:sz w:val="16"/>
                <w:szCs w:val="16"/>
                <w:color w:val="auto"/>
              </w:rPr>
              <w:t>Bank of America, N.A.</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A3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16</w:t>
            </w:r>
          </w:p>
        </w:tc>
        <w:tc>
          <w:tcPr>
            <w:tcW w:w="3340" w:type="dxa"/>
            <w:vAlign w:val="bottom"/>
          </w:tcPr>
          <w:p>
            <w:pPr>
              <w:ind w:left="120"/>
              <w:spacing w:after="0"/>
              <w:rPr>
                <w:sz w:val="20"/>
                <w:szCs w:val="20"/>
                <w:color w:val="auto"/>
              </w:rPr>
            </w:pPr>
            <w:r>
              <w:rPr>
                <w:rFonts w:ascii="Arial" w:cs="Arial" w:eastAsia="Arial" w:hAnsi="Arial"/>
                <w:sz w:val="16"/>
                <w:szCs w:val="16"/>
                <w:color w:val="auto"/>
              </w:rPr>
              <w:t>DSW,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17</w:t>
            </w:r>
          </w:p>
        </w:tc>
        <w:tc>
          <w:tcPr>
            <w:tcW w:w="3340" w:type="dxa"/>
            <w:vAlign w:val="bottom"/>
          </w:tcPr>
          <w:p>
            <w:pPr>
              <w:ind w:left="120"/>
              <w:spacing w:after="0"/>
              <w:rPr>
                <w:sz w:val="20"/>
                <w:szCs w:val="20"/>
                <w:color w:val="auto"/>
              </w:rPr>
            </w:pPr>
            <w:r>
              <w:rPr>
                <w:rFonts w:ascii="Arial" w:cs="Arial" w:eastAsia="Arial" w:hAnsi="Arial"/>
                <w:sz w:val="16"/>
                <w:szCs w:val="16"/>
                <w:color w:val="auto"/>
                <w:w w:val="97"/>
              </w:rPr>
              <w:t>Hudson's Bay Company (Saks, Lord &amp; Taylor)</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18</w:t>
            </w:r>
          </w:p>
        </w:tc>
        <w:tc>
          <w:tcPr>
            <w:tcW w:w="3340" w:type="dxa"/>
            <w:vAlign w:val="bottom"/>
          </w:tcPr>
          <w:p>
            <w:pPr>
              <w:ind w:left="120"/>
              <w:spacing w:after="0"/>
              <w:rPr>
                <w:sz w:val="20"/>
                <w:szCs w:val="20"/>
                <w:color w:val="auto"/>
              </w:rPr>
            </w:pPr>
            <w:r>
              <w:rPr>
                <w:rFonts w:ascii="Arial" w:cs="Arial" w:eastAsia="Arial" w:hAnsi="Arial"/>
                <w:sz w:val="16"/>
                <w:szCs w:val="16"/>
                <w:color w:val="auto"/>
              </w:rPr>
              <w:t>Nordstrom,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19</w:t>
            </w:r>
          </w:p>
        </w:tc>
        <w:tc>
          <w:tcPr>
            <w:tcW w:w="3340" w:type="dxa"/>
            <w:vAlign w:val="bottom"/>
          </w:tcPr>
          <w:p>
            <w:pPr>
              <w:ind w:left="120"/>
              <w:spacing w:after="0"/>
              <w:rPr>
                <w:sz w:val="20"/>
                <w:szCs w:val="20"/>
                <w:color w:val="auto"/>
              </w:rPr>
            </w:pPr>
            <w:r>
              <w:rPr>
                <w:rFonts w:ascii="Arial" w:cs="Arial" w:eastAsia="Arial" w:hAnsi="Arial"/>
                <w:sz w:val="16"/>
                <w:szCs w:val="16"/>
                <w:color w:val="auto"/>
              </w:rPr>
              <w:t>Ross Stores,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8"/>
              </w:rPr>
              <w:t>A- / A3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20</w:t>
            </w:r>
          </w:p>
        </w:tc>
        <w:tc>
          <w:tcPr>
            <w:tcW w:w="3340" w:type="dxa"/>
            <w:vAlign w:val="bottom"/>
          </w:tcPr>
          <w:p>
            <w:pPr>
              <w:ind w:left="120"/>
              <w:spacing w:after="0"/>
              <w:rPr>
                <w:sz w:val="20"/>
                <w:szCs w:val="20"/>
                <w:color w:val="auto"/>
              </w:rPr>
            </w:pPr>
            <w:r>
              <w:rPr>
                <w:rFonts w:ascii="Arial" w:cs="Arial" w:eastAsia="Arial" w:hAnsi="Arial"/>
                <w:sz w:val="16"/>
                <w:szCs w:val="16"/>
                <w:color w:val="auto"/>
              </w:rPr>
              <w:t>Ulta Beauty,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21</w:t>
            </w:r>
          </w:p>
        </w:tc>
        <w:tc>
          <w:tcPr>
            <w:tcW w:w="3340" w:type="dxa"/>
            <w:vAlign w:val="bottom"/>
          </w:tcPr>
          <w:p>
            <w:pPr>
              <w:ind w:left="120"/>
              <w:spacing w:after="0"/>
              <w:rPr>
                <w:sz w:val="20"/>
                <w:szCs w:val="20"/>
                <w:color w:val="auto"/>
              </w:rPr>
            </w:pPr>
            <w:r>
              <w:rPr>
                <w:rFonts w:ascii="Arial" w:cs="Arial" w:eastAsia="Arial" w:hAnsi="Arial"/>
                <w:sz w:val="16"/>
                <w:szCs w:val="16"/>
                <w:color w:val="auto"/>
              </w:rPr>
              <w:t>Whole Foods Market, Inc.</w:t>
            </w:r>
          </w:p>
        </w:tc>
        <w:tc>
          <w:tcPr>
            <w:tcW w:w="1580" w:type="dxa"/>
            <w:vAlign w:val="bottom"/>
          </w:tcPr>
          <w:p>
            <w:pPr>
              <w:jc w:val="center"/>
              <w:ind w:left="119"/>
              <w:spacing w:after="0"/>
              <w:rPr>
                <w:sz w:val="20"/>
                <w:szCs w:val="20"/>
                <w:color w:val="auto"/>
              </w:rPr>
            </w:pPr>
            <w:r>
              <w:rPr>
                <w:rFonts w:ascii="Arial" w:cs="Arial" w:eastAsia="Arial" w:hAnsi="Arial"/>
                <w:sz w:val="16"/>
                <w:szCs w:val="16"/>
                <w:color w:val="auto"/>
                <w:w w:val="95"/>
              </w:rPr>
              <w:t>A+ / Baa1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22</w:t>
            </w:r>
          </w:p>
        </w:tc>
        <w:tc>
          <w:tcPr>
            <w:tcW w:w="3340" w:type="dxa"/>
            <w:vAlign w:val="bottom"/>
          </w:tcPr>
          <w:p>
            <w:pPr>
              <w:ind w:left="120"/>
              <w:spacing w:after="0"/>
              <w:rPr>
                <w:sz w:val="20"/>
                <w:szCs w:val="20"/>
                <w:color w:val="auto"/>
              </w:rPr>
            </w:pPr>
            <w:r>
              <w:rPr>
                <w:rFonts w:ascii="Arial" w:cs="Arial" w:eastAsia="Arial" w:hAnsi="Arial"/>
                <w:sz w:val="16"/>
                <w:szCs w:val="16"/>
                <w:color w:val="auto"/>
              </w:rPr>
              <w:t>Barnes &amp; Noble, Inc.</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NR / NR / NR</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23</w:t>
            </w:r>
          </w:p>
        </w:tc>
        <w:tc>
          <w:tcPr>
            <w:tcW w:w="3340" w:type="dxa"/>
            <w:vAlign w:val="bottom"/>
          </w:tcPr>
          <w:p>
            <w:pPr>
              <w:ind w:left="120"/>
              <w:spacing w:after="0"/>
              <w:rPr>
                <w:sz w:val="20"/>
                <w:szCs w:val="20"/>
                <w:color w:val="auto"/>
              </w:rPr>
            </w:pPr>
            <w:r>
              <w:rPr>
                <w:rFonts w:ascii="Arial" w:cs="Arial" w:eastAsia="Arial" w:hAnsi="Arial"/>
                <w:sz w:val="16"/>
                <w:szCs w:val="16"/>
                <w:color w:val="auto"/>
              </w:rPr>
              <w:t>Starbucks Corporation</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5"/>
              </w:rPr>
              <w:t>BBB+ / Baa1 / BBB+</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24</w:t>
            </w:r>
          </w:p>
        </w:tc>
        <w:tc>
          <w:tcPr>
            <w:tcW w:w="3340" w:type="dxa"/>
            <w:vAlign w:val="bottom"/>
          </w:tcPr>
          <w:p>
            <w:pPr>
              <w:ind w:left="120"/>
              <w:spacing w:after="0"/>
              <w:rPr>
                <w:sz w:val="20"/>
                <w:szCs w:val="20"/>
                <w:color w:val="auto"/>
              </w:rPr>
            </w:pPr>
            <w:r>
              <w:rPr>
                <w:rFonts w:ascii="Arial" w:cs="Arial" w:eastAsia="Arial" w:hAnsi="Arial"/>
                <w:sz w:val="16"/>
                <w:szCs w:val="16"/>
                <w:color w:val="auto"/>
              </w:rPr>
              <w:t>Wells Fargo Bank, N.A.</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Arial" w:cs="Arial" w:eastAsia="Arial" w:hAnsi="Arial"/>
                <w:sz w:val="16"/>
                <w:szCs w:val="16"/>
                <w:color w:val="auto"/>
                <w:w w:val="78"/>
              </w:rPr>
              <w:t>25</w:t>
            </w:r>
          </w:p>
        </w:tc>
        <w:tc>
          <w:tcPr>
            <w:tcW w:w="3340" w:type="dxa"/>
            <w:vAlign w:val="bottom"/>
          </w:tcPr>
          <w:p>
            <w:pPr>
              <w:ind w:left="120"/>
              <w:spacing w:after="0"/>
              <w:rPr>
                <w:sz w:val="20"/>
                <w:szCs w:val="20"/>
                <w:color w:val="auto"/>
              </w:rPr>
            </w:pPr>
            <w:r>
              <w:rPr>
                <w:rFonts w:ascii="Arial" w:cs="Arial" w:eastAsia="Arial" w:hAnsi="Arial"/>
                <w:sz w:val="16"/>
                <w:szCs w:val="16"/>
                <w:color w:val="auto"/>
              </w:rPr>
              <w:t>AB Acquisition LLC (Acme, Safeway)</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4"/>
              </w:rPr>
              <w:t>B / B1 / NR</w:t>
            </w:r>
          </w:p>
        </w:tc>
      </w:tr>
      <w:tr>
        <w:trPr>
          <w:trHeight w:val="270"/>
        </w:trPr>
        <w:tc>
          <w:tcPr>
            <w:tcW w:w="260" w:type="dxa"/>
            <w:vAlign w:val="bottom"/>
          </w:tcPr>
          <w:p>
            <w:pPr>
              <w:spacing w:after="0"/>
              <w:rPr>
                <w:sz w:val="23"/>
                <w:szCs w:val="23"/>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Totals - Top 25 Tenants</w:t>
            </w:r>
          </w:p>
        </w:tc>
        <w:tc>
          <w:tcPr>
            <w:tcW w:w="1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18,619,000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2.65%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1,020,000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3.83%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17,574,000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1,036,000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3.89%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13,393,000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366,000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1.37%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13,347,000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736,000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2.76%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10,763,000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463,000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1.74%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10,585,000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9,320,000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1.33%</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248,000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0.93%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7,267,000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317,000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1.19%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6,633,000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231,000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0.87%</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6,425,000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289,000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1.08%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6,290,000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0.90%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330,000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1.24%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6,253,000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198,000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0.74%</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662"/>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6,066,000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529,000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1.99%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6,014,000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0.86%</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440,000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1.65%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5,671,000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0.81%</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105,000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0.39%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5,534,000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5,380,000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220,000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0.83%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5,374,000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0.77%</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195,000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5,269,000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0.75%</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295,000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1.11%</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4,812,000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140,000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0.53%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4,772,000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0.68%</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167,000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0.63%</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4,459,000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0.64%</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207,000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0.78%</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4,244,000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0.60%</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70,000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0.26%</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4,174,000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0.59%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52,000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0.20%</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4,164,000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0.59%</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412,000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1.55%</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47"/>
        </w:trPr>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192,402,000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27.42%</w:t>
            </w:r>
          </w:p>
        </w:tc>
        <w:tc>
          <w:tcPr>
            <w:tcW w:w="1100" w:type="dxa"/>
            <w:vAlign w:val="bottom"/>
          </w:tcPr>
          <w:p>
            <w:pPr>
              <w:jc w:val="right"/>
              <w:ind w:right="239"/>
              <w:spacing w:after="0"/>
              <w:rPr>
                <w:sz w:val="20"/>
                <w:szCs w:val="20"/>
                <w:color w:val="auto"/>
              </w:rPr>
            </w:pPr>
            <w:r>
              <w:rPr>
                <w:rFonts w:ascii="Arial" w:cs="Arial" w:eastAsia="Arial" w:hAnsi="Arial"/>
                <w:sz w:val="16"/>
                <w:szCs w:val="16"/>
                <w:color w:val="auto"/>
              </w:rPr>
              <w:t>8,523,000</w:t>
            </w: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31.99%</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-4390390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-4046855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-3703955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-3361055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-3018155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-2426335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-2083435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-1740535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-1397000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-1054100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-711200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-368300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-16510</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60"/>
            <w:col w:w="5760"/>
          </w:cols>
          <w:pgMar w:left="240" w:top="742" w:right="239" w:bottom="1440" w:gutter="0" w:footer="0" w:header="0"/>
          <w:type w:val="continuous"/>
        </w:sectPr>
      </w:pP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Total (5):</w:t>
            </w:r>
          </w:p>
        </w:tc>
        <w:tc>
          <w:tcPr>
            <w:tcW w:w="4400" w:type="dxa"/>
            <w:vAlign w:val="bottom"/>
          </w:tcPr>
          <w:p>
            <w:pPr>
              <w:jc w:val="right"/>
              <w:ind w:right="659"/>
              <w:spacing w:after="0"/>
              <w:rPr>
                <w:sz w:val="20"/>
                <w:szCs w:val="20"/>
                <w:color w:val="auto"/>
              </w:rPr>
            </w:pPr>
            <w:r>
              <w:rPr>
                <w:rFonts w:ascii="Arial" w:cs="Arial" w:eastAsia="Arial" w:hAnsi="Arial"/>
                <w:sz w:val="16"/>
                <w:szCs w:val="16"/>
                <w:color w:val="auto"/>
              </w:rPr>
              <w:t>$   701,805,000  (2)</w:t>
            </w:r>
          </w:p>
        </w:tc>
        <w:tc>
          <w:tcPr>
            <w:tcW w:w="1800" w:type="dxa"/>
            <w:vAlign w:val="bottom"/>
          </w:tcPr>
          <w:p>
            <w:pPr>
              <w:jc w:val="right"/>
              <w:spacing w:after="0"/>
              <w:rPr>
                <w:sz w:val="20"/>
                <w:szCs w:val="20"/>
                <w:color w:val="auto"/>
              </w:rPr>
            </w:pPr>
            <w:r>
              <w:rPr>
                <w:rFonts w:ascii="Arial" w:cs="Arial" w:eastAsia="Arial" w:hAnsi="Arial"/>
                <w:sz w:val="16"/>
                <w:szCs w:val="16"/>
                <w:color w:val="auto"/>
              </w:rPr>
              <w:t>26,639,000  (4)</w:t>
            </w:r>
          </w:p>
        </w:tc>
      </w:tr>
    </w:tbl>
    <w:p>
      <w:pPr>
        <w:spacing w:after="0" w:line="347"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Credit Ratings are as of September 30, 2018. Subsequent rating changes have not been reflected.</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aggregate, annualized in-place contractual (defined as cash-basis excluding rent abatements) minimum rent for all occupied spaces as of September 30, 2018.</w:t>
      </w:r>
    </w:p>
    <w:p>
      <w:pPr>
        <w:spacing w:after="0" w:line="122" w:lineRule="exact"/>
        <w:rPr>
          <w:rFonts w:ascii="Arial" w:cs="Arial" w:eastAsia="Arial" w:hAnsi="Arial"/>
          <w:sz w:val="14"/>
          <w:szCs w:val="14"/>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600" w:hanging="565"/>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type w:val="continuous"/>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September 30, 2018</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2018.</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September 30, 2018.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Full Year 2018 Guidance Range</w:t>
            </w: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8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Low</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High</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net income available to common shareholders,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gain on sale of real estate,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Estimated depreciation and amortization</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FFO per diluted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EBITDA for Real Estate ("EBITDAre"): </w:t>
      </w:r>
      <w:r>
        <w:rPr>
          <w:rFonts w:ascii="Arial" w:cs="Arial" w:eastAsia="Arial" w:hAnsi="Arial"/>
          <w:sz w:val="17"/>
          <w:szCs w:val="17"/>
          <w:color w:val="auto"/>
        </w:rPr>
        <w:t>EBITDAre is a non-GAAP measure that the National Association of Real Estate Investment Trusts ("NAREIT")</w:t>
      </w:r>
      <w:r>
        <w:rPr>
          <w:rFonts w:ascii="Arial" w:cs="Arial" w:eastAsia="Arial" w:hAnsi="Arial"/>
          <w:sz w:val="17"/>
          <w:szCs w:val="17"/>
          <w:b w:val="1"/>
          <w:bCs w:val="1"/>
          <w:color w:val="auto"/>
        </w:rPr>
        <w:t xml:space="preserve"> </w:t>
      </w:r>
      <w:r>
        <w:rPr>
          <w:rFonts w:ascii="Arial" w:cs="Arial" w:eastAsia="Arial" w:hAnsi="Arial"/>
          <w:sz w:val="17"/>
          <w:szCs w:val="17"/>
          <w:color w:val="auto"/>
        </w:rPr>
        <w:t>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nine months ended September 30, 2018 and 2017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64,180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192,644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245,085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28,166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26,287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82,116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73,952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(Benefit) provision for income tax (1)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1,998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60,778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177,269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159,656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(12,075)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(71,947)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of EBITDAre of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w:t>
            </w:r>
          </w:p>
        </w:tc>
      </w:tr>
      <w:tr>
        <w:trPr>
          <w:trHeight w:val="250"/>
        </w:trPr>
        <w:tc>
          <w:tcPr>
            <w:tcW w:w="5160" w:type="dxa"/>
            <w:vAlign w:val="bottom"/>
          </w:tcPr>
          <w:p>
            <w:pPr>
              <w:ind w:left="380"/>
              <w:spacing w:after="0"/>
              <w:rPr>
                <w:sz w:val="20"/>
                <w:szCs w:val="20"/>
                <w:color w:val="auto"/>
              </w:rPr>
            </w:pPr>
            <w:r>
              <w:rPr>
                <w:rFonts w:ascii="Arial" w:cs="Arial" w:eastAsia="Arial" w:hAnsi="Arial"/>
                <w:sz w:val="18"/>
                <w:szCs w:val="18"/>
                <w:color w:val="auto"/>
              </w:rPr>
              <w:t>EBITDAre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151,220</w:t>
            </w:r>
          </w:p>
        </w:tc>
        <w:tc>
          <w:tcPr>
            <w:tcW w:w="120" w:type="dxa"/>
            <w:vAlign w:val="bottom"/>
          </w:tcPr>
          <w:p>
            <w:pPr>
              <w:spacing w:after="0"/>
              <w:rPr>
                <w:sz w:val="21"/>
                <w:szCs w:val="21"/>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140,202</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444,152</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408,987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For the periods noted above, the provision for income tax primarily relates to condominium sales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-130175</wp:posOffset>
            </wp:positionV>
            <wp:extent cx="39789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NAREIT defines FFO as follows: net</w:t>
      </w:r>
      <w:r>
        <w:rPr>
          <w:rFonts w:ascii="Arial" w:cs="Arial" w:eastAsia="Arial" w:hAnsi="Arial"/>
          <w:sz w:val="16"/>
          <w:szCs w:val="16"/>
          <w:b w:val="1"/>
          <w:bCs w:val="1"/>
          <w:color w:val="auto"/>
        </w:rPr>
        <w:t xml:space="preserve"> </w:t>
      </w:r>
      <w:r>
        <w:rPr>
          <w:rFonts w:ascii="Arial" w:cs="Arial" w:eastAsia="Arial" w:hAnsi="Arial"/>
          <w:sz w:val="16"/>
          <w:szCs w:val="16"/>
          <w:color w:val="auto"/>
        </w:rPr>
        <w:t>income, computed in accordance with GAAP plus real estate related depreciation and amortization and excluding extraordinary items and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ind w:right="600"/>
        <w:spacing w:after="0" w:line="314" w:lineRule="auto"/>
        <w:rPr>
          <w:sz w:val="20"/>
          <w:szCs w:val="20"/>
          <w:color w:val="auto"/>
        </w:rPr>
      </w:pPr>
      <w:r>
        <w:rPr>
          <w:rFonts w:ascii="Arial" w:cs="Arial" w:eastAsia="Arial" w:hAnsi="Arial"/>
          <w:sz w:val="16"/>
          <w:szCs w:val="16"/>
          <w:b w:val="1"/>
          <w:bCs w:val="1"/>
          <w:color w:val="auto"/>
        </w:rPr>
        <w:t xml:space="preserve">Comparable Properties: </w:t>
      </w:r>
      <w:r>
        <w:rPr>
          <w:rFonts w:ascii="Arial" w:cs="Arial" w:eastAsia="Arial" w:hAnsi="Arial"/>
          <w:sz w:val="16"/>
          <w:szCs w:val="16"/>
          <w:color w:val="auto"/>
        </w:rPr>
        <w:t>Represents our consolidated property portfolio other than those properties that distort comparability between periods in two</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2019-12-28T18:59:59Z</dcterms:created>
  <dcterms:modified xsi:type="dcterms:W3CDTF">2019-12-28T18:59:59Z</dcterms:modified>
</cp:coreProperties>
</file>