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ectPr>
          <w:pgSz w:w="11900" w:h="16838" w:orient="portrait"/>
          <w:cols w:equalWidth="0" w:num="1">
            <w:col w:w="10219"/>
          </w:cols>
          <w:pgMar w:left="240" w:top="244" w:right="1440" w:bottom="1440" w:gutter="0" w:footer="0" w:header="0"/>
        </w:sectPr>
      </w:pPr>
    </w:p>
    <w:p>
      <w:pPr>
        <w:spacing w:after="0" w:line="224"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ectPr>
          <w:pgSz w:w="11900" w:h="16838" w:orient="portrait"/>
          <w:cols w:equalWidth="0" w:num="2">
            <w:col w:w="4540" w:space="200"/>
            <w:col w:w="5479"/>
          </w:cols>
          <w:pgMar w:left="240" w:top="244" w:right="1440" w:bottom="1440" w:gutter="0" w:footer="0" w:header="0"/>
          <w:type w:val="continuous"/>
        </w:sectPr>
      </w:pPr>
    </w:p>
    <w:p>
      <w:pPr>
        <w:spacing w:after="0" w:line="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(Amendment No.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4640" w:space="220"/>
            <w:col w:w="53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200" w:lineRule="exact"/>
        <w:rPr>
          <w:sz w:val="24"/>
          <w:szCs w:val="24"/>
          <w:color w:val="auto"/>
        </w:rPr>
      </w:pPr>
    </w:p>
    <w:p>
      <w:pPr>
        <w:sectPr>
          <w:pgSz w:w="11900" w:h="16838" w:orient="portrait"/>
          <w:cols w:equalWidth="0" w:num="2">
            <w:col w:w="2760" w:space="720"/>
            <w:col w:w="67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200" w:lineRule="exact"/>
        <w:rPr>
          <w:sz w:val="24"/>
          <w:szCs w:val="24"/>
          <w:color w:val="auto"/>
        </w:rPr>
      </w:pPr>
    </w:p>
    <w:p>
      <w:pPr>
        <w:sectPr>
          <w:pgSz w:w="11900" w:h="16838" w:orient="portrait"/>
          <w:cols w:equalWidth="0" w:num="2">
            <w:col w:w="3060" w:space="420"/>
            <w:col w:w="67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313747-404</w:t>
      </w:r>
    </w:p>
    <w:p>
      <w:pPr>
        <w:spacing w:after="0" w:line="200" w:lineRule="exact"/>
        <w:rPr>
          <w:sz w:val="24"/>
          <w:szCs w:val="24"/>
          <w:color w:val="auto"/>
        </w:rPr>
      </w:pPr>
    </w:p>
    <w:p>
      <w:pPr>
        <w:sectPr>
          <w:pgSz w:w="11900" w:h="16838" w:orient="portrait"/>
          <w:cols w:equalWidth="0" w:num="2">
            <w:col w:w="2760" w:space="720"/>
            <w:col w:w="67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313747-404</w:t>
      </w:r>
    </w:p>
    <w:p>
      <w:pPr>
        <w:spacing w:after="0" w:line="200" w:lineRule="exact"/>
        <w:rPr>
          <w:sz w:val="24"/>
          <w:szCs w:val="24"/>
          <w:color w:val="auto"/>
        </w:rPr>
      </w:pPr>
    </w:p>
    <w:p>
      <w:pPr>
        <w:sectPr>
          <w:pgSz w:w="11900" w:h="16838" w:orient="portrait"/>
          <w:cols w:equalWidth="0" w:num="2">
            <w:col w:w="2760" w:space="720"/>
            <w:col w:w="6739"/>
          </w:cols>
          <w:pgMar w:left="240" w:top="244" w:right="1440" w:bottom="144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MELLON BANK CORPORATION IRS No. 25-1233834</w:t>
      </w:r>
    </w:p>
    <w:p>
      <w:pPr>
        <w:spacing w:after="0" w:line="164" w:lineRule="exact"/>
        <w:rPr>
          <w:sz w:val="24"/>
          <w:szCs w:val="24"/>
          <w:color w:val="auto"/>
        </w:rPr>
      </w:pPr>
    </w:p>
    <w:p>
      <w:pPr>
        <w:sectPr>
          <w:pgSz w:w="11900" w:h="16838" w:orient="portrait"/>
          <w:cols w:equalWidth="0" w:num="2">
            <w:col w:w="5600" w:space="300"/>
            <w:col w:w="4319"/>
          </w:cols>
          <w:pgMar w:left="240" w:top="244" w:right="1440" w:bottom="1440" w:gutter="0" w:footer="0" w:header="0"/>
          <w:type w:val="continuous"/>
        </w:sect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jc w:val="right"/>
        <w:ind w:right="1879"/>
        <w:spacing w:after="0" w:line="238" w:lineRule="auto"/>
        <w:tabs>
          <w:tab w:leader="none" w:pos="1880" w:val="left"/>
          <w:tab w:leader="none" w:pos="1460" w:val="left"/>
          <w:tab w:leader="none" w:pos="1040" w:val="left"/>
          <w:tab w:leader="none" w:pos="520" w:val="left"/>
          <w:tab w:leader="none" w:pos="10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8"/>
          <w:szCs w:val="18"/>
          <w:color w:val="auto"/>
        </w:rPr>
        <w:t>)</w:t>
      </w:r>
    </w:p>
    <w:p>
      <w:pPr>
        <w:spacing w:after="0" w:line="202"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48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United States</w:t>
            </w:r>
          </w:p>
        </w:tc>
      </w:tr>
      <w:tr>
        <w:trPr>
          <w:trHeight w:val="405"/>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211,300</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58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211,300</w:t>
            </w:r>
          </w:p>
        </w:tc>
      </w:tr>
      <w:tr>
        <w:trPr>
          <w:trHeight w:val="405"/>
        </w:trPr>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800" w:type="dxa"/>
            <w:vAlign w:val="bottom"/>
          </w:tcPr>
          <w:p>
            <w:pPr>
              <w:ind w:left="260"/>
              <w:spacing w:after="0"/>
              <w:rPr>
                <w:sz w:val="20"/>
                <w:szCs w:val="20"/>
                <w:color w:val="auto"/>
              </w:rPr>
            </w:pPr>
            <w:r>
              <w:rPr>
                <w:rFonts w:ascii="Courier New" w:cs="Courier New" w:eastAsia="Courier New" w:hAnsi="Courier New"/>
                <w:sz w:val="18"/>
                <w:szCs w:val="18"/>
                <w:color w:val="auto"/>
                <w:w w:val="97"/>
              </w:rPr>
              <w:t>Shared Dispositive Power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6740" w:right="2739" w:hanging="6732"/>
        <w:spacing w:after="0" w:line="265" w:lineRule="auto"/>
        <w:tabs>
          <w:tab w:leader="none" w:pos="84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211,300</w:t>
      </w:r>
    </w:p>
    <w:p>
      <w:pPr>
        <w:spacing w:after="0" w:line="200" w:lineRule="exact"/>
        <w:rPr>
          <w:rFonts w:ascii="Courier New" w:cs="Courier New" w:eastAsia="Courier New" w:hAnsi="Courier New"/>
          <w:sz w:val="16"/>
          <w:szCs w:val="16"/>
          <w:color w:val="auto"/>
        </w:rPr>
      </w:pPr>
    </w:p>
    <w:p>
      <w:pPr>
        <w:spacing w:after="0" w:line="201"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5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584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5.28</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584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313747-404</w:t>
      </w:r>
    </w:p>
    <w:p>
      <w:pPr>
        <w:spacing w:after="0" w:line="200" w:lineRule="exact"/>
        <w:rPr>
          <w:sz w:val="20"/>
          <w:szCs w:val="20"/>
          <w:color w:val="auto"/>
        </w:rPr>
      </w:pPr>
    </w:p>
    <w:p>
      <w:pPr>
        <w:sectPr>
          <w:pgSz w:w="11900" w:h="16838" w:orient="portrait"/>
          <w:cols w:equalWidth="0" w:num="2">
            <w:col w:w="1820" w:space="720"/>
            <w:col w:w="7679"/>
          </w:cols>
          <w:pgMar w:left="240" w:top="317" w:right="1440" w:bottom="144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MELLON BANK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No. 25-0659306</w:t>
      </w:r>
    </w:p>
    <w:p>
      <w:pPr>
        <w:spacing w:after="0" w:line="200" w:lineRule="exact"/>
        <w:rPr>
          <w:sz w:val="20"/>
          <w:szCs w:val="20"/>
          <w:color w:val="auto"/>
        </w:rPr>
      </w:pPr>
    </w:p>
    <w:p>
      <w:pPr>
        <w:sectPr>
          <w:pgSz w:w="11900" w:h="16838" w:orient="portrait"/>
          <w:cols w:equalWidth="0" w:num="2">
            <w:col w:w="5600" w:space="420"/>
            <w:col w:w="4199"/>
          </w:cols>
          <w:pgMar w:left="240" w:top="317" w:right="1440" w:bottom="1440" w:gutter="0" w:footer="0" w:header="0"/>
          <w:type w:val="continuous"/>
        </w:sectPr>
      </w:pPr>
    </w:p>
    <w:p>
      <w:pPr>
        <w:spacing w:after="0" w:line="18"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jc w:val="both"/>
        <w:ind w:left="6020"/>
        <w:spacing w:after="0"/>
        <w:tabs>
          <w:tab w:leader="none" w:pos="6520" w:val="left"/>
          <w:tab w:leader="none" w:pos="6940" w:val="left"/>
          <w:tab w:leader="none" w:pos="7360" w:val="left"/>
          <w:tab w:leader="none" w:pos="7880" w:val="left"/>
          <w:tab w:leader="none" w:pos="832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6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United States</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06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211,300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5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3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211,300</w:t>
            </w:r>
          </w:p>
        </w:tc>
      </w:tr>
      <w:tr>
        <w:trPr>
          <w:trHeight w:val="405"/>
        </w:trPr>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3060" w:type="dxa"/>
            <w:vAlign w:val="bottom"/>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ind w:left="7180"/>
        <w:spacing w:after="0" w:line="238" w:lineRule="auto"/>
        <w:rPr>
          <w:sz w:val="20"/>
          <w:szCs w:val="20"/>
          <w:color w:val="auto"/>
        </w:rPr>
      </w:pPr>
      <w:r>
        <w:rPr>
          <w:rFonts w:ascii="Courier New" w:cs="Courier New" w:eastAsia="Courier New" w:hAnsi="Courier New"/>
          <w:sz w:val="18"/>
          <w:szCs w:val="18"/>
          <w:color w:val="auto"/>
        </w:rPr>
        <w:t>211,300</w:t>
      </w:r>
    </w:p>
    <w:p>
      <w:pPr>
        <w:spacing w:after="0" w:line="202"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5.28</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r>
    </w:tbl>
    <w:p>
      <w:pPr>
        <w:sectPr>
          <w:pgSz w:w="11900" w:h="16838" w:orient="portrait"/>
          <w:cols w:equalWidth="0" w:num="1">
            <w:col w:w="10219"/>
          </w:cols>
          <w:pgMar w:left="240" w:top="317"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313747-404</w:t>
      </w:r>
    </w:p>
    <w:p>
      <w:pPr>
        <w:spacing w:after="0" w:line="200" w:lineRule="exact"/>
        <w:rPr>
          <w:sz w:val="20"/>
          <w:szCs w:val="20"/>
          <w:color w:val="auto"/>
        </w:rPr>
      </w:pPr>
    </w:p>
    <w:p>
      <w:pPr>
        <w:sectPr>
          <w:pgSz w:w="11900" w:h="16838" w:orient="portrait"/>
          <w:cols w:equalWidth="0" w:num="2">
            <w:col w:w="1820" w:space="720"/>
            <w:col w:w="7679"/>
          </w:cols>
          <w:pgMar w:left="240" w:top="317" w:right="1440" w:bottom="144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SS or IRS Identification Nos. Of Above Person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DREYFUS CORPORATION IRS No. 13-5673135</w:t>
      </w:r>
    </w:p>
    <w:p>
      <w:pPr>
        <w:spacing w:after="0" w:line="164" w:lineRule="exact"/>
        <w:rPr>
          <w:sz w:val="20"/>
          <w:szCs w:val="20"/>
          <w:color w:val="auto"/>
        </w:rPr>
      </w:pPr>
    </w:p>
    <w:p>
      <w:pPr>
        <w:sectPr>
          <w:pgSz w:w="11900" w:h="16838" w:orient="portrait"/>
          <w:cols w:equalWidth="0" w:num="2">
            <w:col w:w="5600" w:space="300"/>
            <w:col w:w="4319"/>
          </w:cols>
          <w:pgMar w:left="240" w:top="317" w:right="1440" w:bottom="1440" w:gutter="0" w:footer="0" w:header="0"/>
          <w:type w:val="continuous"/>
        </w:sect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jc w:val="right"/>
        <w:ind w:right="1779"/>
        <w:spacing w:after="0"/>
        <w:tabs>
          <w:tab w:leader="none" w:pos="1980" w:val="left"/>
          <w:tab w:leader="none" w:pos="1560" w:val="left"/>
          <w:tab w:leader="none" w:pos="1040" w:val="left"/>
          <w:tab w:leader="none" w:pos="520" w:val="left"/>
          <w:tab w:leader="none" w:pos="8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United States</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211,300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52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Sole Dispositive Power</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211,300</w:t>
            </w:r>
          </w:p>
        </w:tc>
      </w:tr>
      <w:tr>
        <w:trPr>
          <w:trHeight w:val="405"/>
        </w:trPr>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3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540" w:right="2939" w:hanging="6532"/>
        <w:spacing w:after="0" w:line="290" w:lineRule="auto"/>
        <w:tabs>
          <w:tab w:leader="none" w:pos="85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211,300</w:t>
      </w:r>
    </w:p>
    <w:p>
      <w:pPr>
        <w:spacing w:after="0" w:line="164"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5.28</w:t>
            </w:r>
          </w:p>
        </w:tc>
      </w:tr>
      <w:tr>
        <w:trPr>
          <w:trHeight w:val="405"/>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(12)</w:t>
            </w:r>
          </w:p>
        </w:tc>
        <w:tc>
          <w:tcPr>
            <w:tcW w:w="5740" w:type="dxa"/>
            <w:vAlign w:val="bottom"/>
          </w:tcPr>
          <w:p>
            <w:pPr>
              <w:ind w:left="22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17"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jc w:val="center"/>
        <w:ind w:right="209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2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Name of Issuer: Federal Realty Investment Trust</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1626 East Jefferson Street</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Rockville, MD 20852-4041</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46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Mellon Bank Corporation and any other</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reporting person(s) identified on the</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second part of the cover page(s).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2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 Mellon Bank Corporation</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One Mellon Bank Center</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Pittsburgh, Pennsylvania 15258</w:t>
            </w:r>
          </w:p>
        </w:tc>
      </w:tr>
      <w:tr>
        <w:trPr>
          <w:trHeight w:val="203"/>
        </w:trPr>
        <w:tc>
          <w:tcPr>
            <w:tcW w:w="1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 all reporting persons)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Citizenship:</w:t>
            </w:r>
          </w:p>
        </w:tc>
        <w:tc>
          <w:tcPr>
            <w:tcW w:w="1320" w:type="dxa"/>
            <w:vAlign w:val="bottom"/>
          </w:tcPr>
          <w:p>
            <w:pPr>
              <w:spacing w:after="0"/>
              <w:rPr>
                <w:sz w:val="24"/>
                <w:szCs w:val="24"/>
                <w:color w:val="auto"/>
              </w:rPr>
            </w:pP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United States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9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620" w:type="dxa"/>
            <w:vAlign w:val="bottom"/>
          </w:tcPr>
          <w:p>
            <w:pPr>
              <w:ind w:left="160"/>
              <w:spacing w:after="0"/>
              <w:rPr>
                <w:sz w:val="20"/>
                <w:szCs w:val="20"/>
                <w:color w:val="auto"/>
              </w:rPr>
            </w:pPr>
            <w:r>
              <w:rPr>
                <w:rFonts w:ascii="Courier New" w:cs="Courier New" w:eastAsia="Courier New" w:hAnsi="Courier New"/>
                <w:sz w:val="18"/>
                <w:szCs w:val="18"/>
                <w:color w:val="auto"/>
              </w:rPr>
              <w:t>CUSIP Number:</w:t>
            </w:r>
          </w:p>
        </w:tc>
        <w:tc>
          <w:tcPr>
            <w:tcW w:w="1320" w:type="dxa"/>
            <w:vAlign w:val="bottom"/>
          </w:tcPr>
          <w:p>
            <w:pPr>
              <w:spacing w:after="0"/>
              <w:rPr>
                <w:sz w:val="24"/>
                <w:szCs w:val="24"/>
                <w:color w:val="auto"/>
              </w:rPr>
            </w:pP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313747-404</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22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See Item 12 of cover page(s) ("Type of Reporting</w:t>
            </w:r>
          </w:p>
        </w:tc>
      </w:tr>
      <w:tr>
        <w:trPr>
          <w:trHeight w:val="203"/>
        </w:trPr>
        <w:tc>
          <w:tcPr>
            <w:tcW w:w="1120" w:type="dxa"/>
            <w:vAlign w:val="bottom"/>
          </w:tcPr>
          <w:p>
            <w:pPr>
              <w:spacing w:after="0"/>
              <w:rPr>
                <w:sz w:val="17"/>
                <w:szCs w:val="17"/>
                <w:color w:val="auto"/>
              </w:rPr>
            </w:pPr>
          </w:p>
        </w:tc>
        <w:tc>
          <w:tcPr>
            <w:tcW w:w="3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Person") for each reporting person.</w:t>
            </w:r>
          </w:p>
        </w:tc>
        <w:tc>
          <w:tcPr>
            <w:tcW w:w="3280" w:type="dxa"/>
            <w:vAlign w:val="bottom"/>
          </w:tcPr>
          <w:p>
            <w:pPr>
              <w:spacing w:after="0"/>
              <w:rPr>
                <w:sz w:val="17"/>
                <w:szCs w:val="17"/>
                <w:color w:val="auto"/>
              </w:rPr>
            </w:pPr>
          </w:p>
        </w:tc>
      </w:tr>
    </w:tbl>
    <w:p>
      <w:pPr>
        <w:spacing w:after="0" w:line="20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BK =</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201" w:lineRule="exact"/>
        <w:rPr>
          <w:sz w:val="20"/>
          <w:szCs w:val="20"/>
          <w:color w:val="auto"/>
        </w:rPr>
      </w:pPr>
    </w:p>
    <w:p>
      <w:pPr>
        <w:ind w:left="1700"/>
        <w:spacing w:after="0"/>
        <w:tabs>
          <w:tab w:leader="none" w:pos="2300" w:val="left"/>
        </w:tabs>
        <w:rPr>
          <w:sz w:val="20"/>
          <w:szCs w:val="20"/>
          <w:color w:val="auto"/>
        </w:rPr>
      </w:pPr>
      <w:r>
        <w:rPr>
          <w:rFonts w:ascii="Courier New" w:cs="Courier New" w:eastAsia="Courier New" w:hAnsi="Courier New"/>
          <w:sz w:val="18"/>
          <w:szCs w:val="18"/>
          <w:color w:val="auto"/>
        </w:rPr>
        <w:t>IV =</w:t>
      </w:r>
      <w:r>
        <w:rPr>
          <w:sz w:val="20"/>
          <w:szCs w:val="20"/>
          <w:color w:val="auto"/>
        </w:rPr>
        <w:tab/>
      </w:r>
      <w:r>
        <w:rPr>
          <w:rFonts w:ascii="Courier New" w:cs="Courier New" w:eastAsia="Courier New" w:hAnsi="Courier New"/>
          <w:sz w:val="16"/>
          <w:szCs w:val="16"/>
          <w:color w:val="auto"/>
        </w:rPr>
        <w:t>Investment Company registered under Section 8 of the</w:t>
      </w:r>
    </w:p>
    <w:p>
      <w:pPr>
        <w:ind w:left="2320"/>
        <w:spacing w:after="0" w:line="238" w:lineRule="auto"/>
        <w:rPr>
          <w:sz w:val="20"/>
          <w:szCs w:val="20"/>
          <w:color w:val="auto"/>
        </w:rPr>
      </w:pPr>
      <w:r>
        <w:rPr>
          <w:rFonts w:ascii="Courier New" w:cs="Courier New" w:eastAsia="Courier New" w:hAnsi="Courier New"/>
          <w:sz w:val="18"/>
          <w:szCs w:val="18"/>
          <w:color w:val="auto"/>
        </w:rPr>
        <w:t>Investment Company Act</w:t>
      </w:r>
    </w:p>
    <w:p>
      <w:pPr>
        <w:spacing w:after="0" w:line="207" w:lineRule="exact"/>
        <w:rPr>
          <w:sz w:val="20"/>
          <w:szCs w:val="20"/>
          <w:color w:val="auto"/>
        </w:rPr>
      </w:pPr>
    </w:p>
    <w:p>
      <w:pPr>
        <w:ind w:left="2320" w:right="2199" w:hanging="631"/>
        <w:spacing w:after="0" w:line="235" w:lineRule="auto"/>
        <w:tabs>
          <w:tab w:leader="none" w:pos="2300" w:val="left"/>
        </w:tabs>
        <w:rPr>
          <w:sz w:val="20"/>
          <w:szCs w:val="20"/>
          <w:color w:val="auto"/>
        </w:rPr>
      </w:pPr>
      <w:r>
        <w:rPr>
          <w:rFonts w:ascii="Courier New" w:cs="Courier New" w:eastAsia="Courier New" w:hAnsi="Courier New"/>
          <w:sz w:val="18"/>
          <w:szCs w:val="18"/>
          <w:color w:val="auto"/>
        </w:rPr>
        <w:t>IA =</w:t>
        <w:tab/>
        <w:t>Investment Adviser registered under Section 203 of the Investment Advisers Act of 1940</w:t>
      </w:r>
    </w:p>
    <w:p>
      <w:pPr>
        <w:spacing w:after="0" w:line="208" w:lineRule="exact"/>
        <w:rPr>
          <w:sz w:val="20"/>
          <w:szCs w:val="20"/>
          <w:color w:val="auto"/>
        </w:rPr>
      </w:pPr>
    </w:p>
    <w:p>
      <w:pPr>
        <w:ind w:left="2320" w:right="2099" w:hanging="631"/>
        <w:spacing w:after="0" w:line="236" w:lineRule="auto"/>
        <w:tabs>
          <w:tab w:leader="none" w:pos="2300" w:val="left"/>
        </w:tabs>
        <w:rPr>
          <w:sz w:val="20"/>
          <w:szCs w:val="20"/>
          <w:color w:val="auto"/>
        </w:rPr>
      </w:pPr>
      <w:r>
        <w:rPr>
          <w:rFonts w:ascii="Courier New" w:cs="Courier New" w:eastAsia="Courier New" w:hAnsi="Courier New"/>
          <w:sz w:val="18"/>
          <w:szCs w:val="18"/>
          <w:color w:val="auto"/>
        </w:rPr>
        <w:t>EP =</w:t>
        <w:tab/>
        <w:t>Employee Benefit Plan, Pension Fund which is subject to the provisions of the Employee Retirement Income Security Act of 1974 or Endowment Fund; see</w:t>
      </w:r>
    </w:p>
    <w:p>
      <w:pPr>
        <w:spacing w:after="0" w:line="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Section 240.13-d(1)(b)(1)(ii)(F)</w:t>
      </w:r>
    </w:p>
    <w:p>
      <w:pPr>
        <w:spacing w:after="0" w:line="207" w:lineRule="exact"/>
        <w:rPr>
          <w:sz w:val="20"/>
          <w:szCs w:val="20"/>
          <w:color w:val="auto"/>
        </w:rPr>
      </w:pPr>
    </w:p>
    <w:p>
      <w:pPr>
        <w:ind w:left="2320" w:right="2619" w:hanging="631"/>
        <w:spacing w:after="0" w:line="235" w:lineRule="auto"/>
        <w:tabs>
          <w:tab w:leader="none" w:pos="2300" w:val="left"/>
        </w:tabs>
        <w:rPr>
          <w:sz w:val="20"/>
          <w:szCs w:val="20"/>
          <w:color w:val="auto"/>
        </w:rPr>
      </w:pPr>
      <w:r>
        <w:rPr>
          <w:rFonts w:ascii="Courier New" w:cs="Courier New" w:eastAsia="Courier New" w:hAnsi="Courier New"/>
          <w:sz w:val="18"/>
          <w:szCs w:val="18"/>
          <w:color w:val="auto"/>
        </w:rPr>
        <w:t>HC =</w:t>
        <w:tab/>
        <w:t>Parent Holding Company, in accordance with Section 240.13-d(1)(b)(1)(ii)(G)</w:t>
      </w:r>
    </w:p>
    <w:p>
      <w:pPr>
        <w:spacing w:after="0" w:line="203" w:lineRule="exact"/>
        <w:rPr>
          <w:sz w:val="20"/>
          <w:szCs w:val="20"/>
          <w:color w:val="auto"/>
        </w:rPr>
      </w:pPr>
    </w:p>
    <w:p>
      <w:pPr>
        <w:spacing w:after="0"/>
        <w:tabs>
          <w:tab w:leader="none" w:pos="940" w:val="left"/>
          <w:tab w:leader="none" w:pos="230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w:t>
      </w:r>
      <w:r>
        <w:rPr>
          <w:sz w:val="20"/>
          <w:szCs w:val="20"/>
          <w:color w:val="auto"/>
        </w:rPr>
        <w:tab/>
      </w:r>
      <w:r>
        <w:rPr>
          <w:rFonts w:ascii="Courier New" w:cs="Courier New" w:eastAsia="Courier New" w:hAnsi="Courier New"/>
          <w:sz w:val="16"/>
          <w:szCs w:val="16"/>
          <w:color w:val="auto"/>
        </w:rPr>
        <w:t>See Items 5 through 9 and 11 of cover page(s)</w:t>
      </w:r>
    </w:p>
    <w:p>
      <w:pPr>
        <w:ind w:left="23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amount beneficially owned includes, where appropriate, securities not outstanding which are subject to options, warrants, rights or conversion privileges that are exercisable within 60 days. The filing of this Schedule 13G shall not be construed as an admission that Mellon Bank Corporation, or its direct or indirect subsidiaries, including Mellon Bank, N.A., are for the purposes of Section 13(d) or 13(g) of the Act, the beneficial owners of any securities covered by this Schedule 13G.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The following information applies if checked:   (</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   Mellon Bank,</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N.A. is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w:t>
            </w:r>
          </w:p>
        </w:tc>
        <w:tc>
          <w:tcPr>
            <w:tcW w:w="6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issuer's employee benefit plan (the "Plan"), which is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subject to</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w:t>
            </w:r>
          </w:p>
        </w:tc>
        <w:tc>
          <w:tcPr>
            <w:tcW w:w="5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The securities reported include all shares held 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record by</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Mellon</w:t>
            </w:r>
          </w:p>
        </w:tc>
      </w:tr>
      <w:tr>
        <w:trPr>
          <w:trHeight w:val="203"/>
        </w:trPr>
        <w:tc>
          <w:tcPr>
            <w:tcW w:w="8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Bank, N.A. as trustee of the Plan which have not been allocated to the</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individual accounts of employee participants in the</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Plan. The reporting person,</w:t>
            </w: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however, disclaims beneficial ownership of all shares that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have been</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allocated</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to the individual accounts of employee participants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the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Plan for which</w:t>
            </w: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directions have been received and followed.</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42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w w:val="99"/>
              </w:rPr>
              <w:t>Ownership of Five Percent or Less of a Class:   If this</w:t>
            </w:r>
          </w:p>
        </w:tc>
        <w:tc>
          <w:tcPr>
            <w:tcW w:w="1220" w:type="dxa"/>
            <w:vAlign w:val="bottom"/>
          </w:tcPr>
          <w:p>
            <w:pPr>
              <w:spacing w:after="0"/>
              <w:rPr>
                <w:sz w:val="24"/>
                <w:szCs w:val="24"/>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 is being filed to report the fact that as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date hereof</w:t>
            </w:r>
          </w:p>
        </w:tc>
      </w:tr>
      <w:tr>
        <w:trPr>
          <w:trHeight w:val="203"/>
        </w:trPr>
        <w:tc>
          <w:tcPr>
            <w:tcW w:w="6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the reporting person has ceased to be the beneficial owner</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more</w:t>
            </w:r>
          </w:p>
        </w:tc>
        <w:tc>
          <w:tcPr>
            <w:tcW w:w="1220" w:type="dxa"/>
            <w:vAlign w:val="bottom"/>
          </w:tcPr>
          <w:p>
            <w:pPr>
              <w:spacing w:after="0"/>
              <w:rPr>
                <w:sz w:val="17"/>
                <w:szCs w:val="17"/>
                <w:color w:val="auto"/>
              </w:rPr>
            </w:pPr>
          </w:p>
        </w:tc>
      </w:tr>
      <w:tr>
        <w:trPr>
          <w:trHeight w:val="203"/>
        </w:trPr>
        <w:tc>
          <w:tcPr>
            <w:tcW w:w="5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than five percent of the class of securities, check</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following  (</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Item 6 Ownership of More than Five Percent on Behalf of Another Person: All of the securities are beneficially owned by Mellon Bank Corporation and direct or indirect subsidiaries in their various fiduciary capacities. As a result, another entity in every instance is entitled to dividends or proceeds of sale. The number of individual accounts holding an interest of 5% or more is ( 0 ).</w:t>
      </w:r>
    </w:p>
    <w:p>
      <w:pPr>
        <w:sectPr>
          <w:pgSz w:w="11900" w:h="16838" w:orient="portrait"/>
          <w:cols w:equalWidth="0" w:num="1">
            <w:col w:w="10219"/>
          </w:cols>
          <w:pgMar w:left="240" w:top="312" w:right="1440" w:bottom="0" w:gutter="0" w:footer="0" w:header="0"/>
        </w:sectPr>
      </w:pPr>
    </w:p>
    <w:bookmarkStart w:id="4" w:name="page5"/>
    <w:bookmarkEnd w:id="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w:t>
      </w:r>
    </w:p>
    <w:p>
      <w:pPr>
        <w:spacing w:after="0"/>
        <w:tabs>
          <w:tab w:leader="none" w:pos="6520" w:val="left"/>
        </w:tabs>
        <w:rPr>
          <w:sz w:val="20"/>
          <w:szCs w:val="20"/>
          <w:color w:val="auto"/>
        </w:rPr>
      </w:pPr>
      <w:r>
        <w:rPr>
          <w:rFonts w:ascii="Courier New" w:cs="Courier New" w:eastAsia="Courier New" w:hAnsi="Courier New"/>
          <w:sz w:val="18"/>
          <w:szCs w:val="18"/>
          <w:color w:val="auto"/>
        </w:rPr>
        <w:t>the Security Being Reported by the Parent Holding Company:</w:t>
      </w:r>
      <w:r>
        <w:rPr>
          <w:sz w:val="20"/>
          <w:szCs w:val="20"/>
          <w:color w:val="auto"/>
        </w:rPr>
        <w:tab/>
      </w:r>
      <w:r>
        <w:rPr>
          <w:rFonts w:ascii="Courier New" w:cs="Courier New" w:eastAsia="Courier New" w:hAnsi="Courier New"/>
          <w:sz w:val="16"/>
          <w:szCs w:val="16"/>
          <w:color w:val="auto"/>
        </w:rPr>
        <w:t>See Exhibit I.</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Notice of</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Dissolution of Group:</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N/A</w:t>
            </w:r>
          </w:p>
        </w:tc>
      </w:tr>
      <w:tr>
        <w:trPr>
          <w:trHeight w:val="405"/>
        </w:trPr>
        <w:tc>
          <w:tcPr>
            <w:tcW w:w="7480" w:type="dxa"/>
            <w:vAlign w:val="bottom"/>
            <w:gridSpan w:val="4"/>
          </w:tcPr>
          <w:p>
            <w:pPr>
              <w:spacing w:after="0"/>
              <w:rPr>
                <w:sz w:val="20"/>
                <w:szCs w:val="20"/>
                <w:color w:val="auto"/>
              </w:rPr>
            </w:pPr>
            <w:r>
              <w:rPr>
                <w:rFonts w:ascii="Courier New" w:cs="Courier New" w:eastAsia="Courier New" w:hAnsi="Courier New"/>
                <w:sz w:val="18"/>
                <w:szCs w:val="18"/>
                <w:color w:val="auto"/>
              </w:rPr>
              <w:t>Item 10   Certification:   By signing below I certify that, to the</w:t>
            </w:r>
          </w:p>
        </w:tc>
        <w:tc>
          <w:tcPr>
            <w:tcW w:w="420" w:type="dxa"/>
            <w:vAlign w:val="bottom"/>
          </w:tcPr>
          <w:p>
            <w:pPr>
              <w:spacing w:after="0"/>
              <w:rPr>
                <w:sz w:val="24"/>
                <w:szCs w:val="24"/>
                <w:color w:val="auto"/>
              </w:rPr>
            </w:pPr>
          </w:p>
        </w:tc>
      </w:tr>
      <w:tr>
        <w:trPr>
          <w:trHeight w:val="203"/>
        </w:trPr>
        <w:tc>
          <w:tcPr>
            <w:tcW w:w="7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best of my knowledge and belief, the securities referred to above were</w:t>
            </w:r>
          </w:p>
        </w:tc>
        <w:tc>
          <w:tcPr>
            <w:tcW w:w="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and</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do not have the effect of changing or influencing</w:t>
            </w:r>
          </w:p>
        </w:tc>
        <w:tc>
          <w:tcPr>
            <w:tcW w:w="420" w:type="dxa"/>
            <w:vAlign w:val="bottom"/>
          </w:tcPr>
          <w:p>
            <w:pPr>
              <w:spacing w:after="0"/>
              <w:rPr>
                <w:sz w:val="17"/>
                <w:szCs w:val="17"/>
                <w:color w:val="auto"/>
              </w:rPr>
            </w:pP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control</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 of such securities and were not acquired in</w:t>
            </w:r>
          </w:p>
        </w:tc>
        <w:tc>
          <w:tcPr>
            <w:tcW w:w="420" w:type="dxa"/>
            <w:vAlign w:val="bottom"/>
          </w:tcPr>
          <w:p>
            <w:pPr>
              <w:spacing w:after="0"/>
              <w:rPr>
                <w:sz w:val="17"/>
                <w:szCs w:val="17"/>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connection with or</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participant in any transaction having such</w:t>
            </w:r>
          </w:p>
        </w:tc>
        <w:tc>
          <w:tcPr>
            <w:tcW w:w="42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effect.</w:t>
            </w:r>
          </w:p>
        </w:tc>
        <w:tc>
          <w:tcPr>
            <w:tcW w:w="548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 This filing is signed by Mellon Bank Corporation on behalf of all reporting entities pursuant to Rule</w:t>
      </w:r>
    </w:p>
    <w:p>
      <w:pPr>
        <w:spacing w:after="0" w:line="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13d-1(f)(1) promulgated under the Securities and Exchange Act of 1934, as amended.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29,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WILLIAM L. DAWSON,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William L. Dawson, Jr.</w:t>
      </w:r>
    </w:p>
    <w:p>
      <w:pPr>
        <w:ind w:left="6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640"/>
        <w:spacing w:after="0" w:line="238" w:lineRule="auto"/>
        <w:rPr>
          <w:sz w:val="20"/>
          <w:szCs w:val="20"/>
          <w:color w:val="auto"/>
        </w:rPr>
      </w:pPr>
      <w:r>
        <w:rPr>
          <w:rFonts w:ascii="Courier New" w:cs="Courier New" w:eastAsia="Courier New" w:hAnsi="Courier New"/>
          <w:sz w:val="18"/>
          <w:szCs w:val="18"/>
          <w:color w:val="auto"/>
        </w:rPr>
        <w:t>Mellon Bank, N.A.</w:t>
      </w:r>
    </w:p>
    <w:p>
      <w:pPr>
        <w:ind w:left="640"/>
        <w:spacing w:after="0"/>
        <w:rPr>
          <w:sz w:val="20"/>
          <w:szCs w:val="20"/>
          <w:color w:val="auto"/>
        </w:rPr>
      </w:pPr>
      <w:r>
        <w:rPr>
          <w:rFonts w:ascii="Courier New" w:cs="Courier New" w:eastAsia="Courier New" w:hAnsi="Courier New"/>
          <w:sz w:val="18"/>
          <w:szCs w:val="18"/>
          <w:color w:val="auto"/>
        </w:rPr>
        <w:t>Attorney-In-Fact for</w:t>
      </w:r>
    </w:p>
    <w:p>
      <w:pPr>
        <w:ind w:left="640"/>
        <w:spacing w:after="0" w:line="237" w:lineRule="auto"/>
        <w:rPr>
          <w:sz w:val="20"/>
          <w:szCs w:val="20"/>
          <w:color w:val="auto"/>
        </w:rPr>
      </w:pPr>
      <w:r>
        <w:rPr>
          <w:rFonts w:ascii="Courier New" w:cs="Courier New" w:eastAsia="Courier New" w:hAnsi="Courier New"/>
          <w:sz w:val="18"/>
          <w:szCs w:val="18"/>
          <w:color w:val="auto"/>
        </w:rPr>
        <w:t>Mellon Bank Corporation</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2939"/>
        <w:spacing w:after="0" w:line="272" w:lineRule="auto"/>
        <w:rPr>
          <w:sz w:val="20"/>
          <w:szCs w:val="20"/>
          <w:color w:val="auto"/>
        </w:rPr>
      </w:pPr>
      <w:r>
        <w:rPr>
          <w:rFonts w:ascii="Courier New" w:cs="Courier New" w:eastAsia="Courier New" w:hAnsi="Courier New"/>
          <w:sz w:val="16"/>
          <w:szCs w:val="16"/>
          <w:color w:val="auto"/>
        </w:rPr>
        <w:t>Each of the undersigned hereby authorizes Mellon Bank Corporation, in accordance with Rule 13d-1(f)(1) under the Securities Exchange Act of 1934, as amended (the "1934 Act"), to file, on behalf of the undersigned, any statement required to be signed by the undersigned, on Schedule 13G pursuant to Rule 13d-1 under the 1934 Act and any amendment thereto pursuant to Rule 13d-2 under the 1934 Act.</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Each of the undersigned represents that it is individually eligible to use Schedule 13G, and acknowledges its responsibility for the timely filing of such Schedule 13G and any amendments thereto, and for the completeness and accuracy of the information concerning such person contained therein. However, each of the undersigned is not responsible for the completeness or accuracy of the information concerning the other persons making the filing on Schedule 13G unless such undersigned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29,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WILLIAM L. DAWSON,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William L. Dawson, Jr.</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WILLIAM L. DAWSON, JR.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William L. Dawson, Jr.</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860"/>
        <w:spacing w:after="0" w:line="238" w:lineRule="auto"/>
        <w:rPr>
          <w:sz w:val="20"/>
          <w:szCs w:val="20"/>
          <w:color w:val="auto"/>
        </w:rPr>
      </w:pPr>
      <w:r>
        <w:rPr>
          <w:rFonts w:ascii="Courier New" w:cs="Courier New" w:eastAsia="Courier New" w:hAnsi="Courier New"/>
          <w:sz w:val="18"/>
          <w:szCs w:val="18"/>
          <w:color w:val="auto"/>
        </w:rPr>
        <w:t>Mellon Bank, N.A.</w:t>
      </w:r>
    </w:p>
    <w:p>
      <w:pPr>
        <w:ind w:left="860"/>
        <w:spacing w:after="0"/>
        <w:rPr>
          <w:sz w:val="20"/>
          <w:szCs w:val="20"/>
          <w:color w:val="auto"/>
        </w:rPr>
      </w:pPr>
      <w:r>
        <w:rPr>
          <w:rFonts w:ascii="Courier New" w:cs="Courier New" w:eastAsia="Courier New" w:hAnsi="Courier New"/>
          <w:sz w:val="18"/>
          <w:szCs w:val="18"/>
          <w:color w:val="auto"/>
        </w:rPr>
        <w:t>Attorney-In-Fact for</w:t>
      </w:r>
    </w:p>
    <w:p>
      <w:pPr>
        <w:ind w:left="860"/>
        <w:spacing w:after="0" w:line="237" w:lineRule="auto"/>
        <w:rPr>
          <w:sz w:val="20"/>
          <w:szCs w:val="20"/>
          <w:color w:val="auto"/>
        </w:rPr>
      </w:pPr>
      <w:r>
        <w:rPr>
          <w:rFonts w:ascii="Courier New" w:cs="Courier New" w:eastAsia="Courier New" w:hAnsi="Courier New"/>
          <w:sz w:val="18"/>
          <w:szCs w:val="18"/>
          <w:color w:val="auto"/>
        </w:rPr>
        <w:t>The Dreyfus Corporation</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Mellon Bank Corporation, as marked (X):</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w:t>
      </w:r>
    </w:p>
    <w:p>
      <w:pPr>
        <w:spacing w:after="0" w:line="203" w:lineRule="exact"/>
        <w:rPr>
          <w:sz w:val="20"/>
          <w:szCs w:val="20"/>
          <w:color w:val="auto"/>
        </w:rPr>
      </w:pPr>
    </w:p>
    <w:p>
      <w:pPr>
        <w:ind w:left="1280" w:hanging="429"/>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Deposit and Trust Company</w:t>
      </w:r>
    </w:p>
    <w:p>
      <w:pPr>
        <w:ind w:left="1280" w:hanging="429"/>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California</w:t>
      </w:r>
    </w:p>
    <w:p>
      <w:pPr>
        <w:ind w:left="1280" w:hanging="429"/>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of New York</w:t>
      </w:r>
    </w:p>
    <w:p>
      <w:pPr>
        <w:spacing w:after="0" w:line="3" w:lineRule="exact"/>
        <w:rPr>
          <w:sz w:val="20"/>
          <w:szCs w:val="20"/>
          <w:color w:val="auto"/>
        </w:rPr>
      </w:pPr>
    </w:p>
    <w:p>
      <w:pPr>
        <w:ind w:left="1700" w:right="2099" w:hanging="849"/>
        <w:spacing w:after="0" w:line="235" w:lineRule="auto"/>
        <w:tabs>
          <w:tab w:leader="none" w:pos="106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Mellon Bank, N.A. (also parent holding company of the Dreyfus Corporation and Mellon Equity Associates)</w:t>
      </w:r>
    </w:p>
    <w:p>
      <w:pPr>
        <w:ind w:left="1280" w:hanging="429"/>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(Delaware) National Association</w:t>
      </w:r>
    </w:p>
    <w:p>
      <w:pPr>
        <w:ind w:left="1280" w:hanging="429"/>
        <w:spacing w:after="0" w:line="238"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Bank (MD)</w:t>
      </w:r>
    </w:p>
    <w:p>
      <w:pPr>
        <w:ind w:left="1280" w:hanging="429"/>
        <w:spacing w:after="0"/>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Trust Florida</w:t>
      </w:r>
    </w:p>
    <w:p>
      <w:pPr>
        <w:ind w:left="1280" w:hanging="429"/>
        <w:spacing w:after="0" w:line="238"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F.S.B.</w:t>
      </w:r>
    </w:p>
    <w:p>
      <w:pPr>
        <w:spacing w:after="0" w:line="207" w:lineRule="exact"/>
        <w:rPr>
          <w:rFonts w:ascii="Courier New" w:cs="Courier New" w:eastAsia="Courier New" w:hAnsi="Courier New"/>
          <w:sz w:val="18"/>
          <w:szCs w:val="18"/>
          <w:color w:val="auto"/>
        </w:rPr>
      </w:pPr>
    </w:p>
    <w:p>
      <w:pPr>
        <w:ind w:right="2199" w:firstLine="8"/>
        <w:spacing w:after="0" w:line="236"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Investment Advisor registered under Section 203 of the Investment Advisers Act of 1940."</w:t>
      </w:r>
    </w:p>
    <w:p>
      <w:pPr>
        <w:spacing w:after="0" w:line="203" w:lineRule="exact"/>
        <w:rPr>
          <w:sz w:val="20"/>
          <w:szCs w:val="20"/>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Franklin Portfolio Associates Trust</w:t>
      </w:r>
    </w:p>
    <w:p>
      <w:pPr>
        <w:ind w:left="1280" w:hanging="429"/>
        <w:spacing w:after="0" w:line="238" w:lineRule="auto"/>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Laurel Capital Advisors</w:t>
      </w:r>
    </w:p>
    <w:p>
      <w:pPr>
        <w:ind w:left="1280" w:hanging="429"/>
        <w:spacing w:after="0"/>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Capital Management Corporation</w:t>
      </w:r>
    </w:p>
    <w:p>
      <w:pPr>
        <w:ind w:left="1280" w:hanging="429"/>
        <w:spacing w:after="0" w:line="237" w:lineRule="auto"/>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Equity Associates</w:t>
      </w:r>
    </w:p>
    <w:p>
      <w:pPr>
        <w:ind w:left="1280" w:hanging="429"/>
        <w:spacing w:after="0" w:line="238" w:lineRule="auto"/>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Safe Advisors</w:t>
      </w:r>
    </w:p>
    <w:p>
      <w:pPr>
        <w:ind w:left="1280" w:hanging="429"/>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Boston Company Asset Management, Inc.</w:t>
      </w:r>
    </w:p>
    <w:p>
      <w:pPr>
        <w:spacing w:after="0" w:line="4" w:lineRule="exact"/>
        <w:rPr>
          <w:sz w:val="20"/>
          <w:szCs w:val="20"/>
          <w:color w:val="auto"/>
        </w:rPr>
      </w:pPr>
    </w:p>
    <w:p>
      <w:pPr>
        <w:ind w:left="1700" w:right="2739" w:hanging="849"/>
        <w:spacing w:after="0" w:line="235" w:lineRule="auto"/>
        <w:tabs>
          <w:tab w:leader="none" w:pos="106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The Dreyfus Corporation (also parent holding company of Dreyfus Investment Advisors, Inc.)</w:t>
      </w:r>
    </w:p>
    <w:p>
      <w:pPr>
        <w:ind w:left="1280" w:hanging="429"/>
        <w:spacing w:after="0"/>
        <w:tabs>
          <w:tab w:leader="none" w:pos="12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Dreyfus Investment Advisors, Inc.</w:t>
      </w:r>
    </w:p>
    <w:p>
      <w:pPr>
        <w:spacing w:after="0" w:line="206" w:lineRule="exact"/>
        <w:rPr>
          <w:rFonts w:ascii="Courier New" w:cs="Courier New" w:eastAsia="Courier New" w:hAnsi="Courier New"/>
          <w:sz w:val="18"/>
          <w:szCs w:val="18"/>
          <w:color w:val="auto"/>
        </w:rPr>
      </w:pPr>
    </w:p>
    <w:p>
      <w:pPr>
        <w:ind w:right="2319" w:firstLine="8"/>
        <w:spacing w:after="0" w:line="236"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legal entities listed below is "Item 3(g) Parent Holdings Company, in accordance with Section 240.13d-I(b)(ii)(G).</w:t>
      </w:r>
    </w:p>
    <w:p>
      <w:pPr>
        <w:spacing w:after="0" w:line="20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Mellon Bank Corporation</w:t>
      </w:r>
    </w:p>
    <w:p>
      <w:pPr>
        <w:ind w:left="1280" w:hanging="429"/>
        <w:spacing w:after="0" w:line="238"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Boston Group Holdings, Inc. (parent holding company of The</w:t>
      </w:r>
    </w:p>
    <w:p>
      <w:pPr>
        <w:spacing w:after="0" w:line="207" w:lineRule="exact"/>
        <w:rPr>
          <w:sz w:val="20"/>
          <w:szCs w:val="20"/>
          <w:color w:val="auto"/>
        </w:rPr>
      </w:pPr>
    </w:p>
    <w:p>
      <w:pPr>
        <w:ind w:left="1280" w:hanging="429"/>
        <w:spacing w:after="0"/>
        <w:tabs>
          <w:tab w:leader="none" w:pos="12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Boston Company, Inc. (parent holding company of Boston Safe</w:t>
      </w:r>
    </w:p>
    <w:p>
      <w:pPr>
        <w:spacing w:after="0" w:line="21" w:lineRule="exact"/>
        <w:rPr>
          <w:sz w:val="20"/>
          <w:szCs w:val="20"/>
          <w:color w:val="auto"/>
        </w:rPr>
      </w:pPr>
    </w:p>
    <w:p>
      <w:pPr>
        <w:ind w:left="1700" w:right="1999"/>
        <w:spacing w:after="0" w:line="268" w:lineRule="auto"/>
        <w:rPr>
          <w:sz w:val="20"/>
          <w:szCs w:val="20"/>
          <w:color w:val="auto"/>
        </w:rPr>
      </w:pPr>
      <w:r>
        <w:rPr>
          <w:rFonts w:ascii="Courier New" w:cs="Courier New" w:eastAsia="Courier New" w:hAnsi="Courier New"/>
          <w:sz w:val="16"/>
          <w:szCs w:val="16"/>
          <w:color w:val="auto"/>
        </w:rPr>
        <w:t>Advisors, Inc., The Boston Company Asset Management, Inc., Boston Safe Deposit and Trust Company, Mellon Trust of California, Mellon Trust of New York and Mellon Trust Florida)</w:t>
      </w:r>
    </w:p>
    <w:p>
      <w:pPr>
        <w:spacing w:after="0" w:line="1" w:lineRule="exact"/>
        <w:rPr>
          <w:sz w:val="20"/>
          <w:szCs w:val="20"/>
          <w:color w:val="auto"/>
        </w:rPr>
      </w:pPr>
    </w:p>
    <w:p>
      <w:pPr>
        <w:ind w:left="1700" w:right="2099" w:hanging="849"/>
        <w:spacing w:after="0" w:line="290" w:lineRule="auto"/>
        <w:tabs>
          <w:tab w:leader="none" w:pos="127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MBC Investment Corporation (parent holding company of Laurel Capital Advisors, Franklin Portfolio Associates, Mellon Bank,</w:t>
      </w:r>
    </w:p>
    <w:p>
      <w:pPr>
        <w:spacing w:after="0" w:line="170" w:lineRule="exact"/>
        <w:rPr>
          <w:sz w:val="20"/>
          <w:szCs w:val="20"/>
          <w:color w:val="auto"/>
        </w:rPr>
      </w:pPr>
    </w:p>
    <w:p>
      <w:pPr>
        <w:ind w:left="1700" w:right="2319" w:hanging="849"/>
        <w:spacing w:after="0" w:line="235" w:lineRule="auto"/>
        <w:tabs>
          <w:tab w:leader="none" w:pos="127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Financial Corporation (MD)(parent holding company of Mellon Bank (MD)</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and (B) above are direct or indirect subsidiaries of Mellon Bank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Mellon Bank Corporation's reporting person page. (Do not add the shares or percent of class reported on each joint reporting person page on the attached Schedule 13G to determine the total percent of class for Mellon Bank Corporation.)</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2"/>
    </w:lvl>
  </w:abstractNum>
  <w:abstractNum w:abstractNumId="1">
    <w:nsid w:val="41A7C4C9"/>
    <w:multiLevelType w:val="hybridMultilevel"/>
    <w:lvl w:ilvl="0">
      <w:lvlJc w:val="left"/>
      <w:lvlText w:val="(%1)"/>
      <w:numFmt w:val="decimal"/>
      <w:start w:val="3"/>
    </w:lvl>
  </w:abstractNum>
  <w:abstractNum w:abstractNumId="2">
    <w:nsid w:val="6B68079A"/>
    <w:multiLevelType w:val="hybridMultilevel"/>
    <w:lvl w:ilvl="0">
      <w:lvlJc w:val="left"/>
      <w:lvlText w:val="(%1)"/>
      <w:numFmt w:val="decimal"/>
      <w:start w:val="9"/>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10"/>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9"/>
    </w:lvl>
  </w:abstractNum>
  <w:abstractNum w:abstractNumId="9">
    <w:nsid w:val="257130A3"/>
    <w:multiLevelType w:val="hybridMultilevel"/>
    <w:lvl w:ilvl="0">
      <w:lvlJc w:val="left"/>
      <w:lvlText w:val="(%1)"/>
      <w:numFmt w:val="upperLetter"/>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upperLetter"/>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upperLetter"/>
      <w:start w:val="2"/>
    </w:lvl>
    <w:lvl w:ilvl="1">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2019-12-13T00:45:41Z</dcterms:created>
  <dcterms:modified xsi:type="dcterms:W3CDTF">2019-12-13T00:45:41Z</dcterms:modified>
</cp:coreProperties>
</file>