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18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Proposed</w:t>
            </w:r>
          </w:p>
        </w:tc>
        <w:tc>
          <w:tcPr>
            <w:tcW w:w="19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3"/>
              </w:rPr>
              <w:t>Proposed</w:t>
            </w:r>
          </w:p>
        </w:tc>
        <w:tc>
          <w:tcPr>
            <w:tcW w:w="1680" w:type="dxa"/>
            <w:vAlign w:val="bottom"/>
            <w:tcBorders>
              <w:top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16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2120" w:type="dxa"/>
            <w:vAlign w:val="bottom"/>
          </w:tcPr>
          <w:p>
            <w:pPr>
              <w:jc w:val="center"/>
              <w:ind w:left="487"/>
              <w:spacing w:after="0" w:line="149" w:lineRule="exact"/>
              <w:rPr>
                <w:sz w:val="20"/>
                <w:szCs w:val="20"/>
                <w:color w:val="auto"/>
              </w:rPr>
            </w:pPr>
            <w:r>
              <w:rPr>
                <w:rFonts w:ascii="Arial" w:cs="Arial" w:eastAsia="Arial" w:hAnsi="Arial"/>
                <w:sz w:val="14"/>
                <w:szCs w:val="14"/>
                <w:b w:val="1"/>
                <w:bCs w:val="1"/>
                <w:color w:val="auto"/>
                <w:w w:val="90"/>
              </w:rPr>
              <w:t>Amount</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Offering</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Aggregate</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149"/>
        </w:trPr>
        <w:tc>
          <w:tcPr>
            <w:tcW w:w="20" w:type="dxa"/>
            <w:vAlign w:val="bottom"/>
          </w:tcPr>
          <w:p>
            <w:pPr>
              <w:spacing w:after="0"/>
              <w:rPr>
                <w:sz w:val="12"/>
                <w:szCs w:val="12"/>
                <w:color w:val="auto"/>
              </w:rPr>
            </w:pPr>
          </w:p>
        </w:tc>
        <w:tc>
          <w:tcPr>
            <w:tcW w:w="4180" w:type="dxa"/>
            <w:vAlign w:val="bottom"/>
          </w:tcPr>
          <w:p>
            <w:pPr>
              <w:jc w:val="center"/>
              <w:ind w:left="546"/>
              <w:spacing w:after="0" w:line="149" w:lineRule="exact"/>
              <w:rPr>
                <w:sz w:val="20"/>
                <w:szCs w:val="20"/>
                <w:color w:val="auto"/>
              </w:rPr>
            </w:pPr>
            <w:r>
              <w:rPr>
                <w:rFonts w:ascii="Arial" w:cs="Arial" w:eastAsia="Arial" w:hAnsi="Arial"/>
                <w:sz w:val="14"/>
                <w:szCs w:val="14"/>
                <w:b w:val="1"/>
                <w:bCs w:val="1"/>
                <w:color w:val="auto"/>
                <w:w w:val="87"/>
              </w:rPr>
              <w:t>Title of Each Class of</w:t>
            </w:r>
          </w:p>
        </w:tc>
        <w:tc>
          <w:tcPr>
            <w:tcW w:w="2120" w:type="dxa"/>
            <w:vAlign w:val="bottom"/>
          </w:tcPr>
          <w:p>
            <w:pPr>
              <w:jc w:val="center"/>
              <w:ind w:left="487"/>
              <w:spacing w:after="0" w:line="149" w:lineRule="exact"/>
              <w:rPr>
                <w:sz w:val="20"/>
                <w:szCs w:val="20"/>
                <w:color w:val="auto"/>
              </w:rPr>
            </w:pPr>
            <w:r>
              <w:rPr>
                <w:rFonts w:ascii="Arial" w:cs="Arial" w:eastAsia="Arial" w:hAnsi="Arial"/>
                <w:sz w:val="14"/>
                <w:szCs w:val="14"/>
                <w:b w:val="1"/>
                <w:bCs w:val="1"/>
                <w:color w:val="auto"/>
                <w:w w:val="83"/>
              </w:rPr>
              <w:t>to be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Per</w:t>
            </w:r>
          </w:p>
        </w:tc>
        <w:tc>
          <w:tcPr>
            <w:tcW w:w="1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Registration</w:t>
            </w:r>
          </w:p>
        </w:tc>
      </w:tr>
      <w:tr>
        <w:trPr>
          <w:trHeight w:val="175"/>
        </w:trPr>
        <w:tc>
          <w:tcPr>
            <w:tcW w:w="20" w:type="dxa"/>
            <w:vAlign w:val="bottom"/>
          </w:tcPr>
          <w:p>
            <w:pPr>
              <w:spacing w:after="0"/>
              <w:rPr>
                <w:sz w:val="15"/>
                <w:szCs w:val="15"/>
                <w:color w:val="auto"/>
              </w:rPr>
            </w:pPr>
          </w:p>
        </w:tc>
        <w:tc>
          <w:tcPr>
            <w:tcW w:w="4180" w:type="dxa"/>
            <w:vAlign w:val="bottom"/>
            <w:tcBorders>
              <w:bottom w:val="single" w:sz="8" w:color="auto"/>
            </w:tcBorders>
          </w:tcPr>
          <w:p>
            <w:pPr>
              <w:jc w:val="center"/>
              <w:ind w:left="546"/>
              <w:spacing w:after="0"/>
              <w:rPr>
                <w:sz w:val="20"/>
                <w:szCs w:val="20"/>
                <w:color w:val="auto"/>
              </w:rPr>
            </w:pPr>
            <w:r>
              <w:rPr>
                <w:rFonts w:ascii="Arial" w:cs="Arial" w:eastAsia="Arial" w:hAnsi="Arial"/>
                <w:sz w:val="14"/>
                <w:szCs w:val="14"/>
                <w:b w:val="1"/>
                <w:bCs w:val="1"/>
                <w:color w:val="auto"/>
                <w:w w:val="84"/>
              </w:rPr>
              <w:t>Securities to be Registered</w:t>
            </w:r>
          </w:p>
        </w:tc>
        <w:tc>
          <w:tcPr>
            <w:tcW w:w="2120" w:type="dxa"/>
            <w:vAlign w:val="bottom"/>
            <w:tcBorders>
              <w:bottom w:val="single" w:sz="8" w:color="auto"/>
            </w:tcBorders>
          </w:tcPr>
          <w:p>
            <w:pPr>
              <w:jc w:val="center"/>
              <w:ind w:left="507"/>
              <w:spacing w:after="0"/>
              <w:rPr>
                <w:sz w:val="20"/>
                <w:szCs w:val="20"/>
                <w:color w:val="auto"/>
              </w:rPr>
            </w:pPr>
            <w:r>
              <w:rPr>
                <w:rFonts w:ascii="Arial" w:cs="Arial" w:eastAsia="Arial" w:hAnsi="Arial"/>
                <w:sz w:val="14"/>
                <w:szCs w:val="14"/>
                <w:b w:val="1"/>
                <w:bCs w:val="1"/>
                <w:color w:val="auto"/>
                <w:w w:val="85"/>
              </w:rPr>
              <w:t>Registered</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Unit</w:t>
            </w: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Price</w:t>
            </w:r>
          </w:p>
        </w:tc>
        <w:tc>
          <w:tcPr>
            <w:tcW w:w="1680" w:type="dxa"/>
            <w:vAlign w:val="bottom"/>
            <w:tcBorders>
              <w:bottom w:val="single" w:sz="8" w:color="auto"/>
            </w:tcBorders>
          </w:tcPr>
          <w:p>
            <w:pPr>
              <w:jc w:val="center"/>
              <w:ind w:right="7"/>
              <w:spacing w:after="0"/>
              <w:rPr>
                <w:sz w:val="20"/>
                <w:szCs w:val="20"/>
                <w:color w:val="auto"/>
              </w:rPr>
            </w:pPr>
            <w:r>
              <w:rPr>
                <w:rFonts w:ascii="Arial" w:cs="Arial" w:eastAsia="Arial" w:hAnsi="Arial"/>
                <w:sz w:val="14"/>
                <w:szCs w:val="14"/>
                <w:b w:val="1"/>
                <w:bCs w:val="1"/>
                <w:color w:val="auto"/>
                <w:w w:val="87"/>
              </w:rPr>
              <w:t>Fee(1)</w:t>
            </w: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2.75% Notes due 2023</w:t>
            </w:r>
          </w:p>
        </w:tc>
        <w:tc>
          <w:tcPr>
            <w:tcW w:w="2120" w:type="dxa"/>
            <w:vAlign w:val="bottom"/>
          </w:tcPr>
          <w:p>
            <w:pPr>
              <w:ind w:left="1480"/>
              <w:spacing w:after="0"/>
              <w:rPr>
                <w:sz w:val="20"/>
                <w:szCs w:val="20"/>
                <w:color w:val="auto"/>
              </w:rPr>
            </w:pPr>
            <w:r>
              <w:rPr>
                <w:rFonts w:ascii="Arial" w:cs="Arial" w:eastAsia="Arial" w:hAnsi="Arial"/>
                <w:sz w:val="18"/>
                <w:szCs w:val="18"/>
                <w:color w:val="auto"/>
              </w:rPr>
              <w:t>—</w:t>
            </w:r>
          </w:p>
        </w:tc>
        <w:tc>
          <w:tcPr>
            <w:tcW w:w="1520" w:type="dxa"/>
            <w:vAlign w:val="bottom"/>
          </w:tcPr>
          <w:p>
            <w:pPr>
              <w:ind w:left="880"/>
              <w:spacing w:after="0"/>
              <w:rPr>
                <w:sz w:val="20"/>
                <w:szCs w:val="20"/>
                <w:color w:val="auto"/>
              </w:rPr>
            </w:pPr>
            <w:r>
              <w:rPr>
                <w:rFonts w:ascii="Arial" w:cs="Arial" w:eastAsia="Arial" w:hAnsi="Arial"/>
                <w:sz w:val="18"/>
                <w:szCs w:val="18"/>
                <w:color w:val="auto"/>
              </w:rPr>
              <w:t>—</w:t>
            </w:r>
          </w:p>
        </w:tc>
        <w:tc>
          <w:tcPr>
            <w:tcW w:w="1900" w:type="dxa"/>
            <w:vAlign w:val="bottom"/>
          </w:tcPr>
          <w:p>
            <w:pPr>
              <w:jc w:val="center"/>
              <w:spacing w:after="0"/>
              <w:rPr>
                <w:sz w:val="20"/>
                <w:szCs w:val="20"/>
                <w:color w:val="auto"/>
              </w:rPr>
            </w:pPr>
            <w:r>
              <w:rPr>
                <w:rFonts w:ascii="Arial" w:cs="Arial" w:eastAsia="Arial" w:hAnsi="Arial"/>
                <w:sz w:val="18"/>
                <w:szCs w:val="18"/>
                <w:color w:val="auto"/>
                <w:w w:val="88"/>
              </w:rPr>
              <w:t>$275,000,000</w:t>
            </w:r>
          </w:p>
        </w:tc>
        <w:tc>
          <w:tcPr>
            <w:tcW w:w="1680" w:type="dxa"/>
            <w:vAlign w:val="bottom"/>
          </w:tcPr>
          <w:p>
            <w:pPr>
              <w:jc w:val="right"/>
              <w:ind w:right="447"/>
              <w:spacing w:after="0"/>
              <w:rPr>
                <w:sz w:val="20"/>
                <w:szCs w:val="20"/>
                <w:color w:val="auto"/>
              </w:rPr>
            </w:pPr>
            <w:r>
              <w:rPr>
                <w:rFonts w:ascii="Arial" w:cs="Arial" w:eastAsia="Arial" w:hAnsi="Arial"/>
                <w:sz w:val="18"/>
                <w:szCs w:val="18"/>
                <w:color w:val="auto"/>
              </w:rPr>
              <w:t>$  37,510</w:t>
            </w:r>
          </w:p>
        </w:tc>
      </w:tr>
    </w:tbl>
    <w:p>
      <w:pPr>
        <w:spacing w:after="0" w:line="66" w:lineRule="exact"/>
        <w:rPr>
          <w:sz w:val="24"/>
          <w:szCs w:val="24"/>
          <w:color w:val="auto"/>
        </w:rPr>
      </w:pPr>
    </w:p>
    <w:p>
      <w:pPr>
        <w:ind w:left="220" w:right="80" w:hanging="212"/>
        <w:spacing w:after="0" w:line="306" w:lineRule="auto"/>
        <w:tabs>
          <w:tab w:leader="none" w:pos="22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This filing fee is calculated in accordance with Rule 457(r) under the Securities Act of 1933, as amended (the “Securities Act”), and relates to the Registration Statement on Form S-3 (No. 333-181236) filed on May 8, 2012 (the “Registration Statement”). In accordance with Rules 456(b) and 457(r) under the Securities Act, the registrant deferred payment of the registration fee for the Registration Statement.</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Registration No. 333-181236</w:t>
      </w: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MAY 8, 2012)</w:t>
      </w:r>
    </w:p>
    <w:p>
      <w:pPr>
        <w:spacing w:after="0" w:line="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422910</wp:posOffset>
            </wp:positionV>
            <wp:extent cx="2152650" cy="823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526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2.75%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2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notes offered by this prospectus supplement will bear interest at the rate of 2.75% per year. Interest on the notes will be payable on June 1 and December 1 of each year, beginning on December 1, 2013. The notes will mature on June 1, 2023. We may redeem some or all of the notes at any time before maturity. The redemption prices are discussed under the caption “Description of Notes — Optional Redemption.”</w:t>
      </w:r>
    </w:p>
    <w:p>
      <w:pPr>
        <w:spacing w:after="0" w:line="59" w:lineRule="exact"/>
        <w:rPr>
          <w:sz w:val="20"/>
          <w:szCs w:val="20"/>
          <w:color w:val="auto"/>
        </w:rPr>
      </w:pPr>
    </w:p>
    <w:p>
      <w:pPr>
        <w:jc w:val="both"/>
        <w:ind w:right="620"/>
        <w:spacing w:after="0" w:line="259" w:lineRule="auto"/>
        <w:rPr>
          <w:sz w:val="20"/>
          <w:szCs w:val="20"/>
          <w:color w:val="auto"/>
        </w:rPr>
      </w:pPr>
      <w:r>
        <w:rPr>
          <w:rFonts w:ascii="Arial" w:cs="Arial" w:eastAsia="Arial" w:hAnsi="Arial"/>
          <w:sz w:val="18"/>
          <w:szCs w:val="18"/>
          <w:color w:val="auto"/>
        </w:rPr>
        <w:t>The notes will be our senior unsecured obligations and will rank equally with all of our other senior unsecured indebtedness. The notes will be effectively subordinated to the prior claims of each secured mortgage lender to any specified property that secures such lender’s mortgage and to all of the unsecured indebtedness of our subsidiaries.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The notes will not be listed on any securities exchange. There is currently no public market for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left="260"/>
        <w:spacing w:after="0" w:line="261" w:lineRule="auto"/>
        <w:rPr>
          <w:sz w:val="20"/>
          <w:szCs w:val="20"/>
          <w:color w:val="auto"/>
        </w:rPr>
      </w:pPr>
      <w:r>
        <w:rPr>
          <w:rFonts w:ascii="Arial" w:cs="Arial" w:eastAsia="Arial" w:hAnsi="Arial"/>
          <w:sz w:val="21"/>
          <w:szCs w:val="21"/>
          <w:b w:val="1"/>
          <w:bCs w:val="1"/>
          <w:color w:val="auto"/>
        </w:rPr>
        <w:t>Investing in the notes involves risks. See “Risk Factors” beginning on page S-6 of this prospectus supplement, on page 3 of the accompanying prospectus and in our Annual Report on Form 10-K for the year ended December 31, 2012, filed with the Securities and Exchange Commission, or the SEC, on February 12, 2013.</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60" w:type="dxa"/>
            <w:vAlign w:val="bottom"/>
          </w:tcPr>
          <w:p>
            <w:pPr>
              <w:spacing w:after="0"/>
              <w:rPr>
                <w:sz w:val="19"/>
                <w:szCs w:val="19"/>
                <w:color w:val="auto"/>
              </w:rPr>
            </w:pPr>
          </w:p>
        </w:tc>
        <w:tc>
          <w:tcPr>
            <w:tcW w:w="1680" w:type="dxa"/>
            <w:vAlign w:val="bottom"/>
            <w:gridSpan w:val="2"/>
          </w:tcPr>
          <w:p>
            <w:pPr>
              <w:ind w:left="40"/>
              <w:spacing w:after="0"/>
              <w:rPr>
                <w:sz w:val="20"/>
                <w:szCs w:val="20"/>
                <w:color w:val="auto"/>
              </w:rPr>
            </w:pPr>
            <w:r>
              <w:rPr>
                <w:rFonts w:ascii="Arial" w:cs="Arial" w:eastAsia="Arial" w:hAnsi="Arial"/>
                <w:sz w:val="18"/>
                <w:szCs w:val="18"/>
                <w:b w:val="1"/>
                <w:bCs w:val="1"/>
                <w:color w:val="auto"/>
              </w:rPr>
              <w:t>Per Note</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ind w:left="120"/>
              <w:spacing w:after="0"/>
              <w:rPr>
                <w:sz w:val="20"/>
                <w:szCs w:val="20"/>
                <w:color w:val="auto"/>
              </w:rPr>
            </w:pPr>
            <w:r>
              <w:rPr>
                <w:rFonts w:ascii="Arial" w:cs="Arial" w:eastAsia="Arial" w:hAnsi="Arial"/>
                <w:sz w:val="18"/>
                <w:szCs w:val="18"/>
                <w:b w:val="1"/>
                <w:bCs w:val="1"/>
                <w:color w:val="auto"/>
              </w:rPr>
              <w:t>Total</w:t>
            </w:r>
          </w:p>
        </w:tc>
      </w:tr>
      <w:tr>
        <w:trPr>
          <w:trHeight w:val="144"/>
        </w:trPr>
        <w:tc>
          <w:tcPr>
            <w:tcW w:w="7860" w:type="dxa"/>
            <w:vAlign w:val="bottom"/>
            <w:tcBorders>
              <w:top w:val="single" w:sz="8" w:color="CCEEFF"/>
            </w:tcBorders>
            <w:shd w:val="clear" w:color="auto" w:fill="CCEEFF"/>
          </w:tcPr>
          <w:p>
            <w:pPr>
              <w:spacing w:after="0" w:line="144" w:lineRule="exact"/>
              <w:rPr>
                <w:sz w:val="20"/>
                <w:szCs w:val="20"/>
                <w:color w:val="auto"/>
              </w:rPr>
            </w:pPr>
            <w:r>
              <w:rPr>
                <w:rFonts w:ascii="Arial" w:cs="Arial" w:eastAsia="Arial" w:hAnsi="Arial"/>
                <w:sz w:val="11"/>
                <w:szCs w:val="11"/>
                <w:color w:val="auto"/>
              </w:rPr>
              <w:t>Public offering price</w:t>
            </w:r>
            <w:r>
              <w:rPr>
                <w:rFonts w:ascii="Arial" w:cs="Arial" w:eastAsia="Arial" w:hAnsi="Arial"/>
                <w:sz w:val="16"/>
                <w:szCs w:val="16"/>
                <w:color w:val="auto"/>
                <w:vertAlign w:val="superscript"/>
              </w:rPr>
              <w:t>(1)</w:t>
            </w:r>
          </w:p>
        </w:tc>
        <w:tc>
          <w:tcPr>
            <w:tcW w:w="7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rPr>
              <w:t>98.749%</w:t>
            </w:r>
          </w:p>
        </w:tc>
        <w:tc>
          <w:tcPr>
            <w:tcW w:w="94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44" w:lineRule="exact"/>
              <w:rPr>
                <w:sz w:val="20"/>
                <w:szCs w:val="20"/>
                <w:color w:val="auto"/>
              </w:rPr>
            </w:pPr>
            <w:r>
              <w:rPr>
                <w:rFonts w:ascii="Arial" w:cs="Arial" w:eastAsia="Arial" w:hAnsi="Arial"/>
                <w:sz w:val="14"/>
                <w:szCs w:val="14"/>
                <w:color w:val="auto"/>
                <w:w w:val="92"/>
              </w:rPr>
              <w:t>271,559,750</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7860" w:type="dxa"/>
            <w:vAlign w:val="bottom"/>
          </w:tcPr>
          <w:p>
            <w:pPr>
              <w:spacing w:after="0" w:line="149" w:lineRule="exact"/>
              <w:rPr>
                <w:sz w:val="20"/>
                <w:szCs w:val="20"/>
                <w:color w:val="auto"/>
              </w:rPr>
            </w:pPr>
            <w:r>
              <w:rPr>
                <w:rFonts w:ascii="Arial" w:cs="Arial" w:eastAsia="Arial" w:hAnsi="Arial"/>
                <w:sz w:val="14"/>
                <w:szCs w:val="14"/>
                <w:color w:val="auto"/>
              </w:rPr>
              <w:t>Underwriting discount</w:t>
            </w:r>
          </w:p>
        </w:tc>
        <w:tc>
          <w:tcPr>
            <w:tcW w:w="1680" w:type="dxa"/>
            <w:vAlign w:val="bottom"/>
            <w:gridSpan w:val="2"/>
          </w:tcPr>
          <w:p>
            <w:pPr>
              <w:jc w:val="right"/>
              <w:ind w:right="940"/>
              <w:spacing w:after="0" w:line="149" w:lineRule="exact"/>
              <w:rPr>
                <w:sz w:val="20"/>
                <w:szCs w:val="20"/>
                <w:color w:val="auto"/>
              </w:rPr>
            </w:pPr>
            <w:r>
              <w:rPr>
                <w:rFonts w:ascii="Arial" w:cs="Arial" w:eastAsia="Arial" w:hAnsi="Arial"/>
                <w:sz w:val="14"/>
                <w:szCs w:val="14"/>
                <w:color w:val="auto"/>
              </w:rPr>
              <w:t>0.65%</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1,787,500</w:t>
            </w:r>
          </w:p>
        </w:tc>
      </w:tr>
      <w:tr>
        <w:trPr>
          <w:trHeight w:val="149"/>
        </w:trPr>
        <w:tc>
          <w:tcPr>
            <w:tcW w:w="786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Proceeds, before expenses, to us</w:t>
            </w:r>
            <w:r>
              <w:rPr>
                <w:rFonts w:ascii="Arial" w:cs="Arial" w:eastAsia="Arial" w:hAnsi="Arial"/>
                <w:sz w:val="17"/>
                <w:szCs w:val="17"/>
                <w:color w:val="auto"/>
                <w:vertAlign w:val="superscript"/>
              </w:rPr>
              <w:t>(1)</w:t>
            </w:r>
          </w:p>
        </w:tc>
        <w:tc>
          <w:tcPr>
            <w:tcW w:w="1680" w:type="dxa"/>
            <w:vAlign w:val="bottom"/>
            <w:gridSpan w:val="2"/>
            <w:shd w:val="clear" w:color="auto" w:fill="CCEEFF"/>
          </w:tcPr>
          <w:p>
            <w:pPr>
              <w:jc w:val="right"/>
              <w:ind w:right="940"/>
              <w:spacing w:after="0" w:line="149" w:lineRule="exact"/>
              <w:rPr>
                <w:sz w:val="20"/>
                <w:szCs w:val="20"/>
                <w:color w:val="auto"/>
              </w:rPr>
            </w:pPr>
            <w:r>
              <w:rPr>
                <w:rFonts w:ascii="Arial" w:cs="Arial" w:eastAsia="Arial" w:hAnsi="Arial"/>
                <w:sz w:val="14"/>
                <w:szCs w:val="14"/>
                <w:color w:val="auto"/>
              </w:rPr>
              <w:t>98.099%</w:t>
            </w:r>
          </w:p>
        </w:tc>
        <w:tc>
          <w:tcPr>
            <w:tcW w:w="10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2"/>
              </w:rPr>
              <w:t>269,772,250</w:t>
            </w:r>
          </w:p>
        </w:tc>
      </w:tr>
    </w:tbl>
    <w:p>
      <w:pPr>
        <w:spacing w:after="0" w:line="154" w:lineRule="exact"/>
        <w:rPr>
          <w:sz w:val="20"/>
          <w:szCs w:val="20"/>
          <w:color w:val="auto"/>
        </w:rPr>
      </w:pPr>
    </w:p>
    <w:p>
      <w:pPr>
        <w:ind w:left="180" w:hanging="172"/>
        <w:spacing w:after="0"/>
        <w:tabs>
          <w:tab w:leader="none" w:pos="180" w:val="left"/>
        </w:tabs>
        <w:numPr>
          <w:ilvl w:val="0"/>
          <w:numId w:val="2"/>
        </w:numPr>
        <w:rPr>
          <w:rFonts w:ascii="Arial" w:cs="Arial" w:eastAsia="Arial" w:hAnsi="Arial"/>
          <w:sz w:val="11"/>
          <w:szCs w:val="11"/>
          <w:color w:val="auto"/>
        </w:rPr>
      </w:pPr>
      <w:r>
        <w:rPr>
          <w:rFonts w:ascii="Arial" w:cs="Arial" w:eastAsia="Arial" w:hAnsi="Arial"/>
          <w:sz w:val="18"/>
          <w:szCs w:val="18"/>
          <w:color w:val="auto"/>
        </w:rPr>
        <w:t>Plus accrued interest from May 9, 2013, if settlement occurs after that date.</w:t>
      </w:r>
    </w:p>
    <w:p>
      <w:pPr>
        <w:spacing w:after="0" w:line="17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underwriters expect to deliver the notes to purchasers in book-entry only form through the facilities of The Depository Trust Company on or about May 9, 2013.</w:t>
      </w:r>
    </w:p>
    <w:p>
      <w:pPr>
        <w:spacing w:after="0" w:line="126" w:lineRule="exact"/>
        <w:rPr>
          <w:sz w:val="20"/>
          <w:szCs w:val="20"/>
          <w:color w:val="auto"/>
        </w:rPr>
      </w:pPr>
    </w:p>
    <w:p>
      <w:pPr>
        <w:ind w:right="80"/>
        <w:spacing w:after="0" w:line="339" w:lineRule="auto"/>
        <w:rPr>
          <w:sz w:val="20"/>
          <w:szCs w:val="20"/>
          <w:color w:val="auto"/>
        </w:rPr>
      </w:pPr>
      <w:r>
        <w:rPr>
          <w:rFonts w:ascii="Arial" w:cs="Arial" w:eastAsia="Arial" w:hAnsi="Arial"/>
          <w:sz w:val="16"/>
          <w:szCs w:val="16"/>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425450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Book-Running Managers</w:t>
      </w:r>
    </w:p>
    <w:p>
      <w:pPr>
        <w:sectPr>
          <w:pgSz w:w="11900" w:h="16838" w:orient="portrait"/>
          <w:cols w:equalWidth="0" w:num="1">
            <w:col w:w="11420"/>
          </w:cols>
          <w:pgMar w:left="240" w:top="459" w:right="2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28"/>
          <w:szCs w:val="28"/>
          <w:b w:val="1"/>
          <w:bCs w:val="1"/>
          <w:color w:val="auto"/>
        </w:rPr>
        <w:t>Wells Fargo Securities</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BofA Merrill Lynch</w:t>
      </w:r>
    </w:p>
    <w:p>
      <w:pPr>
        <w:spacing w:after="0" w:line="116" w:lineRule="exact"/>
        <w:rPr>
          <w:sz w:val="20"/>
          <w:szCs w:val="20"/>
          <w:color w:val="auto"/>
        </w:rPr>
      </w:pPr>
    </w:p>
    <w:p>
      <w:pPr>
        <w:sectPr>
          <w:pgSz w:w="11900" w:h="16838" w:orient="portrait"/>
          <w:cols w:equalWidth="0" w:num="2">
            <w:col w:w="7940" w:space="720"/>
            <w:col w:w="27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Joint Lead Managers</w:t>
      </w:r>
    </w:p>
    <w:p>
      <w:pPr>
        <w:sectPr>
          <w:pgSz w:w="11900" w:h="16838" w:orient="portrait"/>
          <w:cols w:equalWidth="0" w:num="1">
            <w:col w:w="11420"/>
          </w:cols>
          <w:pgMar w:left="240" w:top="459" w:right="239" w:bottom="1440" w:gutter="0" w:footer="0" w:header="0"/>
          <w:type w:val="continuous"/>
        </w:sectPr>
      </w:pPr>
    </w:p>
    <w:p>
      <w:pPr>
        <w:spacing w:after="0" w:line="44" w:lineRule="exact"/>
        <w:rPr>
          <w:sz w:val="20"/>
          <w:szCs w:val="20"/>
          <w:color w:val="auto"/>
        </w:rPr>
      </w:pPr>
    </w:p>
    <w:p>
      <w:pPr>
        <w:ind w:left="720"/>
        <w:spacing w:after="0"/>
        <w:rPr>
          <w:sz w:val="20"/>
          <w:szCs w:val="20"/>
          <w:color w:val="auto"/>
        </w:rPr>
      </w:pPr>
      <w:r>
        <w:rPr>
          <w:rFonts w:ascii="Arial" w:cs="Arial" w:eastAsia="Arial" w:hAnsi="Arial"/>
          <w:sz w:val="19"/>
          <w:szCs w:val="19"/>
          <w:b w:val="1"/>
          <w:bCs w:val="1"/>
          <w:color w:val="auto"/>
        </w:rPr>
        <w:t>Deutsche Bank Securities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PNC Capital Markets LLC</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Bancorp</w:t>
      </w:r>
    </w:p>
    <w:p>
      <w:pPr>
        <w:spacing w:after="0" w:line="174" w:lineRule="exact"/>
        <w:rPr>
          <w:sz w:val="20"/>
          <w:szCs w:val="20"/>
          <w:color w:val="auto"/>
        </w:rPr>
      </w:pPr>
    </w:p>
    <w:p>
      <w:pPr>
        <w:sectPr>
          <w:pgSz w:w="11900" w:h="16838" w:orient="portrait"/>
          <w:cols w:equalWidth="0" w:num="3">
            <w:col w:w="3800" w:space="720"/>
            <w:col w:w="3800" w:space="720"/>
            <w:col w:w="2380"/>
          </w:cols>
          <w:pgMar w:left="240" w:top="459" w:right="239" w:bottom="1440" w:gutter="0" w:footer="0" w:header="0"/>
          <w:type w:val="continuous"/>
        </w:sectPr>
      </w:pPr>
    </w:p>
    <w:p>
      <w:pPr>
        <w:spacing w:after="0" w:line="216"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Citigroup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Senior Co-Managers</w:t>
      </w:r>
    </w:p>
    <w:p>
      <w:pPr>
        <w:spacing w:after="0" w:line="44"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J.P. Morgan</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RBC Capital Markets</w:t>
      </w:r>
    </w:p>
    <w:p>
      <w:pPr>
        <w:spacing w:after="0" w:line="194" w:lineRule="exact"/>
        <w:rPr>
          <w:sz w:val="20"/>
          <w:szCs w:val="20"/>
          <w:color w:val="auto"/>
        </w:rPr>
      </w:pPr>
    </w:p>
    <w:p>
      <w:pPr>
        <w:sectPr>
          <w:pgSz w:w="11900" w:h="16838" w:orient="portrait"/>
          <w:cols w:equalWidth="0" w:num="3">
            <w:col w:w="4220" w:space="720"/>
            <w:col w:w="3120" w:space="720"/>
            <w:col w:w="2640"/>
          </w:cols>
          <w:pgMar w:left="240" w:top="459" w:right="239" w:bottom="1440" w:gutter="0" w:footer="0" w:header="0"/>
          <w:type w:val="continuous"/>
        </w:sectPr>
      </w:pPr>
    </w:p>
    <w:p>
      <w:pPr>
        <w:spacing w:after="0" w:line="216" w:lineRule="exact"/>
        <w:rPr>
          <w:sz w:val="20"/>
          <w:szCs w:val="20"/>
          <w:color w:val="auto"/>
        </w:rPr>
      </w:pPr>
    </w:p>
    <w:p>
      <w:pPr>
        <w:ind w:left="560"/>
        <w:spacing w:after="0"/>
        <w:rPr>
          <w:sz w:val="20"/>
          <w:szCs w:val="20"/>
          <w:color w:val="auto"/>
        </w:rPr>
      </w:pPr>
      <w:r>
        <w:rPr>
          <w:rFonts w:ascii="Arial" w:cs="Arial" w:eastAsia="Arial" w:hAnsi="Arial"/>
          <w:sz w:val="15"/>
          <w:szCs w:val="15"/>
          <w:b w:val="1"/>
          <w:bCs w:val="1"/>
          <w:color w:val="auto"/>
        </w:rPr>
        <w:t>Capital One Southcoast</w:t>
      </w:r>
    </w:p>
    <w:p>
      <w:pPr>
        <w:spacing w:after="0" w:line="20" w:lineRule="exact"/>
        <w:rPr>
          <w:sz w:val="20"/>
          <w:szCs w:val="20"/>
          <w:color w:val="auto"/>
        </w:rPr>
      </w:pPr>
      <w:r>
        <w:rPr>
          <w:sz w:val="20"/>
          <w:szCs w:val="20"/>
          <w:color w:val="auto"/>
        </w:rPr>
        <w:br w:type="column"/>
      </w:r>
    </w:p>
    <w:p>
      <w:pPr>
        <w:ind w:left="1660"/>
        <w:spacing w:after="0"/>
        <w:rPr>
          <w:sz w:val="20"/>
          <w:szCs w:val="20"/>
          <w:color w:val="auto"/>
        </w:rPr>
      </w:pPr>
      <w:r>
        <w:rPr>
          <w:rFonts w:ascii="Arial" w:cs="Arial" w:eastAsia="Arial" w:hAnsi="Arial"/>
          <w:sz w:val="18"/>
          <w:szCs w:val="18"/>
          <w:b w:val="1"/>
          <w:bCs w:val="1"/>
          <w:color w:val="auto"/>
        </w:rPr>
        <w:t>Co-Managers</w:t>
      </w:r>
    </w:p>
    <w:p>
      <w:pPr>
        <w:spacing w:after="0" w:line="21" w:lineRule="exact"/>
        <w:rPr>
          <w:sz w:val="20"/>
          <w:szCs w:val="20"/>
          <w:color w:val="auto"/>
        </w:rPr>
      </w:pPr>
    </w:p>
    <w:p>
      <w:pPr>
        <w:spacing w:after="0"/>
        <w:tabs>
          <w:tab w:leader="none" w:pos="2660" w:val="left"/>
        </w:tabs>
        <w:rPr>
          <w:sz w:val="20"/>
          <w:szCs w:val="20"/>
          <w:color w:val="auto"/>
        </w:rPr>
      </w:pPr>
      <w:r>
        <w:rPr>
          <w:rFonts w:ascii="Arial" w:cs="Arial" w:eastAsia="Arial" w:hAnsi="Arial"/>
          <w:sz w:val="18"/>
          <w:szCs w:val="18"/>
          <w:b w:val="1"/>
          <w:bCs w:val="1"/>
          <w:color w:val="auto"/>
        </w:rPr>
        <w:t>Regions Securities LLC</w:t>
      </w:r>
      <w:r>
        <w:rPr>
          <w:sz w:val="20"/>
          <w:szCs w:val="20"/>
          <w:color w:val="auto"/>
        </w:rPr>
        <w:tab/>
      </w:r>
      <w:r>
        <w:rPr>
          <w:rFonts w:ascii="Arial" w:cs="Arial" w:eastAsia="Arial" w:hAnsi="Arial"/>
          <w:sz w:val="15"/>
          <w:szCs w:val="15"/>
          <w:b w:val="1"/>
          <w:bCs w:val="1"/>
          <w:color w:val="auto"/>
        </w:rPr>
        <w:t>SunTrust Robinson Humphrey</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TD Securities</w:t>
      </w:r>
    </w:p>
    <w:p>
      <w:pPr>
        <w:spacing w:after="0" w:line="205" w:lineRule="exact"/>
        <w:rPr>
          <w:sz w:val="20"/>
          <w:szCs w:val="20"/>
          <w:color w:val="auto"/>
        </w:rPr>
      </w:pPr>
    </w:p>
    <w:p>
      <w:pPr>
        <w:sectPr>
          <w:pgSz w:w="11900" w:h="16838" w:orient="portrait"/>
          <w:cols w:equalWidth="0" w:num="3">
            <w:col w:w="2820" w:space="720"/>
            <w:col w:w="5400" w:space="720"/>
            <w:col w:w="176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The date of this prospectus supplement is May 6, 2013.</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99"/>
        <w:spacing w:after="0"/>
        <w:rPr>
          <w:sz w:val="20"/>
          <w:szCs w:val="20"/>
          <w:color w:val="auto"/>
        </w:rPr>
      </w:pPr>
      <w:r>
        <w:rPr>
          <w:rFonts w:ascii="Arial" w:cs="Arial" w:eastAsia="Arial" w:hAnsi="Arial"/>
          <w:sz w:val="24"/>
          <w:szCs w:val="24"/>
          <w:b w:val="1"/>
          <w:bCs w:val="1"/>
          <w:color w:val="auto"/>
        </w:rPr>
        <w:t>TABLE OF CONTENTS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Prospectus Supplement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40" w:type="dxa"/>
            <w:vAlign w:val="bottom"/>
            <w:gridSpan w:val="11"/>
            <w:vMerge w:val="restart"/>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About this Prospectus Supplement</w:t>
              </w:r>
            </w:hyperlink>
          </w:p>
        </w:tc>
        <w:tc>
          <w:tcPr>
            <w:tcW w:w="2460" w:type="dxa"/>
            <w:vAlign w:val="bottom"/>
            <w:gridSpan w:val="7"/>
            <w:vMerge w:val="restart"/>
          </w:tcPr>
          <w:p>
            <w:pPr>
              <w:spacing w:after="0"/>
              <w:rPr>
                <w:sz w:val="19"/>
                <w:szCs w:val="19"/>
                <w:color w:val="auto"/>
              </w:rPr>
            </w:pPr>
          </w:p>
        </w:tc>
        <w:tc>
          <w:tcPr>
            <w:tcW w:w="6040" w:type="dxa"/>
            <w:vAlign w:val="bottom"/>
          </w:tcPr>
          <w:p>
            <w:pPr>
              <w:spacing w:after="0"/>
              <w:rPr>
                <w:sz w:val="19"/>
                <w:szCs w:val="19"/>
                <w:color w:val="auto"/>
              </w:rPr>
            </w:pPr>
          </w:p>
        </w:tc>
        <w:tc>
          <w:tcPr>
            <w:tcW w:w="4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2"/>
        </w:trPr>
        <w:tc>
          <w:tcPr>
            <w:tcW w:w="2440" w:type="dxa"/>
            <w:vAlign w:val="bottom"/>
            <w:tcBorders>
              <w:bottom w:val="single" w:sz="8" w:color="0000EE"/>
            </w:tcBorders>
            <w:gridSpan w:val="11"/>
            <w:vMerge w:val="continue"/>
          </w:tcPr>
          <w:p>
            <w:pPr>
              <w:spacing w:after="0"/>
              <w:rPr>
                <w:sz w:val="13"/>
                <w:szCs w:val="13"/>
                <w:color w:val="auto"/>
              </w:rPr>
            </w:pPr>
          </w:p>
        </w:tc>
        <w:tc>
          <w:tcPr>
            <w:tcW w:w="2460" w:type="dxa"/>
            <w:vAlign w:val="bottom"/>
            <w:gridSpan w:val="7"/>
            <w:vMerge w:val="continue"/>
          </w:tcPr>
          <w:p>
            <w:pPr>
              <w:spacing w:after="0"/>
              <w:rPr>
                <w:sz w:val="13"/>
                <w:szCs w:val="13"/>
                <w:color w:val="auto"/>
              </w:rPr>
            </w:pPr>
          </w:p>
        </w:tc>
        <w:tc>
          <w:tcPr>
            <w:tcW w:w="60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900" w:type="dxa"/>
            <w:vAlign w:val="bottom"/>
            <w:gridSpan w:val="18"/>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Cautionary Statement Concerning Forward-Looking Statements</w:t>
              </w:r>
            </w:hyperlink>
          </w:p>
        </w:tc>
        <w:tc>
          <w:tcPr>
            <w:tcW w:w="6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7"/>
          </w:tcPr>
          <w:p>
            <w:pPr>
              <w:spacing w:after="0"/>
              <w:rPr>
                <w:sz w:val="17"/>
                <w:szCs w:val="17"/>
                <w:color w:val="auto"/>
              </w:rPr>
            </w:pPr>
          </w:p>
        </w:tc>
        <w:tc>
          <w:tcPr>
            <w:tcW w:w="40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4000" w:type="dxa"/>
            <w:vAlign w:val="bottom"/>
            <w:gridSpan w:val="16"/>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Use of Proceeds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Description of Notes</w:t>
              </w:r>
            </w:hyperlink>
          </w:p>
        </w:tc>
        <w:tc>
          <w:tcPr>
            <w:tcW w:w="3420" w:type="dxa"/>
            <w:vAlign w:val="bottom"/>
            <w:gridSpan w:val="12"/>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S-9</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Additional Material Federal Income Tax Considerations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S-16</w:t>
            </w:r>
          </w:p>
        </w:tc>
        <w:tc>
          <w:tcPr>
            <w:tcW w:w="0" w:type="dxa"/>
            <w:vAlign w:val="bottom"/>
          </w:tcPr>
          <w:p>
            <w:pPr>
              <w:spacing w:after="0"/>
              <w:rPr>
                <w:sz w:val="1"/>
                <w:szCs w:val="1"/>
                <w:color w:val="auto"/>
              </w:rPr>
            </w:pPr>
          </w:p>
        </w:tc>
      </w:tr>
      <w:tr>
        <w:trPr>
          <w:trHeight w:val="196"/>
        </w:trPr>
        <w:tc>
          <w:tcPr>
            <w:tcW w:w="252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Underwriting (Conflicts of Interest)</w:t>
              </w:r>
            </w:hyperlink>
          </w:p>
        </w:tc>
        <w:tc>
          <w:tcPr>
            <w:tcW w:w="1420" w:type="dxa"/>
            <w:vAlign w:val="bottom"/>
            <w:tcBorders>
              <w:top w:val="single" w:sz="8" w:color="0000EE"/>
            </w:tcBorders>
            <w:gridSpan w:val="4"/>
          </w:tcPr>
          <w:p>
            <w:pPr>
              <w:spacing w:after="0"/>
              <w:rPr>
                <w:sz w:val="17"/>
                <w:szCs w:val="17"/>
                <w:color w:val="auto"/>
              </w:rPr>
            </w:pPr>
          </w:p>
        </w:tc>
        <w:tc>
          <w:tcPr>
            <w:tcW w:w="960" w:type="dxa"/>
            <w:vAlign w:val="bottom"/>
            <w:gridSpan w:val="2"/>
          </w:tcPr>
          <w:p>
            <w:pPr>
              <w:spacing w:after="0"/>
              <w:rPr>
                <w:sz w:val="17"/>
                <w:szCs w:val="17"/>
                <w:color w:val="auto"/>
              </w:rPr>
            </w:pPr>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S-21</w:t>
            </w: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Experts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Legal Matters</w:t>
              </w:r>
            </w:hyperlink>
          </w:p>
        </w:tc>
        <w:tc>
          <w:tcPr>
            <w:tcW w:w="6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89"/>
              </w:rPr>
              <w:t>S-23</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40" w:type="dxa"/>
            <w:vAlign w:val="bottom"/>
            <w:gridSpan w:val="4"/>
          </w:tcPr>
          <w:p>
            <w:pPr>
              <w:jc w:val="right"/>
              <w:ind w:right="5220"/>
              <w:spacing w:after="0"/>
              <w:rPr>
                <w:sz w:val="20"/>
                <w:szCs w:val="20"/>
                <w:color w:val="auto"/>
              </w:rPr>
            </w:pPr>
            <w:r>
              <w:rPr>
                <w:rFonts w:ascii="Arial" w:cs="Arial" w:eastAsia="Arial" w:hAnsi="Arial"/>
                <w:sz w:val="18"/>
                <w:szCs w:val="18"/>
                <w:b w:val="1"/>
                <w:bCs w:val="1"/>
                <w:color w:val="auto"/>
              </w:rPr>
              <w:t>Prospectus</w:t>
            </w:r>
          </w:p>
        </w:tc>
        <w:tc>
          <w:tcPr>
            <w:tcW w:w="0" w:type="dxa"/>
            <w:vAlign w:val="bottom"/>
          </w:tcPr>
          <w:p>
            <w:pPr>
              <w:spacing w:after="0"/>
              <w:rPr>
                <w:sz w:val="1"/>
                <w:szCs w:val="1"/>
                <w:color w:val="auto"/>
              </w:rPr>
            </w:pPr>
          </w:p>
        </w:tc>
      </w:tr>
      <w:tr>
        <w:trPr>
          <w:trHeight w:val="420"/>
        </w:trPr>
        <w:tc>
          <w:tcPr>
            <w:tcW w:w="4900" w:type="dxa"/>
            <w:vAlign w:val="bottom"/>
            <w:gridSpan w:val="18"/>
            <w:vMerge w:val="restart"/>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6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78"/>
              </w:rPr>
              <w:t>Page</w:t>
            </w:r>
          </w:p>
        </w:tc>
        <w:tc>
          <w:tcPr>
            <w:tcW w:w="0" w:type="dxa"/>
            <w:vAlign w:val="bottom"/>
          </w:tcPr>
          <w:p>
            <w:pPr>
              <w:spacing w:after="0"/>
              <w:rPr>
                <w:sz w:val="1"/>
                <w:szCs w:val="1"/>
                <w:color w:val="auto"/>
              </w:rPr>
            </w:pPr>
          </w:p>
        </w:tc>
      </w:tr>
      <w:tr>
        <w:trPr>
          <w:trHeight w:val="157"/>
        </w:trPr>
        <w:tc>
          <w:tcPr>
            <w:tcW w:w="4900" w:type="dxa"/>
            <w:vAlign w:val="bottom"/>
            <w:gridSpan w:val="18"/>
            <w:vMerge w:val="continue"/>
          </w:tcPr>
          <w:p>
            <w:pPr>
              <w:spacing w:after="0"/>
              <w:rPr>
                <w:sz w:val="13"/>
                <w:szCs w:val="13"/>
                <w:color w:val="auto"/>
              </w:rPr>
            </w:pPr>
          </w:p>
        </w:tc>
        <w:tc>
          <w:tcPr>
            <w:tcW w:w="6060" w:type="dxa"/>
            <w:vAlign w:val="bottom"/>
            <w:gridSpan w:val="2"/>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0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31">
              <w:r>
                <w:rPr>
                  <w:rFonts w:ascii="Arial" w:cs="Arial" w:eastAsia="Arial" w:hAnsi="Arial"/>
                  <w:sz w:val="18"/>
                  <w:szCs w:val="18"/>
                  <w:color w:val="0000EE"/>
                  <w:w w:val="89"/>
                </w:rPr>
                <w:t>Forward-Looking Statements</w:t>
              </w:r>
            </w:hyperlink>
          </w:p>
        </w:tc>
        <w:tc>
          <w:tcPr>
            <w:tcW w:w="2820" w:type="dxa"/>
            <w:vAlign w:val="bottom"/>
            <w:gridSpan w:val="10"/>
          </w:tcPr>
          <w:p>
            <w:pPr>
              <w:spacing w:after="0"/>
              <w:rPr>
                <w:sz w:val="18"/>
                <w:szCs w:val="18"/>
                <w:color w:val="auto"/>
              </w:rPr>
            </w:pPr>
          </w:p>
        </w:tc>
        <w:tc>
          <w:tcPr>
            <w:tcW w:w="642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Prospectus Summary</w:t>
              </w:r>
            </w:hyperlink>
          </w:p>
        </w:tc>
        <w:tc>
          <w:tcPr>
            <w:tcW w:w="3360" w:type="dxa"/>
            <w:vAlign w:val="bottom"/>
            <w:gridSpan w:val="11"/>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4000" w:type="dxa"/>
            <w:vAlign w:val="bottom"/>
            <w:gridSpan w:val="16"/>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gridSpan w:val="3"/>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Description of Debt Securities</w:t>
              </w:r>
            </w:hyperlink>
          </w:p>
        </w:tc>
        <w:tc>
          <w:tcPr>
            <w:tcW w:w="2760" w:type="dxa"/>
            <w:vAlign w:val="bottom"/>
            <w:gridSpan w:val="9"/>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Description of Shares of Beneficial Interest</w:t>
              </w:r>
            </w:hyperlink>
          </w:p>
        </w:tc>
        <w:tc>
          <w:tcPr>
            <w:tcW w:w="1840" w:type="dxa"/>
            <w:vAlign w:val="bottom"/>
            <w:gridSpan w:val="4"/>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Material Federal Income Tax Considerations</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Plan of Distribution</w:t>
              </w:r>
            </w:hyperlink>
          </w:p>
        </w:tc>
        <w:tc>
          <w:tcPr>
            <w:tcW w:w="1760" w:type="dxa"/>
            <w:vAlign w:val="bottom"/>
            <w:gridSpan w:val="3"/>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Legal Matters</w:t>
              </w:r>
            </w:hyperlink>
          </w:p>
        </w:tc>
        <w:tc>
          <w:tcPr>
            <w:tcW w:w="3500" w:type="dxa"/>
            <w:vAlign w:val="bottom"/>
            <w:gridSpan w:val="13"/>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Experts</w:t>
              </w:r>
            </w:hyperlink>
          </w:p>
        </w:tc>
        <w:tc>
          <w:tcPr>
            <w:tcW w:w="3920" w:type="dxa"/>
            <w:vAlign w:val="bottom"/>
            <w:gridSpan w:val="15"/>
          </w:tcPr>
          <w:p>
            <w:pPr>
              <w:spacing w:after="0"/>
              <w:rPr>
                <w:sz w:val="17"/>
                <w:szCs w:val="17"/>
                <w:color w:val="auto"/>
              </w:rPr>
            </w:pPr>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2100" w:type="dxa"/>
            <w:vAlign w:val="bottom"/>
            <w:gridSpan w:val="5"/>
          </w:tcPr>
          <w:p>
            <w:pPr>
              <w:spacing w:after="0" w:line="20" w:lineRule="exact"/>
              <w:rPr>
                <w:sz w:val="1"/>
                <w:szCs w:val="1"/>
                <w:color w:val="auto"/>
              </w:rPr>
            </w:pPr>
          </w:p>
        </w:tc>
        <w:tc>
          <w:tcPr>
            <w:tcW w:w="6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900" w:type="dxa"/>
            <w:vAlign w:val="bottom"/>
            <w:gridSpan w:val="1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Where You Can Find More Information</w:t>
              </w:r>
            </w:hyperlink>
          </w:p>
        </w:tc>
        <w:tc>
          <w:tcPr>
            <w:tcW w:w="6420" w:type="dxa"/>
            <w:vAlign w:val="bottom"/>
            <w:gridSpan w:val="3"/>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9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You should carefully read this prospectus supplement along with the accompanying prospectus, as well as the information contained or incorporated by reference herein and therein, before you invest in the notes. These documents contain important information you should consider before making your investment decision. This prospectus supplement and the accompanying prospectus contain the terms of this offering of notes. The accompanying prospectus contains information about our securities generally, some of which does not apply to the notes covered by this prospectus supplement. This prospectus supplement may add, update or change information contained in or incorporated by reference in the accompanying prospectus. If the information in this prospectus supplement is inconsistent with any information contained in or incorporated by reference in the accompanying prospectus, the information in this prospectus supplement will apply and will supersede the inconsistent information contained in or incorporated by reference in the accompanying prospectus.</w:t>
      </w:r>
    </w:p>
    <w:p>
      <w:pPr>
        <w:spacing w:after="0" w:line="3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It is important for you to read and consider all information contained or incorporated by reference in this prospectus supplement and the accompanying prospectus in making your investment decision. You should also read and consider the additional information incorporated by reference in this prospectus supplement and the accompanying prospectus. See “Where You Can Find More Information” in the accompanying prospectus.</w:t>
      </w:r>
    </w:p>
    <w:p>
      <w:pPr>
        <w:spacing w:after="0" w:line="2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References to “we,” “us,” “our,” “our company” or “ours” refer to Federal Realty Investment Trust and its directly and indirectly owned subsidiaries, unless the context otherwise requires. The term “you” refers to a prospective investor.</w:t>
      </w:r>
    </w:p>
    <w:p>
      <w:pPr>
        <w:spacing w:after="0" w:line="4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the accompanying prospectus and any related free writing prospectus required to be filed with the SEC. Neither we nor the underwriters have authorized any other person to provide you with additional or different information. If anyone provides you with additional or different information, you should not rely on it. Neither we nor the underwriters are making an offer to sell the notes in any jurisdiction where the offer or sale is not permitted. You should assume that the information appearing in this prospectus supplement, the accompanying prospectus, any such free writing prospectus and the documents incorporated by reference herein and therein is accurate only as of their respective dates. Our business, financial condition, liquidity, results of operations and prospects may have changed since those dates.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the documents incorporated by reference in this prospectus supplement and the accompanying prospectus contain statements that are not based on historical facts, including statements or information with words such as “may,” “will,” “could,” “should,” “plans,” “intends,” “expects,” “believes,” “estimates,” “anticipates,” “continues” and other similar words. These statements constitute forward-looking statements within the meaning of Section 27A of the Securities Act of 1933, as amended, or the Act, Section 21E of the Securities Exchange Act of 1934, as amended, or the Exchange Act, and the Private Securities Litigation Reform Act of 1995. In particular, the risk factors included and incorporated by reference in this prospectus supplement and the accompanying prospectus describe forward-looking information. The risk factors, including those contained on page S-6 of this prospectus supplement, on page 3 of the accompanying prospectus and in our Annual Report on Form 10-K for the year ended December 31, 2012, filed with the SEC on February 12, 2013,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39" w:lineRule="exact"/>
        <w:rPr>
          <w:sz w:val="20"/>
          <w:szCs w:val="20"/>
          <w:color w:val="auto"/>
        </w:rPr>
      </w:pPr>
    </w:p>
    <w:p>
      <w:pPr>
        <w:ind w:left="660" w:right="20" w:hanging="206"/>
        <w:spacing w:after="0" w:line="26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may not pay rent, may vacate early or may file for bankruptcy, or that we may be unable to renew leases or re-let space at favorable rents as leases expire;</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that we are investing a significant amount in ground-up development projects that may be dependent on third parties to deliver critical aspects of certain projects, require spending a substantial amount upfront in infrastructure, and assume receipt of public funding which has been committed but not entirely funded;</w:t>
      </w:r>
    </w:p>
    <w:p>
      <w:pPr>
        <w:spacing w:after="0" w:line="59"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120" w:hanging="207"/>
        <w:spacing w:after="0"/>
        <w:tabs>
          <w:tab w:leader="none" w:pos="1120" w:val="left"/>
        </w:tabs>
        <w:numPr>
          <w:ilvl w:val="1"/>
          <w:numId w:val="4"/>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general economic conditions, including local economic conditions in our geographic markets;</w:t>
      </w:r>
    </w:p>
    <w:p>
      <w:pPr>
        <w:spacing w:after="0" w:line="90"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660" w:hanging="206"/>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5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contained in or incorporated by reference in this prospectus supplement and the accompanying prospectus. We also make no promise to update any of the forward-looking statements, or to publicly release the results if we revise any of them.</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234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6465" cy="48234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SUPPLEMENT SUMMARY</w:t>
      </w:r>
    </w:p>
    <w:p>
      <w:pPr>
        <w:spacing w:after="0" w:line="96" w:lineRule="exact"/>
        <w:rPr>
          <w:sz w:val="20"/>
          <w:szCs w:val="20"/>
          <w:color w:val="auto"/>
        </w:rPr>
      </w:pPr>
    </w:p>
    <w:p>
      <w:pPr>
        <w:ind w:left="200" w:right="120" w:firstLine="443"/>
        <w:spacing w:after="0" w:line="259" w:lineRule="auto"/>
        <w:rPr>
          <w:sz w:val="20"/>
          <w:szCs w:val="20"/>
          <w:color w:val="auto"/>
        </w:rPr>
      </w:pPr>
      <w:r>
        <w:rPr>
          <w:rFonts w:ascii="Arial" w:cs="Arial" w:eastAsia="Arial" w:hAnsi="Arial"/>
          <w:sz w:val="18"/>
          <w:szCs w:val="18"/>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 this prospectus supplement and the accompanying prospectus.</w:t>
      </w:r>
    </w:p>
    <w:p>
      <w:pPr>
        <w:spacing w:after="0" w:line="13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96" w:lineRule="exact"/>
        <w:rPr>
          <w:sz w:val="20"/>
          <w:szCs w:val="20"/>
          <w:color w:val="auto"/>
        </w:rPr>
      </w:pPr>
    </w:p>
    <w:p>
      <w:pPr>
        <w:ind w:left="200" w:right="60" w:firstLine="443"/>
        <w:spacing w:after="0" w:line="289" w:lineRule="auto"/>
        <w:rPr>
          <w:sz w:val="20"/>
          <w:szCs w:val="20"/>
          <w:color w:val="auto"/>
        </w:rPr>
      </w:pPr>
      <w:r>
        <w:rPr>
          <w:rFonts w:ascii="Arial" w:cs="Arial" w:eastAsia="Arial" w:hAnsi="Arial"/>
          <w:sz w:val="16"/>
          <w:szCs w:val="16"/>
          <w:color w:val="auto"/>
        </w:rPr>
        <w:t>Federal Realty Investment Trust is an equity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2013, we owned or had a majority interest in community and neighborhood shopping centers and mixed-use properties which are operated as 88 predominantly retail real estate projects comprising approximately 19.5 million square feet. In total, the real estate projects were 95.1% leased and 94.5% occupied at March 31, 2013. A joint venture in which we own a 30% interest owned seven retail real estate projects totaling approximately 1.0 million square feet as of March 31, 2013. In total, the joint venture properties in which we own a 30% interest were 86.4% leased and 86.2% occupied at March 31, 2013. We have paid quarterly dividends to our shareholders continuously since our founding in 1962 and have increased our dividends per common share for 45 consecutive years.</w:t>
      </w:r>
    </w:p>
    <w:p>
      <w:pPr>
        <w:spacing w:after="0" w:line="37"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 xml:space="preserve">We were founded in 1962 as a REIT under the laws of the District of Columbia and re-formed as a REIT in the state of Maryland in 1999. We operate in a manner intended to qualify as a REIT for tax purposes pursuant to provisions of the Internal Revenue Code of 1986, as amended, or the Code. Our principal executive offices are located at 1626 East Jefferson Street, Rockville, Maryland 20852. Our telephone numbers are (301) 998-8100 and (800) 658-8980. Our website address is </w:t>
      </w:r>
      <w:r>
        <w:rPr>
          <w:rFonts w:ascii="Arial" w:cs="Arial" w:eastAsia="Arial" w:hAnsi="Arial"/>
          <w:sz w:val="16"/>
          <w:szCs w:val="16"/>
          <w:i w:val="1"/>
          <w:iCs w:val="1"/>
          <w:color w:val="auto"/>
        </w:rPr>
        <w:t>www.federalrealty.com</w:t>
      </w:r>
      <w:r>
        <w:rPr>
          <w:rFonts w:ascii="Arial" w:cs="Arial" w:eastAsia="Arial" w:hAnsi="Arial"/>
          <w:sz w:val="16"/>
          <w:szCs w:val="16"/>
          <w:color w:val="auto"/>
        </w:rPr>
        <w:t>. The information contained on our website is not a part of this prospectus supplement or the accompanying prospectus and is not incorporated herein or therein by reference.</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Ratios of Earnings to Fixed Charges</w:t>
      </w:r>
    </w:p>
    <w:p>
      <w:pPr>
        <w:spacing w:after="0" w:line="96"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8420" w:type="dxa"/>
            <w:vAlign w:val="bottom"/>
            <w:gridSpan w:val="7"/>
          </w:tcPr>
          <w:p>
            <w:pPr>
              <w:ind w:left="440"/>
              <w:spacing w:after="0"/>
              <w:rPr>
                <w:sz w:val="20"/>
                <w:szCs w:val="20"/>
                <w:color w:val="auto"/>
              </w:rPr>
            </w:pPr>
            <w:r>
              <w:rPr>
                <w:rFonts w:ascii="Arial" w:cs="Arial" w:eastAsia="Arial" w:hAnsi="Arial"/>
                <w:sz w:val="18"/>
                <w:szCs w:val="18"/>
                <w:color w:val="auto"/>
                <w:w w:val="97"/>
              </w:rPr>
              <w:t>The following table sets forth our historical ratios of earnings to fixed charges for the periods indicated:</w:t>
            </w: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6"/>
        </w:trPr>
        <w:tc>
          <w:tcPr>
            <w:tcW w:w="4160" w:type="dxa"/>
            <w:vAlign w:val="bottom"/>
          </w:tcPr>
          <w:p>
            <w:pPr>
              <w:spacing w:after="0"/>
              <w:rPr>
                <w:sz w:val="24"/>
                <w:szCs w:val="24"/>
                <w:color w:val="auto"/>
              </w:rPr>
            </w:pPr>
          </w:p>
        </w:tc>
        <w:tc>
          <w:tcPr>
            <w:tcW w:w="22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For the Three Months</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9"/>
        </w:trPr>
        <w:tc>
          <w:tcPr>
            <w:tcW w:w="4160" w:type="dxa"/>
            <w:vAlign w:val="bottom"/>
          </w:tcPr>
          <w:p>
            <w:pPr>
              <w:spacing w:after="0"/>
              <w:rPr>
                <w:sz w:val="19"/>
                <w:szCs w:val="19"/>
                <w:color w:val="auto"/>
              </w:rPr>
            </w:pPr>
          </w:p>
        </w:tc>
        <w:tc>
          <w:tcPr>
            <w:tcW w:w="222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0"/>
              </w:rPr>
              <w:t>Ended March 31,</w:t>
            </w:r>
          </w:p>
        </w:tc>
        <w:tc>
          <w:tcPr>
            <w:tcW w:w="420" w:type="dxa"/>
            <w:vAlign w:val="bottom"/>
          </w:tcPr>
          <w:p>
            <w:pPr>
              <w:spacing w:after="0"/>
              <w:rPr>
                <w:sz w:val="19"/>
                <w:szCs w:val="19"/>
                <w:color w:val="auto"/>
              </w:rPr>
            </w:pPr>
          </w:p>
        </w:tc>
        <w:tc>
          <w:tcPr>
            <w:tcW w:w="3700" w:type="dxa"/>
            <w:vAlign w:val="bottom"/>
            <w:gridSpan w:val="7"/>
          </w:tcPr>
          <w:p>
            <w:pPr>
              <w:ind w:left="580"/>
              <w:spacing w:after="0"/>
              <w:rPr>
                <w:sz w:val="20"/>
                <w:szCs w:val="20"/>
                <w:color w:val="auto"/>
              </w:rPr>
            </w:pPr>
            <w:r>
              <w:rPr>
                <w:rFonts w:ascii="Arial" w:cs="Arial" w:eastAsia="Arial" w:hAnsi="Arial"/>
                <w:sz w:val="18"/>
                <w:szCs w:val="18"/>
                <w:b w:val="1"/>
                <w:bCs w:val="1"/>
                <w:color w:val="auto"/>
              </w:rPr>
              <w:t>For the Years Ended December 31,</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1"/>
        </w:trPr>
        <w:tc>
          <w:tcPr>
            <w:tcW w:w="4160" w:type="dxa"/>
            <w:vAlign w:val="bottom"/>
          </w:tcPr>
          <w:p>
            <w:pPr>
              <w:spacing w:after="0"/>
              <w:rPr>
                <w:sz w:val="18"/>
                <w:szCs w:val="18"/>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2013</w:t>
            </w:r>
          </w:p>
        </w:tc>
        <w:tc>
          <w:tcPr>
            <w:tcW w:w="560" w:type="dxa"/>
            <w:vAlign w:val="bottom"/>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2012</w:t>
            </w:r>
          </w:p>
        </w:tc>
        <w:tc>
          <w:tcPr>
            <w:tcW w:w="10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2011</w:t>
            </w:r>
          </w:p>
        </w:tc>
        <w:tc>
          <w:tcPr>
            <w:tcW w:w="6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2010</w:t>
            </w:r>
          </w:p>
        </w:tc>
        <w:tc>
          <w:tcPr>
            <w:tcW w:w="6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2009</w:t>
            </w:r>
          </w:p>
        </w:tc>
        <w:tc>
          <w:tcPr>
            <w:tcW w:w="6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2008</w:t>
            </w:r>
          </w:p>
        </w:tc>
        <w:tc>
          <w:tcPr>
            <w:tcW w:w="100" w:type="dxa"/>
            <w:vAlign w:val="bottom"/>
          </w:tcPr>
          <w:p>
            <w:pPr>
              <w:spacing w:after="0"/>
              <w:rPr>
                <w:sz w:val="18"/>
                <w:szCs w:val="18"/>
                <w:color w:val="auto"/>
              </w:rPr>
            </w:pPr>
          </w:p>
        </w:tc>
      </w:tr>
      <w:tr>
        <w:trPr>
          <w:trHeight w:val="210"/>
        </w:trPr>
        <w:tc>
          <w:tcPr>
            <w:tcW w:w="41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Ratios of earnings to fixed charges</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5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73"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5"/>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60"/>
          </w:cols>
          <w:pgMar w:left="240" w:top="459" w:right="3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98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pacing w:after="0" w:line="96" w:lineRule="exact"/>
        <w:rPr>
          <w:sz w:val="20"/>
          <w:szCs w:val="20"/>
          <w:color w:val="auto"/>
        </w:rPr>
      </w:pPr>
    </w:p>
    <w:p>
      <w:pPr>
        <w:ind w:left="200" w:right="540" w:firstLine="443"/>
        <w:spacing w:after="0" w:line="259"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ind w:left="200"/>
              <w:spacing w:after="0"/>
              <w:rPr>
                <w:sz w:val="20"/>
                <w:szCs w:val="20"/>
                <w:color w:val="auto"/>
              </w:rPr>
            </w:pPr>
            <w:r>
              <w:rPr>
                <w:rFonts w:ascii="Arial" w:cs="Arial" w:eastAsia="Arial" w:hAnsi="Arial"/>
                <w:sz w:val="18"/>
                <w:szCs w:val="18"/>
                <w:color w:val="auto"/>
              </w:rPr>
              <w:t>Issuer</w:t>
            </w:r>
          </w:p>
        </w:tc>
        <w:tc>
          <w:tcPr>
            <w:tcW w:w="7940" w:type="dxa"/>
            <w:vAlign w:val="bottom"/>
          </w:tcPr>
          <w:p>
            <w:pPr>
              <w:ind w:left="980"/>
              <w:spacing w:after="0"/>
              <w:rPr>
                <w:sz w:val="20"/>
                <w:szCs w:val="20"/>
                <w:color w:val="auto"/>
              </w:rPr>
            </w:pPr>
            <w:r>
              <w:rPr>
                <w:rFonts w:ascii="Arial" w:cs="Arial" w:eastAsia="Arial" w:hAnsi="Arial"/>
                <w:sz w:val="18"/>
                <w:szCs w:val="18"/>
                <w:color w:val="auto"/>
              </w:rPr>
              <w:t>Federal Realty Investment Trust</w:t>
            </w:r>
          </w:p>
        </w:tc>
      </w:tr>
      <w:tr>
        <w:trPr>
          <w:trHeight w:val="311"/>
        </w:trPr>
        <w:tc>
          <w:tcPr>
            <w:tcW w:w="3520" w:type="dxa"/>
            <w:vAlign w:val="bottom"/>
          </w:tcPr>
          <w:p>
            <w:pPr>
              <w:ind w:left="200"/>
              <w:spacing w:after="0"/>
              <w:rPr>
                <w:sz w:val="20"/>
                <w:szCs w:val="20"/>
                <w:color w:val="auto"/>
              </w:rPr>
            </w:pPr>
            <w:r>
              <w:rPr>
                <w:rFonts w:ascii="Arial" w:cs="Arial" w:eastAsia="Arial" w:hAnsi="Arial"/>
                <w:sz w:val="18"/>
                <w:szCs w:val="18"/>
                <w:color w:val="auto"/>
              </w:rPr>
              <w:t>Securities offered</w:t>
            </w:r>
          </w:p>
        </w:tc>
        <w:tc>
          <w:tcPr>
            <w:tcW w:w="7940" w:type="dxa"/>
            <w:vAlign w:val="bottom"/>
          </w:tcPr>
          <w:p>
            <w:pPr>
              <w:ind w:left="980"/>
              <w:spacing w:after="0"/>
              <w:rPr>
                <w:sz w:val="20"/>
                <w:szCs w:val="20"/>
                <w:color w:val="auto"/>
              </w:rPr>
            </w:pPr>
            <w:r>
              <w:rPr>
                <w:rFonts w:ascii="Arial" w:cs="Arial" w:eastAsia="Arial" w:hAnsi="Arial"/>
                <w:sz w:val="18"/>
                <w:szCs w:val="18"/>
                <w:color w:val="auto"/>
              </w:rPr>
              <w:t>$275.0 million aggregate principal amount of 2.75% notes due 2023.</w:t>
            </w:r>
          </w:p>
        </w:tc>
      </w:tr>
      <w:tr>
        <w:trPr>
          <w:trHeight w:val="311"/>
        </w:trPr>
        <w:tc>
          <w:tcPr>
            <w:tcW w:w="3520" w:type="dxa"/>
            <w:vAlign w:val="bottom"/>
          </w:tcPr>
          <w:p>
            <w:pPr>
              <w:ind w:left="200"/>
              <w:spacing w:after="0"/>
              <w:rPr>
                <w:sz w:val="20"/>
                <w:szCs w:val="20"/>
                <w:color w:val="auto"/>
              </w:rPr>
            </w:pPr>
            <w:r>
              <w:rPr>
                <w:rFonts w:ascii="Arial" w:cs="Arial" w:eastAsia="Arial" w:hAnsi="Arial"/>
                <w:sz w:val="18"/>
                <w:szCs w:val="18"/>
                <w:color w:val="auto"/>
              </w:rPr>
              <w:t>Maturity</w:t>
            </w: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Unless redeemed prior to maturity as described below, the notes will mature on June 1, 2023.</w:t>
            </w:r>
          </w:p>
        </w:tc>
      </w:tr>
      <w:tr>
        <w:trPr>
          <w:trHeight w:val="304"/>
        </w:trPr>
        <w:tc>
          <w:tcPr>
            <w:tcW w:w="3520" w:type="dxa"/>
            <w:vAlign w:val="bottom"/>
          </w:tcPr>
          <w:p>
            <w:pPr>
              <w:ind w:left="200"/>
              <w:spacing w:after="0"/>
              <w:rPr>
                <w:sz w:val="20"/>
                <w:szCs w:val="20"/>
                <w:color w:val="auto"/>
              </w:rPr>
            </w:pPr>
            <w:r>
              <w:rPr>
                <w:rFonts w:ascii="Arial" w:cs="Arial" w:eastAsia="Arial" w:hAnsi="Arial"/>
                <w:sz w:val="18"/>
                <w:szCs w:val="18"/>
                <w:color w:val="auto"/>
              </w:rPr>
              <w:t>Interest payment dates</w:t>
            </w:r>
          </w:p>
        </w:tc>
        <w:tc>
          <w:tcPr>
            <w:tcW w:w="7940" w:type="dxa"/>
            <w:vAlign w:val="bottom"/>
          </w:tcPr>
          <w:p>
            <w:pPr>
              <w:ind w:left="980"/>
              <w:spacing w:after="0"/>
              <w:rPr>
                <w:sz w:val="20"/>
                <w:szCs w:val="20"/>
                <w:color w:val="auto"/>
              </w:rPr>
            </w:pPr>
            <w:r>
              <w:rPr>
                <w:rFonts w:ascii="Arial" w:cs="Arial" w:eastAsia="Arial" w:hAnsi="Arial"/>
                <w:sz w:val="18"/>
                <w:szCs w:val="18"/>
                <w:color w:val="auto"/>
                <w:w w:val="97"/>
              </w:rPr>
              <w:t>Interest on the notes will be payable semi-annually in arrears on June 1 and December 1,</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beginning on December 1, 2013, and at maturity.</w:t>
            </w:r>
          </w:p>
        </w:tc>
      </w:tr>
      <w:tr>
        <w:trPr>
          <w:trHeight w:val="291"/>
        </w:trPr>
        <w:tc>
          <w:tcPr>
            <w:tcW w:w="3520" w:type="dxa"/>
            <w:vAlign w:val="bottom"/>
          </w:tcPr>
          <w:p>
            <w:pPr>
              <w:ind w:left="200"/>
              <w:spacing w:after="0"/>
              <w:rPr>
                <w:sz w:val="20"/>
                <w:szCs w:val="20"/>
                <w:color w:val="auto"/>
              </w:rPr>
            </w:pPr>
            <w:r>
              <w:rPr>
                <w:rFonts w:ascii="Arial" w:cs="Arial" w:eastAsia="Arial" w:hAnsi="Arial"/>
                <w:sz w:val="18"/>
                <w:szCs w:val="18"/>
                <w:color w:val="auto"/>
              </w:rPr>
              <w:t>Ranking</w:t>
            </w:r>
          </w:p>
        </w:tc>
        <w:tc>
          <w:tcPr>
            <w:tcW w:w="7940" w:type="dxa"/>
            <w:vAlign w:val="bottom"/>
          </w:tcPr>
          <w:p>
            <w:pPr>
              <w:ind w:left="980"/>
              <w:spacing w:after="0"/>
              <w:rPr>
                <w:sz w:val="20"/>
                <w:szCs w:val="20"/>
                <w:color w:val="auto"/>
              </w:rPr>
            </w:pPr>
            <w:r>
              <w:rPr>
                <w:rFonts w:ascii="Arial" w:cs="Arial" w:eastAsia="Arial" w:hAnsi="Arial"/>
                <w:sz w:val="18"/>
                <w:szCs w:val="18"/>
                <w:color w:val="auto"/>
              </w:rPr>
              <w:t xml:space="preserve">The notes will rank </w:t>
            </w:r>
            <w:r>
              <w:rPr>
                <w:rFonts w:ascii="Arial" w:cs="Arial" w:eastAsia="Arial" w:hAnsi="Arial"/>
                <w:sz w:val="18"/>
                <w:szCs w:val="18"/>
                <w:i w:val="1"/>
                <w:iCs w:val="1"/>
                <w:color w:val="auto"/>
              </w:rPr>
              <w:t>pari passu</w:t>
            </w:r>
            <w:r>
              <w:rPr>
                <w:rFonts w:ascii="Arial" w:cs="Arial" w:eastAsia="Arial" w:hAnsi="Arial"/>
                <w:sz w:val="18"/>
                <w:szCs w:val="18"/>
                <w:color w:val="auto"/>
              </w:rPr>
              <w:t>, or equally, with all of our other senior unsecured and</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2"/>
              </w:rPr>
              <w:t>unsubordinated indebtedness, and the notes will be effectively subordinated to the prior claims</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2"/>
              </w:rPr>
              <w:t>of each secured mortgage lender to any specific property that secures such lender’s mortgage</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5"/>
              </w:rPr>
              <w:t>and to all of the unsecured indebtedness of our subsidiaries. At March 31, 2013, after giving</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effect to this offering and to the use of the net proceeds from this offering, we had outstanding</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6"/>
              </w:rPr>
              <w:t>approximately $736 million (excluding net unamortized premium) of secured indebtedness</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4"/>
              </w:rPr>
              <w:t>collateralized by all or parts of 19 properties (of which approximately $505 million was issued</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8"/>
              </w:rPr>
              <w:t>by our subsidiaries), approximately $25 million of unsecured indebtedness issued by our</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9"/>
              </w:rPr>
              <w:t>subsidiaries (which will be senior to the notes) and approximately $1,494 million of other</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unsecured indebtedness (excluding net unamortized discount) ranking equally with the notes.</w:t>
            </w:r>
          </w:p>
        </w:tc>
      </w:tr>
      <w:tr>
        <w:trPr>
          <w:trHeight w:val="291"/>
        </w:trPr>
        <w:tc>
          <w:tcPr>
            <w:tcW w:w="3520" w:type="dxa"/>
            <w:vAlign w:val="bottom"/>
          </w:tcPr>
          <w:p>
            <w:pPr>
              <w:ind w:left="200"/>
              <w:spacing w:after="0"/>
              <w:rPr>
                <w:sz w:val="20"/>
                <w:szCs w:val="20"/>
                <w:color w:val="auto"/>
              </w:rPr>
            </w:pPr>
            <w:r>
              <w:rPr>
                <w:rFonts w:ascii="Arial" w:cs="Arial" w:eastAsia="Arial" w:hAnsi="Arial"/>
                <w:sz w:val="18"/>
                <w:szCs w:val="18"/>
                <w:color w:val="auto"/>
              </w:rPr>
              <w:t>Use of proceeds</w:t>
            </w:r>
          </w:p>
        </w:tc>
        <w:tc>
          <w:tcPr>
            <w:tcW w:w="7940" w:type="dxa"/>
            <w:vAlign w:val="bottom"/>
          </w:tcPr>
          <w:p>
            <w:pPr>
              <w:ind w:left="980"/>
              <w:spacing w:after="0"/>
              <w:rPr>
                <w:sz w:val="20"/>
                <w:szCs w:val="20"/>
                <w:color w:val="auto"/>
              </w:rPr>
            </w:pPr>
            <w:r>
              <w:rPr>
                <w:rFonts w:ascii="Arial" w:cs="Arial" w:eastAsia="Arial" w:hAnsi="Arial"/>
                <w:sz w:val="18"/>
                <w:szCs w:val="18"/>
                <w:color w:val="auto"/>
                <w:w w:val="94"/>
              </w:rPr>
              <w:t>We intend to use the net proceeds from this offering to redeem our outstanding 5.40% Notes</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due 2013, to pay off the outstanding balance under our revolving credit facility and for general</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corporate purposes, which may include without limitation funding potential acquisition</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4"/>
              </w:rPr>
              <w:t>opportunities or funding our redevelopment pipeline. See “Use of Proceeds” on page S-8 for</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more information.</w:t>
            </w:r>
          </w:p>
        </w:tc>
      </w:tr>
      <w:tr>
        <w:trPr>
          <w:trHeight w:val="297"/>
        </w:trPr>
        <w:tc>
          <w:tcPr>
            <w:tcW w:w="3520" w:type="dxa"/>
            <w:vAlign w:val="bottom"/>
          </w:tcPr>
          <w:p>
            <w:pPr>
              <w:ind w:left="200"/>
              <w:spacing w:after="0"/>
              <w:rPr>
                <w:sz w:val="20"/>
                <w:szCs w:val="20"/>
                <w:color w:val="auto"/>
              </w:rPr>
            </w:pPr>
            <w:r>
              <w:rPr>
                <w:rFonts w:ascii="Arial" w:cs="Arial" w:eastAsia="Arial" w:hAnsi="Arial"/>
                <w:sz w:val="18"/>
                <w:szCs w:val="18"/>
                <w:color w:val="auto"/>
              </w:rPr>
              <w:t>Limitations on incurrence of debt</w:t>
            </w:r>
          </w:p>
        </w:tc>
        <w:tc>
          <w:tcPr>
            <w:tcW w:w="7940" w:type="dxa"/>
            <w:vAlign w:val="bottom"/>
          </w:tcPr>
          <w:p>
            <w:pPr>
              <w:ind w:left="980"/>
              <w:spacing w:after="0"/>
              <w:rPr>
                <w:sz w:val="20"/>
                <w:szCs w:val="20"/>
                <w:color w:val="auto"/>
              </w:rPr>
            </w:pPr>
            <w:r>
              <w:rPr>
                <w:rFonts w:ascii="Arial" w:cs="Arial" w:eastAsia="Arial" w:hAnsi="Arial"/>
                <w:sz w:val="18"/>
                <w:szCs w:val="18"/>
                <w:color w:val="auto"/>
              </w:rPr>
              <w:t>The notes contain various covenants, including the following:</w:t>
            </w:r>
          </w:p>
        </w:tc>
      </w:tr>
      <w:tr>
        <w:trPr>
          <w:trHeight w:val="304"/>
        </w:trPr>
        <w:tc>
          <w:tcPr>
            <w:tcW w:w="3520" w:type="dxa"/>
            <w:vAlign w:val="bottom"/>
          </w:tcPr>
          <w:p>
            <w:pPr>
              <w:spacing w:after="0"/>
              <w:rPr>
                <w:sz w:val="24"/>
                <w:szCs w:val="24"/>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(1) we will not, and will not permit any subsidiary to, incur any Debt if, immediately after</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6"/>
              </w:rPr>
              <w:t>giving effect to the incurrence of such Debt and the application of the proceeds thereof, the</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aggregate principal amount of all of our and our subsidiaries’ outstanding Debt on a</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consolidated basis determined in accordance with generally accepted accounting principles is</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8"/>
              </w:rPr>
              <w:t>greater than 60% of the sum of (without duplication) (a) Total Assets as of the end of the</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2"/>
              </w:rPr>
              <w:t>calendar quarter covered in our Annual Report on Form 10-K or Quarterly Report on Form 10-</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1"/>
              </w:rPr>
              <w:t>Q, as the case may be, most recently filed with the SEC (or, if such filing is not permitted under</w:t>
            </w:r>
          </w:p>
        </w:tc>
      </w:tr>
      <w:tr>
        <w:trPr>
          <w:trHeight w:val="216"/>
        </w:trPr>
        <w:tc>
          <w:tcPr>
            <w:tcW w:w="3520" w:type="dxa"/>
            <w:vAlign w:val="bottom"/>
          </w:tcPr>
          <w:p>
            <w:pPr>
              <w:spacing w:after="0"/>
              <w:rPr>
                <w:sz w:val="18"/>
                <w:szCs w:val="18"/>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w w:val="93"/>
              </w:rPr>
              <w:t>the Exchange Act, with U.S. Bank National Association, the trustee) prior to the incurrence of</w:t>
            </w:r>
          </w:p>
        </w:tc>
      </w:tr>
      <w:tr>
        <w:trPr>
          <w:trHeight w:val="222"/>
        </w:trPr>
        <w:tc>
          <w:tcPr>
            <w:tcW w:w="3520" w:type="dxa"/>
            <w:vAlign w:val="bottom"/>
          </w:tcPr>
          <w:p>
            <w:pPr>
              <w:spacing w:after="0"/>
              <w:rPr>
                <w:sz w:val="19"/>
                <w:szCs w:val="19"/>
                <w:color w:val="auto"/>
              </w:rPr>
            </w:pPr>
          </w:p>
        </w:tc>
        <w:tc>
          <w:tcPr>
            <w:tcW w:w="7940" w:type="dxa"/>
            <w:vAlign w:val="bottom"/>
          </w:tcPr>
          <w:p>
            <w:pPr>
              <w:ind w:left="980"/>
              <w:spacing w:after="0"/>
              <w:rPr>
                <w:sz w:val="20"/>
                <w:szCs w:val="20"/>
                <w:color w:val="auto"/>
              </w:rPr>
            </w:pPr>
            <w:r>
              <w:rPr>
                <w:rFonts w:ascii="Arial" w:cs="Arial" w:eastAsia="Arial" w:hAnsi="Arial"/>
                <w:sz w:val="18"/>
                <w:szCs w:val="18"/>
                <w:color w:val="auto"/>
              </w:rPr>
              <w:t>such additional Debt and (b) the purchase price of any real estate assets or mortgages</w:t>
            </w:r>
          </w:p>
        </w:tc>
      </w:tr>
      <w:tr>
        <w:trPr>
          <w:trHeight w:val="161"/>
        </w:trPr>
        <w:tc>
          <w:tcPr>
            <w:tcW w:w="3520" w:type="dxa"/>
            <w:vAlign w:val="bottom"/>
            <w:tcBorders>
              <w:bottom w:val="single" w:sz="8" w:color="auto"/>
            </w:tcBorders>
          </w:tcPr>
          <w:p>
            <w:pPr>
              <w:spacing w:after="0"/>
              <w:rPr>
                <w:sz w:val="13"/>
                <w:szCs w:val="13"/>
                <w:color w:val="auto"/>
              </w:rPr>
            </w:pPr>
          </w:p>
        </w:tc>
        <w:tc>
          <w:tcPr>
            <w:tcW w:w="7940" w:type="dxa"/>
            <w:vAlign w:val="bottom"/>
            <w:tcBorders>
              <w:bottom w:val="single" w:sz="8" w:color="auto"/>
            </w:tcBorders>
          </w:tcPr>
          <w:p>
            <w:pPr>
              <w:spacing w:after="0"/>
              <w:rPr>
                <w:sz w:val="13"/>
                <w:szCs w:val="13"/>
                <w:color w:val="auto"/>
              </w:rPr>
            </w:pPr>
          </w:p>
        </w:tc>
      </w:tr>
      <w:tr>
        <w:trPr>
          <w:trHeight w:val="359"/>
        </w:trPr>
        <w:tc>
          <w:tcPr>
            <w:tcW w:w="3520" w:type="dxa"/>
            <w:vAlign w:val="bottom"/>
          </w:tcPr>
          <w:p>
            <w:pPr>
              <w:spacing w:after="0"/>
              <w:rPr>
                <w:sz w:val="24"/>
                <w:szCs w:val="24"/>
                <w:color w:val="auto"/>
              </w:rPr>
            </w:pPr>
          </w:p>
        </w:tc>
        <w:tc>
          <w:tcPr>
            <w:tcW w:w="7940" w:type="dxa"/>
            <w:vAlign w:val="bottom"/>
          </w:tcPr>
          <w:p>
            <w:pPr>
              <w:ind w:left="2080"/>
              <w:spacing w:after="0"/>
              <w:rPr>
                <w:sz w:val="20"/>
                <w:szCs w:val="20"/>
                <w:color w:val="auto"/>
              </w:rPr>
            </w:pPr>
            <w:r>
              <w:rPr>
                <w:rFonts w:ascii="Arial" w:cs="Arial" w:eastAsia="Arial" w:hAnsi="Arial"/>
                <w:sz w:val="18"/>
                <w:szCs w:val="18"/>
                <w:color w:val="auto"/>
              </w:rPr>
              <w:t>S-2</w:t>
            </w: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4874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6465" cy="487489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500" w:right="140"/>
        <w:spacing w:after="0" w:line="298" w:lineRule="auto"/>
        <w:rPr>
          <w:sz w:val="20"/>
          <w:szCs w:val="20"/>
          <w:color w:val="auto"/>
        </w:rPr>
      </w:pPr>
      <w:r>
        <w:rPr>
          <w:rFonts w:ascii="Arial" w:cs="Arial" w:eastAsia="Arial" w:hAnsi="Arial"/>
          <w:sz w:val="16"/>
          <w:szCs w:val="16"/>
          <w:color w:val="auto"/>
        </w:rPr>
        <w:t>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45" w:lineRule="exact"/>
        <w:rPr>
          <w:sz w:val="20"/>
          <w:szCs w:val="20"/>
          <w:color w:val="auto"/>
        </w:rPr>
      </w:pPr>
    </w:p>
    <w:p>
      <w:pPr>
        <w:ind w:left="4500" w:firstLine="5"/>
        <w:spacing w:after="0" w:line="285" w:lineRule="auto"/>
        <w:tabs>
          <w:tab w:leader="none" w:pos="4749"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40" w:lineRule="exact"/>
        <w:rPr>
          <w:rFonts w:ascii="Arial" w:cs="Arial" w:eastAsia="Arial" w:hAnsi="Arial"/>
          <w:sz w:val="16"/>
          <w:szCs w:val="16"/>
          <w:color w:val="auto"/>
        </w:rPr>
      </w:pPr>
    </w:p>
    <w:p>
      <w:pPr>
        <w:ind w:left="4500" w:right="80" w:firstLine="5"/>
        <w:spacing w:after="0" w:line="286" w:lineRule="auto"/>
        <w:tabs>
          <w:tab w:leader="none" w:pos="4749" w:val="left"/>
        </w:tabs>
        <w:numPr>
          <w:ilvl w:val="0"/>
          <w:numId w:val="6"/>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 (b)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w:t>
      </w:r>
    </w:p>
    <w:p>
      <w:pPr>
        <w:spacing w:after="0" w:line="2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60"/>
          </w:cols>
          <w:pgMar w:left="240" w:top="459" w:right="39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76465" cy="4754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6465" cy="4754880"/>
                    </a:xfrm>
                    <a:prstGeom prst="rect">
                      <a:avLst/>
                    </a:prstGeom>
                    <a:noFill/>
                  </pic:spPr>
                </pic:pic>
              </a:graphicData>
            </a:graphic>
          </wp:anchor>
        </w:drawing>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Optional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Material federal income tax considerations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52" w:lineRule="exact"/>
        <w:rPr>
          <w:sz w:val="20"/>
          <w:szCs w:val="20"/>
          <w:color w:val="auto"/>
        </w:rPr>
      </w:pPr>
    </w:p>
    <w:p>
      <w:pPr>
        <w:jc w:val="both"/>
        <w:ind w:right="80" w:firstLine="5"/>
        <w:spacing w:after="0" w:line="259"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together with our subsidiaries, will maintain an Unencumbered Total Asset Value in an amount not less than 150% of the aggregate outstanding principal amount of all of our and our subsidiaries’ unsecured Debt, taken as a whole.</w:t>
      </w:r>
    </w:p>
    <w:p>
      <w:pPr>
        <w:spacing w:after="0" w:line="5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notes are redeemable at any time at our option, in whole or in part. If the notes are redeemed before 90 days prior to the maturity date, the redemption price will be equal to the greater of (1) 100% of the principal amount of the notes being redeemed, or (2) the sum of the present values of the remaining scheduled payments of principal and interest thereon, discounted to the redemption date on a semi-annual basis at the Adjusted Treasury Rate plus 20 basis points (0.20%), plus, in each case, accrued interest thereon to, but excluding, the redemption date. If the notes are redeemed on or after 90 days prior to the maturity date, the redemption price will be equal to 100% of the principal amount of the notes being redeemed plus accrued and unpaid interest thereon to, but excluding, the redemption date.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detailed description is in “Description of Notes — Optional Redemption.”</w:t>
      </w:r>
    </w:p>
    <w:p>
      <w:pPr>
        <w:spacing w:after="0" w:line="9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 a description of the material U.S. federal income tax considerations of an investment in the notes, please review the disclosure in this prospectus supplement under “Additional Material Federal Income Tax Considerations” and in the accompanying prospectus under “Material Federal Income Tax Considerations.”</w:t>
      </w:r>
    </w:p>
    <w:p>
      <w:pPr>
        <w:spacing w:after="0" w:line="6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Investing in the notes involves risks. Please review the risk factors discussed beginning on page S-6 of this prospectus supplement, on page 3 of the accompanying prospectus and in our Annual Report on Form 10-K for the year ended December 31, 2012, filed with the SEC on February 12, 2013, and the other information contained or incorporated by reference in this prospectus supplement and the accompanying prospectus</w:t>
      </w:r>
    </w:p>
    <w:p>
      <w:pPr>
        <w:spacing w:after="0" w:line="200" w:lineRule="exact"/>
        <w:rPr>
          <w:sz w:val="20"/>
          <w:szCs w:val="20"/>
          <w:color w:val="auto"/>
        </w:rPr>
      </w:pPr>
    </w:p>
    <w:p>
      <w:pPr>
        <w:sectPr>
          <w:pgSz w:w="11900" w:h="16838" w:orient="portrait"/>
          <w:cols w:equalWidth="0" w:num="2">
            <w:col w:w="3780" w:space="720"/>
            <w:col w:w="6720"/>
          </w:cols>
          <w:pgMar w:left="240" w:top="459" w:right="439" w:bottom="1440" w:gutter="0" w:footer="0" w:header="0"/>
          <w:type w:val="continuous"/>
        </w:sectPr>
      </w:pPr>
    </w:p>
    <w:p>
      <w:pPr>
        <w:spacing w:after="0" w:line="78"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220"/>
          </w:cols>
          <w:pgMar w:left="240" w:top="459" w:right="4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30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6465" cy="93027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4500"/>
        <w:spacing w:after="0" w:line="255" w:lineRule="auto"/>
        <w:rPr>
          <w:sz w:val="20"/>
          <w:szCs w:val="20"/>
          <w:color w:val="auto"/>
        </w:rPr>
      </w:pPr>
      <w:r>
        <w:rPr>
          <w:rFonts w:ascii="Arial" w:cs="Arial" w:eastAsia="Arial" w:hAnsi="Arial"/>
          <w:sz w:val="18"/>
          <w:szCs w:val="18"/>
          <w:color w:val="auto"/>
        </w:rPr>
        <w:t>for a discussion of factors you should consider before deciding to invest in the notes. You may obtain a copy of our Annual Report on Form 10-K and the other documents incorporated by reference in this prospectus supplement and the accompanying prospectus by following the procedures described under “Where You Can Find More Information” on page 53 of the accompanying prospectus.</w:t>
      </w:r>
    </w:p>
    <w:p>
      <w:pPr>
        <w:spacing w:after="0" w:line="31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140"/>
          </w:cols>
          <w:pgMar w:left="240" w:top="459" w:right="5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contained in or incorporated by reference in this prospectus supplement, including the additional risk factors on page 3 of the accompanying prospectus and the risk factors included in our Annual Report on Form 10-K filed with the SEC on February 12, 2013 before you decide to purchase the notes. The risks and uncertainties described below and in the incorporated Form 10-K are not the only ones we may confront. Additional risks and uncertainties not currently known to us or that we currently deem immaterial also may impair our business operations. If any of those risks actually occur, our financial condition, operating results, liquidity and prospects could be materially adversely affected. This section contains forward-looking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funds necessary to meet our obligations from these sources on acceptable terms or at all.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our subsidiaries’ preferred equity holders.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our subsidiaries, the holders of any indebtedness of that subsidiary will be entitled to obtain payment of that indebtedness from the assets of that subsidiary before the holders of any of our general unsecured obligations, including the notes. At March 31, 2013, after giving effect to this offering, and to the issuance of the notes and the application of the net proceeds of this offering, our subsidiaries had approximately $530 million of total secured and unsecured debt outstanding (excluding net unamortized premium),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96"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Because the notes will be unsecured, they will be effectively subordinated to any of our secured indebtedness to the extent of the value of the assets securing the indebtedness. The indenture permits us and our subsidiaries to incur additional secured indebtedness,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March 31, 2013, after giving effect to this offering and the application of the net proceeds of this offering, we had approximately $736 million (excluding net unamortized premium) of secured debt outstanding, all of which was effectively senior to the notes to the extent of the value of the securing assets.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is currently no established trading market for the notes.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90"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net proceeds to us from the sale of the notes offered by this prospectus supplement are estimated to be approximately $269.3 million after deducting the underwriting discount and other estimated expenses of this offering payable by us. We intend to use these net proceeds to redeem our outstanding 5.40% Notes due 2013, to pay off the balance of $68.0 million outstanding under our revolving credit facility and for general corporate purposes, which may include without limitation funding potential acquisition opportunities or funding our redevelopment pipeline. As of March 31, 2013, $135.0 million of our 5.40% Notes due 2013 were outstanding. In addition to the payment of outstanding principal amount and accrued but unpaid interest, redemption of the 5.40% Notes due 2013 will be subject to a make-whole premium in the aggregate amount of $3.3 million. The 5.40% Notes due 2013 mature on December 1, 2013. Our revolving credit facility matures on April 21, 2017 (subject to a one-year extension at our option) and, as of May 1, 2013, accrues interest at a rate of LIBOR plus 90 basis points.</w:t>
      </w:r>
    </w:p>
    <w:p>
      <w:pPr>
        <w:spacing w:after="0" w:line="3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Affiliates of certain of the underwriters are lenders under our revolving credit facility and will receive a pro rata portion of the net proceeds used to repay amounts outstanding under our revolving credit facility. In addition, certain of the underwriters and their affiliates may be holders of 5.40% Notes due 2013. Such underwriters and their affiliates will receive a portion of the net proceeds from this offering to the extent they continue to hold 5.40% Notes due 2013 on any scheduled redemption date in relation thereto. See “Underwriting (Conflicts of Interest) — Conflicts of Interest.” Pending application of the net proceeds, we may invest the net proceeds in short-term income-producing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i w:val="1"/>
          <w:iCs w:val="1"/>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are offering $275 million of our 2.75% notes maturing on June 1, 2023, which may be redeemed prior to that date in accordance with their terms.</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pay interest on the notes semi-annually in arrears on June 1 and December 1 of each year, beginning December 1, 2013, to the registered holders of the notes on the preceding May 15 and November 15.</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indenture apply to the notes. The notes will not be entitled to the benefit of any sinking fund.</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At any time and without the consent of the then existing holders, we may issue additional debt securities having the same terms as the notes other than the date of original issuance, the issue price, the date on which interest begins to accrue and, in some circumstances, the first interest payment date, such that these additional debt securities would form a single series with the notes. We also may issue from time to time other series of debt securities under the indenture consisting of notes or other unsecured evidences of indebtedness.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senior unsecured and unsubordinated indebtedness, and the notes will be effectively subordinated to the prior claims of each secured mortgage lender to any specific property that secures such lender’s mortgage and to all of the unsecured indebtedness of our subsidiaries. At March 31, 2013, after giving effect to this offering and to the use of the net proceeds from this offering, we had outstanding approximately $736 million (excluding net unamortized premium) of secured indebtedness collateralized by all or parts of 19 properties (of which approximately $505 million was issued by our subsidiaries), approximately $25 million of unsecured indebtedness issued by our subsidiaries (which will be senior to the notes) and approximately $1,494 million of other unsecured indebtedness (excluding net unamortized discount) ranking equally with the notes.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notes are redeemable at any time at our option, in whole or in part. If the notes are redeemed before 90 days prior to the maturity date, the redemption price will be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20 basis points (0.20%), plus, in each case, accrued and unpaid interest thereon to, but excluding, the redemption date. If the notes are redeemed on or after 90 days prior to the maturity date, the redemption price will be equal to 100% of the principal amount of the notes being redeemed plus accrued and unpaid interest thereon to, but excluding, the redemption date.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Comparable Treasury Issue (expressed as a percentage of its principal amount) equal to the Comparable Treasury Price for such redemption date.</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59"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of such Reference Treasury Dealer Quotations, or (2) if the trustee obtains fewer than four such Reference Treasury Dealer Quotations, the average of all such Quotations.</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Merrill Lynch, Pierce, Fenner &amp; Smith Incorporated and a Primary Treasury Dealer (as defined below) selected by Wells Fargo Securities,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either of the Reference Treasury Dealers ceases to be a primary U.S. Government securities dealer, or a Primary Treasury Dealer, we will substitute therefor another Primary Treasury Dealer; and (2) any two other Primary Treasury Dealers selected by us.</w:t>
      </w:r>
    </w:p>
    <w:p>
      <w:pPr>
        <w:spacing w:after="0" w:line="62"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2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90" w:lineRule="exact"/>
        <w:rPr>
          <w:sz w:val="20"/>
          <w:szCs w:val="20"/>
          <w:color w:val="auto"/>
        </w:rPr>
      </w:pPr>
    </w:p>
    <w:p>
      <w:pPr>
        <w:ind w:right="260" w:firstLine="456"/>
        <w:spacing w:after="0" w:line="290" w:lineRule="auto"/>
        <w:rPr>
          <w:sz w:val="20"/>
          <w:szCs w:val="20"/>
          <w:color w:val="auto"/>
        </w:rPr>
      </w:pPr>
      <w:r>
        <w:rPr>
          <w:rFonts w:ascii="Arial" w:cs="Arial" w:eastAsia="Arial" w:hAnsi="Arial"/>
          <w:sz w:val="16"/>
          <w:szCs w:val="16"/>
          <w:b w:val="1"/>
          <w:bCs w:val="1"/>
          <w:i w:val="1"/>
          <w:iCs w:val="1"/>
          <w:color w:val="auto"/>
        </w:rPr>
        <w:t>Limitations on Incurrence of Debt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not, and will not permit any subsidiary to, incur any Debt if, immediately after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and our subsidiaries’ outstanding Debt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3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32"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34" w:lineRule="exact"/>
        <w:rPr>
          <w:sz w:val="20"/>
          <w:szCs w:val="20"/>
          <w:color w:val="auto"/>
        </w:rPr>
      </w:pPr>
    </w:p>
    <w:p>
      <w:pPr>
        <w:ind w:right="40" w:firstLine="456"/>
        <w:spacing w:after="0" w:line="262" w:lineRule="auto"/>
        <w:rPr>
          <w:sz w:val="20"/>
          <w:szCs w:val="20"/>
          <w:color w:val="auto"/>
        </w:rPr>
      </w:pPr>
      <w:r>
        <w:rPr>
          <w:rFonts w:ascii="Arial" w:cs="Arial" w:eastAsia="Arial" w:hAnsi="Arial"/>
          <w:sz w:val="18"/>
          <w:szCs w:val="18"/>
          <w:b w:val="1"/>
          <w:bCs w:val="1"/>
          <w:i w:val="1"/>
          <w:iCs w:val="1"/>
          <w:color w:val="auto"/>
        </w:rPr>
        <w:t>Maintenance of Unencumbered Total Asset Value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will provide that we, together with our subsidiaries, will at all times maintain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Unencumbered Total Asset Value in an amount not less than 150% of the aggregate outstanding principal amount of all our and our subsidiaries’ unsecured Debt, taken as a whole.</w:t>
      </w:r>
    </w:p>
    <w:p>
      <w:pPr>
        <w:spacing w:after="0" w:line="51" w:lineRule="exact"/>
        <w:rPr>
          <w:sz w:val="20"/>
          <w:szCs w:val="20"/>
          <w:color w:val="auto"/>
        </w:rPr>
      </w:pPr>
    </w:p>
    <w:p>
      <w:pPr>
        <w:ind w:right="160" w:firstLine="456"/>
        <w:spacing w:after="0" w:line="296" w:lineRule="auto"/>
        <w:rPr>
          <w:sz w:val="20"/>
          <w:szCs w:val="20"/>
          <w:color w:val="auto"/>
        </w:rPr>
      </w:pPr>
      <w:r>
        <w:rPr>
          <w:rFonts w:ascii="Arial" w:cs="Arial" w:eastAsia="Arial" w:hAnsi="Arial"/>
          <w:sz w:val="16"/>
          <w:szCs w:val="16"/>
          <w:b w:val="1"/>
          <w:bCs w:val="1"/>
          <w:i w:val="1"/>
          <w:iCs w:val="1"/>
          <w:color w:val="auto"/>
        </w:rPr>
        <w:t>Insurance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notes will provide that we will, and will cause each of our subsidiaries to, maintain insurance with financially sound and reputable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Administrative Agent (as defined in our credit agreement dated as of July 7, 2011, as amended)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6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5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51"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4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and our subsidiaries’ other assets determined in accordance with generally accepted accounting principles (but excluding goodwill).</w:t>
      </w:r>
    </w:p>
    <w:p>
      <w:pPr>
        <w:spacing w:after="0" w:line="5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“Unencumbered Total Asset Value” </w:t>
      </w:r>
      <w:r>
        <w:rPr>
          <w:rFonts w:ascii="Arial" w:cs="Arial" w:eastAsia="Arial" w:hAnsi="Arial"/>
          <w:sz w:val="16"/>
          <w:szCs w:val="16"/>
          <w:color w:val="auto"/>
        </w:rPr>
        <w:t>as of any date means the sum of (a) those Undepreciated Real Estate Assets not encumbered by any mortgage, lien,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Unencumbered Total Asset Value for purposes of the covenant set forth above in “— Maintenance of Unencumbered Total Asset Value,” all investments by us and any subsidiary in unconsolidated joint ventures, unconsolidated limited partnerships, unconsolidated limited liability companies and other unconsolidated entities accounted for financial reporting purposes using the equity method of accounting in accordance with U.S. generally accepted accounting principles shall be excluded from Unencumbered Total Asset Value.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The notes will be subject to the following events of default:</w:t>
      </w:r>
    </w:p>
    <w:p>
      <w:pPr>
        <w:spacing w:after="0" w:line="90" w:lineRule="exact"/>
        <w:rPr>
          <w:sz w:val="20"/>
          <w:szCs w:val="20"/>
          <w:color w:val="auto"/>
        </w:rPr>
      </w:pPr>
    </w:p>
    <w:p>
      <w:pPr>
        <w:ind w:right="420" w:firstLine="464"/>
        <w:spacing w:after="0" w:line="268"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right="560" w:firstLine="464"/>
        <w:spacing w:after="0" w:line="268"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firstLine="464"/>
        <w:spacing w:after="0" w:line="259" w:lineRule="auto"/>
        <w:tabs>
          <w:tab w:leader="none" w:pos="632" w:val="left"/>
        </w:tabs>
        <w:numPr>
          <w:ilvl w:val="0"/>
          <w:numId w:val="9"/>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(7)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940" w:hanging="247"/>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us and the trustee by the holders of at least 25% in aggregate principal amount of the outstanding debt securities of the series.</w:t>
      </w:r>
    </w:p>
    <w:p>
      <w:pPr>
        <w:spacing w:after="0" w:line="90" w:lineRule="exact"/>
        <w:rPr>
          <w:rFonts w:ascii="Arial" w:cs="Arial" w:eastAsia="Arial" w:hAnsi="Arial"/>
          <w:sz w:val="18"/>
          <w:szCs w:val="18"/>
          <w:color w:val="auto"/>
        </w:rPr>
      </w:pPr>
    </w:p>
    <w:p>
      <w:pPr>
        <w:ind w:right="20" w:firstLine="464"/>
        <w:spacing w:after="0" w:line="289" w:lineRule="auto"/>
        <w:tabs>
          <w:tab w:leader="none" w:pos="632"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$25,000,000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$25,000,000,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640" w:hanging="176"/>
        <w:spacing w:after="0"/>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appoints a receiver in respect of us or any of our significant subsidiaries or for all or substantially all of the property of any of us; or</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9"/>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90" w:lineRule="exact"/>
        <w:rPr>
          <w:sz w:val="20"/>
          <w:szCs w:val="20"/>
          <w:color w:val="auto"/>
        </w:rPr>
      </w:pPr>
    </w:p>
    <w:p>
      <w:pPr>
        <w:ind w:left="640" w:hanging="176"/>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940" w:hanging="247"/>
        <w:spacing w:after="0"/>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right="200" w:firstLine="693"/>
        <w:spacing w:after="0" w:line="268" w:lineRule="auto"/>
        <w:tabs>
          <w:tab w:leader="none" w:pos="933" w:val="left"/>
        </w:tabs>
        <w:numPr>
          <w:ilvl w:val="1"/>
          <w:numId w:val="10"/>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40" w:hanging="247"/>
        <w:spacing w:after="0"/>
        <w:tabs>
          <w:tab w:leader="none" w:pos="940" w:val="left"/>
        </w:tabs>
        <w:numPr>
          <w:ilvl w:val="1"/>
          <w:numId w:val="10"/>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 property; or</w:t>
      </w:r>
    </w:p>
    <w:p>
      <w:pPr>
        <w:spacing w:after="0" w:line="113" w:lineRule="exact"/>
        <w:rPr>
          <w:rFonts w:ascii="Arial" w:cs="Arial" w:eastAsia="Arial" w:hAnsi="Arial"/>
          <w:sz w:val="16"/>
          <w:szCs w:val="16"/>
          <w:color w:val="auto"/>
        </w:rPr>
      </w:pPr>
    </w:p>
    <w:p>
      <w:pPr>
        <w:ind w:left="940" w:hanging="247"/>
        <w:spacing w:after="0"/>
        <w:tabs>
          <w:tab w:leader="none" w:pos="9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or the Depositary, with respect to the notes, the terms of which are summarized below. Upon issuance, each of the notes will be represented by a single Global Security (as defined in the indenture)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6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(as defined in the indenture) of the notes for all purposes under the indenture. Except as otherwise provided in this section, the Beneficial Owners (as defined in the indenture) of the Global Security representing the notes will not be entitled to receive physical delivery of certificated notes and will not be considered the Holders thereof for any purpose under the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3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(as defined in the indenture) under the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registrar.</w:t>
      </w:r>
    </w:p>
    <w:p>
      <w:pPr>
        <w:spacing w:after="0" w:line="39"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62"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or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or Direct Participants, include securities brokers and dealers, banks, trust companies, clearing corporations and certain other organizations. The Depositary is a wholly-owned subsidiary of The Depository Trust &amp; Clearing Corporation, or DTCC. DTCC is owned by the users of its regulated subsidiaries. Access to the Depositary’s system is also available to others such as securities brokers and dealers, banks and trust companies that clear</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through or maintain a custodial relationship with a Direct Participant, either directly or indirectly, or Indirect Participants. The rules applicable to the Depositary and its Participants are on file with the SEC.</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or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37"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3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59"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trustee, disbursement of such payments to Direct Participants shall be the responsibility of the Depositary, and disbursement of such payments to the Beneficial Owners shall be the responsibility of Direct Participants and Indirect Participants.</w:t>
      </w:r>
    </w:p>
    <w:p>
      <w:pPr>
        <w:spacing w:after="0" w:line="3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51" w:lineRule="exact"/>
        <w:rPr>
          <w:sz w:val="20"/>
          <w:szCs w:val="20"/>
          <w:color w:val="auto"/>
        </w:rPr>
      </w:pPr>
    </w:p>
    <w:p>
      <w:pPr>
        <w:ind w:right="340" w:firstLine="456"/>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the trustee or us.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MATERIAL FEDERAL INCOME TAX CONSIDERATIONS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a discussion of the taxation of us, see “Material Federal Income Tax Considerations” beginning on page 32 of the accompanying prospectus. The following is a general discussion of the material U.S. federal income tax considerations applicable to the acquisition, ownership and disposition of the notes. This discussion applies only to initial beneficial owners of the notes who purchase notes at their issue price (as defined below) and who hold the notes as capital assets (generally property held for investment) within the meaning of Section 1221 of the Internal Revenue Code of 1986, as amended (the “Code”). This discussion is based on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is general in nature and is not exhaustive of all possible tax considerations, nor does the discussion address any state, local or foreign tax considerations or any U.S. tax considerations (e.g., estate or gift tax) other than U.S. federal income tax considerations, that may be applicable to particular holders. This discussion does not address all the tax consequences that may be relevant to a particular holder or to holders subject to special treatment under the Code, such as financial institutions, brokers, dealers in securities and commodities, insurance companies, certain former U.S. citizens or long-term residents, regulated investment companies, real estate investment trusts, tax-exempt organizations, controlled foreign corporations, passive foreign investment companies, persons subject to the alternative minimum tax, U.S. persons whose functional currency is not the U.S. dollar,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 discussion is limited to beneficial owners of notes that are U.S. Holders.</w:t>
      </w:r>
    </w:p>
    <w:p>
      <w:pPr>
        <w:spacing w:after="0" w:line="39" w:lineRule="exact"/>
        <w:rPr>
          <w:sz w:val="20"/>
          <w:szCs w:val="20"/>
          <w:color w:val="auto"/>
        </w:rPr>
      </w:pPr>
    </w:p>
    <w:p>
      <w:pPr>
        <w:ind w:right="820" w:firstLine="456"/>
        <w:spacing w:after="0" w:line="338" w:lineRule="auto"/>
        <w:rPr>
          <w:sz w:val="20"/>
          <w:szCs w:val="20"/>
          <w:color w:val="auto"/>
        </w:rPr>
      </w:pPr>
      <w:r>
        <w:rPr>
          <w:rFonts w:ascii="Arial" w:cs="Arial" w:eastAsia="Arial" w:hAnsi="Arial"/>
          <w:sz w:val="16"/>
          <w:szCs w:val="16"/>
          <w:b w:val="1"/>
          <w:bCs w:val="1"/>
          <w:color w:val="auto"/>
        </w:rPr>
        <w:t>PROSPECTIVE INVESTORS SHOULD CONSULT THEIR TAX ADVISORS REGARDING THE U.S. FEDERAL, STATE, LOCAL, FOREIGN AND OTHER TAX CONSEQUENCES OF THE ACQUISITION, OWNERSHIP AND DISPOSITION OF THE NOTES.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w:t>
      </w:r>
    </w:p>
    <w:p>
      <w:pPr>
        <w:spacing w:after="0" w:line="90"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660" w:right="120" w:hanging="206"/>
        <w:spacing w:after="0" w:line="26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in or under the laws of the United States, any state thereof or the District of Columbia;</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90" w:lineRule="exact"/>
        <w:rPr>
          <w:rFonts w:ascii="Arial" w:cs="Arial" w:eastAsia="Arial" w:hAnsi="Arial"/>
          <w:sz w:val="18"/>
          <w:szCs w:val="18"/>
          <w:color w:val="auto"/>
        </w:rPr>
      </w:pPr>
    </w:p>
    <w:p>
      <w:pPr>
        <w:jc w:val="both"/>
        <w:ind w:left="660" w:right="240" w:hanging="206"/>
        <w:spacing w:after="0" w:line="357" w:lineRule="auto"/>
        <w:tabs>
          <w:tab w:leader="none" w:pos="6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a trust if (a) a court within the United States is able to exercise primary supervision over the administration of the trust and one or more United States persons have the authority to control all substantial decisions of the trust, or (b) it has a valid election in place to be treated as a United States person.</w:t>
      </w:r>
    </w:p>
    <w:p>
      <w:pPr>
        <w:ind w:right="300" w:firstLine="456"/>
        <w:spacing w:after="0" w:line="306" w:lineRule="auto"/>
        <w:rPr>
          <w:sz w:val="20"/>
          <w:szCs w:val="20"/>
          <w:color w:val="auto"/>
        </w:rPr>
      </w:pPr>
      <w:r>
        <w:rPr>
          <w:rFonts w:ascii="Arial" w:cs="Arial" w:eastAsia="Arial" w:hAnsi="Arial"/>
          <w:sz w:val="16"/>
          <w:szCs w:val="16"/>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Partnerships that hold notes (and partners in such partnerships) should consult their tax advisors as to the particular U.S. federal income tax consequences applicable to them.</w:t>
      </w:r>
    </w:p>
    <w:p>
      <w:pPr>
        <w:spacing w:after="0" w:line="2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 “Non-U.S. Holder” means any beneficial owner of a note that is not a U.S. Holder or an entity or arrangement treated as a partnership for U.S. federal income tax purposes.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Stated Interest on the Notes. </w:t>
      </w:r>
      <w:r>
        <w:rPr>
          <w:rFonts w:ascii="Arial" w:cs="Arial" w:eastAsia="Arial" w:hAnsi="Arial"/>
          <w:sz w:val="18"/>
          <w:szCs w:val="18"/>
          <w:color w:val="auto"/>
        </w:rPr>
        <w:t>A 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generally will be required to include stated interest earned on the notes as ordinary income when received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accrued in accordance with the U.S. Holder’s regular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method of tax accounting to the extent such interest is “qualified stated interest.” Stated interest is qualified stated interest if it is unconditionally payable in cash at least annually. The stated interest on the notes is qualified stated interest.</w:t>
      </w:r>
    </w:p>
    <w:p>
      <w:pPr>
        <w:spacing w:after="0" w:line="5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OID and Issue Price of the Notes. </w:t>
      </w:r>
      <w:r>
        <w:rPr>
          <w:rFonts w:ascii="Arial" w:cs="Arial" w:eastAsia="Arial" w:hAnsi="Arial"/>
          <w:sz w:val="18"/>
          <w:szCs w:val="18"/>
          <w:color w:val="auto"/>
        </w:rPr>
        <w:t>A debt instrument generally has original issue discount, or OID, if its “stated redemption price at maturity” exceeds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“issue price” by an amount that is equal to or greater than a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A debt instrument’s stated redemption price at maturity includes all principal and interest payable over the term of the debt instrument, other than qualified stated interest. The issue price of the notes will be the first price at which a substantial amount of the notes are sold to the public (excluding bond houses, brokers, or similar persons or organizations acting in the capacity of underwriters, placement agents, or wholesalers).</w:t>
      </w:r>
    </w:p>
    <w:p>
      <w:pPr>
        <w:spacing w:after="0" w:line="6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notes are treated as issued with OID under the rules described above, a U.S. Holder generally will be required to include such OID in income over the term of the notes in accordance with a constant-yield-to-maturity method, regardless of whether the U.S. Holder is a cash or accrual method taxpayer, and regardless of whether and when the U.S. Holder receives cash payments of interest on the notes (other than cash attributable to qualified stated interest). Accordingly, a U.S. Holder could be treated as receiving interest income in advance of a corresponding receipt of cash. Any OID that a U.S. Holder includes in income will increase the U.S. Holder’s tax basis in its notes. A U.S. Holder generally will not be required to include separately in income cash payments received on the notes to the extent that such payments constitute payments of previously accrued OID or payments of principal, and such payments will reduce the U.S. Holder’s tax basis in its notes by the amount of such payments.</w:t>
      </w:r>
    </w:p>
    <w:p>
      <w:pPr>
        <w:spacing w:after="0" w:line="3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The remainder of this discussion assumes that the issue price of the notes will not be less than the stated principal amount of the notes by an amount that is equal to or greater than the statutory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U.S. Holders should consult their tax advisors regarding the determination of the issue price of the notes and the possible application of the OID rules.</w:t>
      </w:r>
    </w:p>
    <w:p>
      <w:pPr>
        <w:spacing w:after="0" w:line="5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Sale, Exchange, Redemption, or Other Taxable Disposition of the Notes. </w:t>
      </w:r>
      <w:r>
        <w:rPr>
          <w:rFonts w:ascii="Arial" w:cs="Arial" w:eastAsia="Arial" w:hAnsi="Arial"/>
          <w:sz w:val="16"/>
          <w:szCs w:val="16"/>
          <w:color w:val="auto"/>
        </w:rPr>
        <w:t>Unless a non-recognition provision applies, upon the sale, exchange, redemption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other taxable disposition of a note, a U.S. Holder will generally recognize capital gain or loss equal to the difference (if any) between the amount realized (other than amounts attributable to accrued but unpaid stated interest, which will be taxable as ordinary income to the extent not previously included in income) and such U.S. Holder’s adjusted tax basis in the note. The U.S. Holder’s adjusted tax basis in a note generally will be the purchase price for the note, reduced by the amount of any payments previously received by the U.S. Holder (other than qualified stated interest). Such gain or loss will be treated as long-term capital gain or loss if the note was held for more than one year at the time of disposition. Long-term capital gain recognized by certain non-corporate U.S. Holders generally will be subject to a preferential tax rate. Subject to limited exceptions, capital losses cannot be used to offset a U.S. Holder’s ordinary income.</w:t>
      </w:r>
    </w:p>
    <w:p>
      <w:pPr>
        <w:spacing w:after="0" w:line="31" w:lineRule="exact"/>
        <w:rPr>
          <w:sz w:val="20"/>
          <w:szCs w:val="20"/>
          <w:color w:val="auto"/>
        </w:rPr>
      </w:pPr>
    </w:p>
    <w:p>
      <w:pPr>
        <w:jc w:val="both"/>
        <w:ind w:right="20" w:firstLine="456"/>
        <w:spacing w:after="0" w:line="301" w:lineRule="auto"/>
        <w:rPr>
          <w:sz w:val="20"/>
          <w:szCs w:val="20"/>
          <w:color w:val="auto"/>
        </w:rPr>
      </w:pPr>
      <w:r>
        <w:rPr>
          <w:rFonts w:ascii="Arial" w:cs="Arial" w:eastAsia="Arial" w:hAnsi="Arial"/>
          <w:sz w:val="16"/>
          <w:szCs w:val="16"/>
          <w:b w:val="1"/>
          <w:bCs w:val="1"/>
          <w:i w:val="1"/>
          <w:iCs w:val="1"/>
          <w:color w:val="auto"/>
        </w:rPr>
        <w:t>Unearned Income Medicare Contribution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taxable years beginning after December 31, 2012, certain U.S. Holders that are individuals, estates or trusts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subject to a 3.8% Medicare tax on all or a portion of their “net investment income,” which may include all or a portion of their interest and net gains from the sale or other disposition of the notes. If you are a U.S. Holder that is an individual, estate or trust, you should consult your tax advisors regarding the applicability of the Medicare tax to your income and gains in respect of your investment in the notes.</w:t>
      </w:r>
    </w:p>
    <w:p>
      <w:pPr>
        <w:spacing w:after="0" w:line="22" w:lineRule="exact"/>
        <w:rPr>
          <w:sz w:val="20"/>
          <w:szCs w:val="20"/>
          <w:color w:val="auto"/>
        </w:rPr>
      </w:pPr>
    </w:p>
    <w:p>
      <w:pPr>
        <w:ind w:right="660" w:firstLine="456"/>
        <w:spacing w:after="0" w:line="338" w:lineRule="auto"/>
        <w:rPr>
          <w:sz w:val="20"/>
          <w:szCs w:val="20"/>
          <w:color w:val="auto"/>
        </w:rPr>
      </w:pPr>
      <w:r>
        <w:rPr>
          <w:rFonts w:ascii="Arial" w:cs="Arial" w:eastAsia="Arial" w:hAnsi="Arial"/>
          <w:sz w:val="16"/>
          <w:szCs w:val="16"/>
          <w:b w:val="1"/>
          <w:bCs w:val="1"/>
          <w:i w:val="1"/>
          <w:iCs w:val="1"/>
          <w:color w:val="auto"/>
        </w:rPr>
        <w:t>Information Reporting and Backup Withholding</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general, information reporting will apply to a U.S. Holder (other than an “exempt recipient,”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 corporation and certain other persons who, when required, demonstrate their exempt status) with respect to:</w:t>
      </w:r>
    </w:p>
    <w:p>
      <w:pPr>
        <w:spacing w:after="0" w:line="1"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payments made of principal of, premium, if any, and interest on, the notes;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payment of the proceeds of a sale or other disposition of the notes.</w:t>
      </w:r>
    </w:p>
    <w:p>
      <w:pPr>
        <w:spacing w:after="0" w:line="90" w:lineRule="exact"/>
        <w:rPr>
          <w:sz w:val="20"/>
          <w:szCs w:val="20"/>
          <w:color w:val="auto"/>
        </w:rPr>
      </w:pPr>
    </w:p>
    <w:p>
      <w:pPr>
        <w:ind w:right="860" w:firstLine="456"/>
        <w:spacing w:after="0" w:line="268" w:lineRule="auto"/>
        <w:rPr>
          <w:sz w:val="20"/>
          <w:szCs w:val="20"/>
          <w:color w:val="auto"/>
        </w:rPr>
      </w:pPr>
      <w:r>
        <w:rPr>
          <w:rFonts w:ascii="Arial" w:cs="Arial" w:eastAsia="Arial" w:hAnsi="Arial"/>
          <w:sz w:val="18"/>
          <w:szCs w:val="18"/>
          <w:color w:val="auto"/>
        </w:rPr>
        <w:t>In addition, “backup withholding” at the applicable statutory rate may apply to such amounts if a U.S. Holder fails to provide a correct taxpayer identification number certified under penalties of perjury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otherwise comply with applicable requirements of the backup withholding rules. A U.S. Holder that does not provide its correct taxpayer identification number also may be subject to penalties imposed by the IRS.</w:t>
      </w:r>
    </w:p>
    <w:p>
      <w:pPr>
        <w:spacing w:after="0" w:line="5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U.S. Holder’s U.S. federal income tax liability, provided that the required information is timely provided to the IRS.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rules governing the U.S. federal income taxation of Non-U.S. Holders are complex and no attempt will be made herein to provide more than a summary of such rules. Prospective Non-U.S. Holders should consult their tax advisors to determine the impact of federal, state, local and other tax laws with regard to an investment in the notes.</w:t>
      </w:r>
    </w:p>
    <w:p>
      <w:pPr>
        <w:spacing w:after="0" w:line="59" w:lineRule="exact"/>
        <w:rPr>
          <w:sz w:val="20"/>
          <w:szCs w:val="20"/>
          <w:color w:val="auto"/>
        </w:rPr>
      </w:pPr>
    </w:p>
    <w:p>
      <w:pPr>
        <w:ind w:right="560" w:firstLine="456"/>
        <w:spacing w:after="0" w:line="259" w:lineRule="auto"/>
        <w:rPr>
          <w:sz w:val="20"/>
          <w:szCs w:val="20"/>
          <w:color w:val="auto"/>
        </w:rPr>
      </w:pPr>
      <w:r>
        <w:rPr>
          <w:rFonts w:ascii="Arial" w:cs="Arial" w:eastAsia="Arial" w:hAnsi="Arial"/>
          <w:sz w:val="18"/>
          <w:szCs w:val="18"/>
          <w:b w:val="1"/>
          <w:bCs w:val="1"/>
          <w:i w:val="1"/>
          <w:iCs w:val="1"/>
          <w:color w:val="auto"/>
        </w:rPr>
        <w:t xml:space="preserve">Interest on the Notes. </w:t>
      </w:r>
      <w:r>
        <w:rPr>
          <w:rFonts w:ascii="Arial" w:cs="Arial" w:eastAsia="Arial" w:hAnsi="Arial"/>
          <w:sz w:val="18"/>
          <w:szCs w:val="18"/>
          <w:color w:val="auto"/>
        </w:rPr>
        <w:t>Subject to the rules described below under “— Unearned Income Medicare Contribution for Foreign Estates and Trusts,”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Reporting and Backup Withholding” and “— FATCA Regime,” a Non-U.S. Holder generally will not be subject to U.S. federal income or withholding tax on payments of interest on a note, provided that:</w:t>
      </w:r>
    </w:p>
    <w:p>
      <w:pPr>
        <w:spacing w:after="0" w:line="59"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Non-U.S. Holder is not</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direct or indirect owner of 10% or more of our voting stock;</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controlled foreign corporation related to us through stock ownership; or</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bank whose receipt of interest on a note is pursuant to a loan agreement entered into in the ordinary course of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13" w:lineRule="exact"/>
        <w:rPr>
          <w:rFonts w:ascii="Arial" w:cs="Arial" w:eastAsia="Arial" w:hAnsi="Arial"/>
          <w:sz w:val="16"/>
          <w:szCs w:val="16"/>
          <w:color w:val="auto"/>
        </w:rPr>
      </w:pPr>
    </w:p>
    <w:p>
      <w:pPr>
        <w:ind w:left="660" w:right="160" w:hanging="206"/>
        <w:spacing w:after="0" w:line="26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 unless:</w:t>
      </w:r>
    </w:p>
    <w:p>
      <w:pPr>
        <w:spacing w:after="0" w:line="113" w:lineRule="exact"/>
        <w:rPr>
          <w:sz w:val="20"/>
          <w:szCs w:val="20"/>
          <w:color w:val="auto"/>
        </w:rPr>
      </w:pPr>
    </w:p>
    <w:p>
      <w:pPr>
        <w:ind w:left="660" w:right="40" w:hanging="206"/>
        <w:spacing w:after="0" w:line="26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(and, if required by an applicable tax treaty, the income is attributable to a permanent establishment maintained in the United States by such Non-U.S. Holder); or</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(and, if required by an applicable tax treaty, the interest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interest is subject to U.S. federal income tax on a net basis in accordance with the rules described in the second preceding sentence, payments of such interest will not be subject to U.S. withholding tax so long as the Non-U.S. Holder provides us or the paying agent with an appropriate IRS Form (generally, IRS Form W-8ECI). To claim the benefit of a reduced rate of, or exemption from, the 30% withholding tax under an income tax treaty, the Non-U.S. Holder must timely provide the appropriate, properly executed IRS form (generally, IRS Form W-8BEN). These forms may be required to be periodically updated.</w:t>
      </w:r>
    </w:p>
    <w:p>
      <w:pPr>
        <w:spacing w:after="0" w:line="42"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b w:val="1"/>
          <w:bCs w:val="1"/>
          <w:i w:val="1"/>
          <w:iCs w:val="1"/>
          <w:color w:val="auto"/>
        </w:rPr>
        <w:t xml:space="preserve">Sale, Exchange, Redemption, or Other Taxable Disposition of the Notes. </w:t>
      </w:r>
      <w:r>
        <w:rPr>
          <w:rFonts w:ascii="Arial" w:cs="Arial" w:eastAsia="Arial" w:hAnsi="Arial"/>
          <w:sz w:val="16"/>
          <w:szCs w:val="16"/>
          <w:color w:val="auto"/>
        </w:rPr>
        <w:t>Subject to the rules described below under “— Unearned Income Medicare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Contribution for Foreign Estates and Trusts,” “— Information Reporting and Backup Withholding” and “— FATCA Regime,” 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Non-U.S. Holder generally will not be subject to U.S. federal income or withholding tax on gain from the sale, exchange, redemption or other taxable disposition of a note unless:</w:t>
      </w:r>
    </w:p>
    <w:p>
      <w:pPr>
        <w:spacing w:after="0" w:line="51" w:lineRule="exact"/>
        <w:rPr>
          <w:sz w:val="20"/>
          <w:szCs w:val="20"/>
          <w:color w:val="auto"/>
        </w:rPr>
      </w:pPr>
    </w:p>
    <w:p>
      <w:pPr>
        <w:ind w:left="660" w:right="560" w:hanging="206"/>
        <w:spacing w:after="0" w:line="332"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of a trade or business within the United States (and, if required by an applicable tax treaty, is attributable to a permanent establishment maintained in the United States by the Non-U.S. Holder); or</w:t>
      </w:r>
    </w:p>
    <w:p>
      <w:pPr>
        <w:spacing w:after="0" w:line="4" w:lineRule="exact"/>
        <w:rPr>
          <w:rFonts w:ascii="Arial" w:cs="Arial" w:eastAsia="Arial" w:hAnsi="Arial"/>
          <w:sz w:val="16"/>
          <w:szCs w:val="16"/>
          <w:color w:val="auto"/>
        </w:rPr>
      </w:pPr>
    </w:p>
    <w:p>
      <w:pPr>
        <w:ind w:left="660" w:right="40" w:hanging="206"/>
        <w:spacing w:after="0" w:line="26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51" w:lineRule="exact"/>
        <w:rPr>
          <w:sz w:val="20"/>
          <w:szCs w:val="20"/>
          <w:color w:val="auto"/>
        </w:rPr>
      </w:pPr>
    </w:p>
    <w:p>
      <w:pPr>
        <w:ind w:right="260" w:firstLine="456"/>
        <w:spacing w:after="0" w:line="302" w:lineRule="auto"/>
        <w:rPr>
          <w:sz w:val="20"/>
          <w:szCs w:val="20"/>
          <w:color w:val="auto"/>
        </w:rPr>
      </w:pPr>
      <w:r>
        <w:rPr>
          <w:rFonts w:ascii="Arial" w:cs="Arial" w:eastAsia="Arial" w:hAnsi="Arial"/>
          <w:sz w:val="15"/>
          <w:szCs w:val="15"/>
          <w:color w:val="auto"/>
        </w:rPr>
        <w:t>Except to the extent provided by an applicable tax treaty, gain from the sale or disposition of a note that is effectively connected with the conduct by the Non-U.S. Holder of a trade or business in the United States (and, if required by an applicable tax treaty, the gain is attributable to a permanent establishment maintained in the United States by such Non-U.S. Holder) generally will be subject to U.S. federal income tax on a net basis at the rates applicable to U.S. persons. A Non-U.S. Holder that is treated as a corporation for U.S. federal income tax purposes may also be subject to a branch profits tax, which is generally imposed on a foreign corporation on the deemed repatriation from the United States of effectively connected earnings and profits, at a 30% rate (subject to reduction or elimination under an applicable tax treaty). If such gains are realized by a Non-U.S. Holder who is an individual present in the United States for</w:t>
      </w:r>
    </w:p>
    <w:p>
      <w:pPr>
        <w:spacing w:after="0" w:line="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183 days or more in the taxable year, then, except to the extent otherwise provided by an applicable income tax treaty, such individual generally will be subject to U.S. federal income tax at a rate of 30% on the amount by which capital gains from U.S. sources (including gains from the sale or other disposition of the notes) exceed capital losses allocable to U.S. sources. Any amount attributable to accrued but unpaid interest on the notes will generally be treated in the same manner as payments of interest made to such Non-U.S. Holder, as described above under “ — Interest on the Notes.” Non-U.S. Holders should consult their tax advisors on the treatment of any accrued but unpaid interest on the notes.</w:t>
      </w:r>
    </w:p>
    <w:p>
      <w:pPr>
        <w:spacing w:after="0" w:line="3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Unearned Income Medicare Contribution for Foreign Estates and Trusts. </w:t>
      </w:r>
      <w:r>
        <w:rPr>
          <w:rFonts w:ascii="Arial" w:cs="Arial" w:eastAsia="Arial" w:hAnsi="Arial"/>
          <w:sz w:val="18"/>
          <w:szCs w:val="18"/>
          <w:color w:val="auto"/>
        </w:rPr>
        <w:t>As discussed in more detail under “— U.S. Holders — Unearned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Medicare Contribution,” a 3.8% Medicare tax will apply, in addition to regular income tax, to certain net investment income. The 3.8% tax generally applies only to U.S. Holders. However, the IRS has indicated in proposed Treasury regulations that the 3.8% Medicare tax may be applicable to Non-U.S. Holders that are estates or trusts and have one or more U.S. beneficiaries. Non-U.S. Holders that are estates or trusts should consult their tax advisors about the possible application of the 3.8% Medicare tax.</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Payments to a Non-U.S. Holder of interest on a note generally will be reported to the IRS and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Holder. Copies of applicable IRS information returns may be made available, under the provisions of a specific tax treaty or agreement, to the tax authorities of the country in which the Non-U.S. Holder resides. Additional information reporting and backup withholding generally will not apply to payments of interest with respect to which either the requisite certification that the Non-U.S. Holder is not a U.S. person for U.S. federal income tax purposes, as described under the heading “— Interest on the Notes” above, has been received or an exemption has otherwise been established provided that neither we nor our paying agent have actual knowledge or reason to know that the Non-U.S. Holder is a U.S. person that is not an exempt recipient or that the conditions of any other exemption are not, in fact, satisfied.</w:t>
      </w:r>
    </w:p>
    <w:p>
      <w:pPr>
        <w:spacing w:after="0" w:line="6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As a general matter, backup withholding and information reporting will not apply to a payment of the proceeds of a sale of a note effected at a foreign office of a foreign broker. Information reporting (but not backup withholding) will apply, however, to a payment of the proceeds of a sale of a note by a foreign office of a broker that:</w:t>
      </w:r>
    </w:p>
    <w:p>
      <w:pPr>
        <w:spacing w:after="0" w:line="59"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90"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 a foreign partnership, if at any time during its tax year more than 50% of its income or capital interest are held by U.S. persons or if it is engaged in the conduct of a trade or business in the U.S.,</w:t>
      </w:r>
    </w:p>
    <w:p>
      <w:pPr>
        <w:spacing w:after="0" w:line="5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unless the broker has documentary evidence in its records that the holder or beneficial owner is a Non-U.S. Holder and certain other conditions are met, or the holder otherwise establishes an exemption. Payment of the proceeds of a sale of a note effected at a U.S. office of a broker is subject to both backup withholding and information reporting unless the holder certifies under penalty of perjury that the holder is a Non-U.S. Holder, or otherwise establishes an exemption; provided that, in either case, neither we nor any withholding agent knows or has reason to know that the holder is a United States person or that the conditions of any other exemptions are in fact not satisfied.</w:t>
      </w:r>
    </w:p>
    <w:p>
      <w:pPr>
        <w:spacing w:after="0" w:line="62"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Any backup withholding is not an additional tax and may be refunded or credited against the Non-U.S. Holder’s U.S. federal income tax liability, provided that the required information is timely provided to the IRS.</w:t>
      </w:r>
    </w:p>
    <w:p>
      <w:pPr>
        <w:spacing w:after="0" w:line="45" w:lineRule="exact"/>
        <w:rPr>
          <w:sz w:val="20"/>
          <w:szCs w:val="20"/>
          <w:color w:val="auto"/>
        </w:rPr>
      </w:pPr>
    </w:p>
    <w:p>
      <w:pPr>
        <w:ind w:right="140" w:firstLine="456"/>
        <w:spacing w:after="0" w:line="288" w:lineRule="auto"/>
        <w:rPr>
          <w:sz w:val="20"/>
          <w:szCs w:val="20"/>
          <w:color w:val="auto"/>
        </w:rPr>
      </w:pPr>
      <w:r>
        <w:rPr>
          <w:rFonts w:ascii="Arial" w:cs="Arial" w:eastAsia="Arial" w:hAnsi="Arial"/>
          <w:sz w:val="16"/>
          <w:szCs w:val="16"/>
          <w:b w:val="1"/>
          <w:bCs w:val="1"/>
          <w:i w:val="1"/>
          <w:iCs w:val="1"/>
          <w:color w:val="auto"/>
        </w:rPr>
        <w:t>FATCA Regime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Foreign Account Tax Compliance Act provisions of the Hiring Incentives to Restore Employment Act (generally referred to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“FATCA”), when applicable, will impose a U.S. federal withholding tax of 30% on certain payments to foreign financial institutions and other non-U.S. persons that fail to comply with certain certification and information reporting requirements (unless alternative procedures apply pursuant to an applicable intergovernmental agreement between the United States and the relevant foreign government). The obligation to withhold under FATCA is currently expected to apply to payments of U.S.-source interest and OID on obligations made on or after January 1, 2014 and payments of gross proceeds from the sale or other disposition of such obligations made on or after January 1, 2017. However, FATCA withholding will not apply to obligations outstanding on, and not the subject of a significant modification on or after, January 1, 2014 (or such other date as is specified in guidance issued by the U.S. Treasury Department). Because the notes will be issued prior to, and will be outstanding on, January 1, 2014, this new withholding tax is not expected to apply to payments on the notes unless they are modified after such date, in which case payments on, and the gross proceeds from the sale or other disposition of, the notes to certain foreign entities could become subject to the FATCA withholding tax. We will not pay any additional amounts in respect of any amounts withheld under FATCA.</w:t>
      </w:r>
    </w:p>
    <w:p>
      <w:pPr>
        <w:spacing w:after="0" w:line="40" w:lineRule="exact"/>
        <w:rPr>
          <w:sz w:val="20"/>
          <w:szCs w:val="20"/>
          <w:color w:val="auto"/>
        </w:rPr>
      </w:pPr>
    </w:p>
    <w:p>
      <w:pPr>
        <w:ind w:right="300" w:firstLine="456"/>
        <w:spacing w:after="0" w:line="344" w:lineRule="auto"/>
        <w:rPr>
          <w:sz w:val="20"/>
          <w:szCs w:val="20"/>
          <w:color w:val="auto"/>
        </w:rPr>
      </w:pPr>
      <w:r>
        <w:rPr>
          <w:rFonts w:ascii="Arial" w:cs="Arial" w:eastAsia="Arial" w:hAnsi="Arial"/>
          <w:sz w:val="18"/>
          <w:szCs w:val="18"/>
          <w:color w:val="auto"/>
        </w:rPr>
        <w:t xml:space="preserve">Prospective investors are encouraged to consult their tax advisors regarding the possible implications of this legislation on their investment in the notes. </w:t>
      </w:r>
      <w:r>
        <w:rPr>
          <w:rFonts w:ascii="Arial" w:cs="Arial" w:eastAsia="Arial" w:hAnsi="Arial"/>
          <w:sz w:val="18"/>
          <w:szCs w:val="18"/>
          <w:b w:val="1"/>
          <w:bCs w:val="1"/>
          <w:color w:val="auto"/>
        </w:rPr>
        <w:t>New Tax Rates for U.S. Individuals, Estates and Trusts</w:t>
      </w:r>
    </w:p>
    <w:p>
      <w:pPr>
        <w:spacing w:after="0" w:line="1"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In the prospectus under the heading “Material Federal Income Tax Considerations,” there are various references to the 15% maximum tax rates applicable to long-term capital gains and qualified dividend income of U.S. individuals, estates and trusts through the end of 2012, when such reduced rates were scheduled to expire. In addition, ordinary income of U.S. individuals, estates and trusts was subject to a reduced maximum 35% tax rate that was also scheduled to expire at the end of 2012. On January 2, 2013, President Obama signed into law the American Taxpayer Relief Act of 2012, or the 2012 Relief Act, which, among other things, permanently extends most of the reduced rates for U.S. individuals, estates and trusts with respect to ordinary income, qualified dividend income and long-term capital gains that had expired on December 31, 2012. The 2012 Relief Act, however, does not extend all of the reduced rates for high-income taxpayers. Beginning January 1, 2013, in the case of married couples filing joint returns with taxable income in excess of $450,000, heads of households with taxable income in excess of $425,000 and other individuals with taxable income in excess of $400,000, the maximum tax rate on ordinary income will be 39.6% (as compared to 35% prior to 2013) and the maximum rate on long-term capital gains and qualified dividend income will be 20% (as compared to 15% prior to</w:t>
      </w:r>
    </w:p>
    <w:p>
      <w:pPr>
        <w:spacing w:after="0" w:line="5"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2013). Estates and trusts have more compressed rate schedules. Prospective investors are urged to consult their tax advisors regarding the effect of the new tax rates and other tax provisions in the 2012 Relief Act on an investment in the notes.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intend to offer the notes through the underwriters named below, for whom Wells Fargo Securities, LLC and Merrill Lynch, Pierce, Fenner &amp; Smith Incorporated are acting as representatives. Subject to the terms and conditions stated in an underwriting agreement and a related pricing agreement, each dated the date of this prospectus supplement, each underwriter named below has severally agreed to purchase, and we have agreed to sell to that underwriter, the principal amount of the notes listed opposite its name below.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Principal</w:t>
            </w: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20"/>
                <w:szCs w:val="20"/>
                <w:color w:val="auto"/>
              </w:rPr>
            </w:pPr>
            <w:r>
              <w:rPr>
                <w:rFonts w:ascii="Arial" w:cs="Arial" w:eastAsia="Arial" w:hAnsi="Arial"/>
                <w:sz w:val="18"/>
                <w:szCs w:val="18"/>
                <w:b w:val="1"/>
                <w:bCs w:val="1"/>
                <w:color w:val="auto"/>
                <w:w w:val="96"/>
              </w:rPr>
              <w:t>Underwriter</w:t>
            </w:r>
          </w:p>
        </w:tc>
        <w:tc>
          <w:tcPr>
            <w:tcW w:w="5440" w:type="dxa"/>
            <w:vAlign w:val="bottom"/>
            <w:vMerge w:val="restart"/>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Amount of</w:t>
            </w:r>
          </w:p>
        </w:tc>
        <w:tc>
          <w:tcPr>
            <w:tcW w:w="0" w:type="dxa"/>
            <w:vAlign w:val="bottom"/>
          </w:tcPr>
          <w:p>
            <w:pPr>
              <w:spacing w:after="0"/>
              <w:rPr>
                <w:sz w:val="1"/>
                <w:szCs w:val="1"/>
                <w:color w:val="auto"/>
              </w:rPr>
            </w:pPr>
          </w:p>
        </w:tc>
      </w:tr>
      <w:tr>
        <w:trPr>
          <w:trHeight w:val="237"/>
        </w:trPr>
        <w:tc>
          <w:tcPr>
            <w:tcW w:w="1000" w:type="dxa"/>
            <w:vAlign w:val="bottom"/>
            <w:tcBorders>
              <w:bottom w:val="single" w:sz="8" w:color="auto"/>
            </w:tcBorders>
            <w:vMerge w:val="continue"/>
          </w:tcPr>
          <w:p>
            <w:pPr>
              <w:spacing w:after="0"/>
              <w:rPr>
                <w:sz w:val="20"/>
                <w:szCs w:val="20"/>
                <w:color w:val="auto"/>
              </w:rPr>
            </w:pPr>
          </w:p>
        </w:tc>
        <w:tc>
          <w:tcPr>
            <w:tcW w:w="5440" w:type="dxa"/>
            <w:vAlign w:val="bottom"/>
            <w:vMerge w:val="continue"/>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3"/>
              </w:rPr>
              <w:t>Notes</w:t>
            </w:r>
          </w:p>
        </w:tc>
        <w:tc>
          <w:tcPr>
            <w:tcW w:w="0" w:type="dxa"/>
            <w:vAlign w:val="bottom"/>
          </w:tcPr>
          <w:p>
            <w:pPr>
              <w:spacing w:after="0"/>
              <w:rPr>
                <w:sz w:val="1"/>
                <w:szCs w:val="1"/>
                <w:color w:val="auto"/>
              </w:rPr>
            </w:pPr>
          </w:p>
        </w:tc>
      </w:tr>
      <w:tr>
        <w:trPr>
          <w:trHeight w:val="203"/>
        </w:trPr>
        <w:tc>
          <w:tcPr>
            <w:tcW w:w="6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Wells Fargo Securities, LLC</w:t>
            </w:r>
          </w:p>
        </w:tc>
        <w:tc>
          <w:tcPr>
            <w:tcW w:w="37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74,250,000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644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40" w:type="dxa"/>
            <w:vAlign w:val="bottom"/>
            <w:gridSpan w:val="2"/>
          </w:tcPr>
          <w:p>
            <w:pPr>
              <w:ind w:left="980"/>
              <w:spacing w:after="0"/>
              <w:rPr>
                <w:sz w:val="20"/>
                <w:szCs w:val="20"/>
                <w:color w:val="auto"/>
              </w:rPr>
            </w:pPr>
            <w:r>
              <w:rPr>
                <w:rFonts w:ascii="Arial" w:cs="Arial" w:eastAsia="Arial" w:hAnsi="Arial"/>
                <w:sz w:val="18"/>
                <w:szCs w:val="18"/>
                <w:color w:val="auto"/>
              </w:rPr>
              <w:t>Incorporated</w:t>
            </w:r>
          </w:p>
        </w:tc>
        <w:tc>
          <w:tcPr>
            <w:tcW w:w="3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63,250,000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RBC Capital Markets, LLC</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One Southcoast, Inc.</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Regions Securities LLC</w:t>
            </w: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SunTrust Robinson Humphrey, Inc.</w:t>
            </w:r>
          </w:p>
        </w:tc>
        <w:tc>
          <w:tcPr>
            <w:tcW w:w="3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TD Securities (USA) LLC</w:t>
            </w:r>
          </w:p>
        </w:tc>
        <w:tc>
          <w:tcPr>
            <w:tcW w:w="3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3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underwriters have agreed to purchase all of the principal amount of the notes shown in the above table if any of the notes are purchased. If an underwriter defaults, the underwriting agreement provides that the purchase commitments of the nondefaulting underwriters may be increased or the underwriting agreement may be terminated.</w:t>
      </w:r>
    </w:p>
    <w:p>
      <w:pPr>
        <w:spacing w:after="0" w:line="59"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notes are offered by the underwriters, subject to prior sale, when, as and if issued to and accepted by them, subject to approval of legal matters by counsel for the underwriters and other conditions. The underwriters reserve the right to withdraw, cancel or modify the offer and to reject orders in whole or in part.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The underwriters have advised us that they propose to offer the notes to the public at the initial public offering price on the cover page of this prospectus supplement and to dealers at that price less a concession not in excess of 0.40% of the principal amount of the notes. The underwriters may allow, and the dealers may reallow, a discount not in excess of 0.25% of the principal amount of the notes on sales to other dealers. After the initial offering, the public offering price and concession to dealers may be changed.</w:t>
      </w:r>
    </w:p>
    <w:p>
      <w:pPr>
        <w:spacing w:after="0" w:line="6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a percentage of the principal amount of the notes).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40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Paid by Us</w:t>
            </w:r>
          </w:p>
        </w:tc>
        <w:tc>
          <w:tcPr>
            <w:tcW w:w="200" w:type="dxa"/>
            <w:vAlign w:val="bottom"/>
            <w:tcBorders>
              <w:bottom w:val="single" w:sz="8" w:color="CCEEFF"/>
            </w:tcBorders>
          </w:tcPr>
          <w:p>
            <w:pPr>
              <w:spacing w:after="0"/>
              <w:rPr>
                <w:sz w:val="19"/>
                <w:szCs w:val="19"/>
                <w:color w:val="auto"/>
              </w:rPr>
            </w:pPr>
          </w:p>
        </w:tc>
      </w:tr>
      <w:tr>
        <w:trPr>
          <w:trHeight w:val="212"/>
        </w:trPr>
        <w:tc>
          <w:tcPr>
            <w:tcW w:w="10400" w:type="dxa"/>
            <w:vAlign w:val="bottom"/>
            <w:shd w:val="clear" w:color="auto" w:fill="CCEEFF"/>
          </w:tcPr>
          <w:p>
            <w:pPr>
              <w:spacing w:after="0" w:line="205" w:lineRule="exact"/>
              <w:rPr>
                <w:sz w:val="20"/>
                <w:szCs w:val="20"/>
                <w:color w:val="auto"/>
              </w:rPr>
            </w:pPr>
            <w:r>
              <w:rPr>
                <w:rFonts w:ascii="Arial" w:cs="Arial" w:eastAsia="Arial" w:hAnsi="Arial"/>
                <w:sz w:val="18"/>
                <w:szCs w:val="18"/>
                <w:color w:val="auto"/>
              </w:rPr>
              <w:t>Per note</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0.65%</w:t>
            </w:r>
          </w:p>
        </w:tc>
      </w:tr>
    </w:tbl>
    <w:p>
      <w:pPr>
        <w:spacing w:after="0" w:line="7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connection with this offering, the representatives,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this offering, which creates a syndicate short position. Syndicate covering transactions involve purchases of the notes in the open market after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distribution has been completed in order to cover syndicate short positions. Stabilizing transactions consist of certain bids or purchases of notes made for the purpose of preventing or retarding a decline in the market price of the notes while this offering is in progress.</w:t>
      </w:r>
    </w:p>
    <w:p>
      <w:pPr>
        <w:spacing w:after="0" w:line="5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underwriters also may impose penalty bids.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4"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Any of these activities may have the effect of preventing or retarding a decline in the market price of the notes. They may also cause the price of the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the expenses of this offering payable by us, excluding the underwriting discount, will be approximately $500,000.</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Affiliates of certain of the underwriters are lenders under our revolving credit facility and will receive a pro rata portion of the net proceeds used to repay amounts outstanding under our revolving credit facility. Certain of the underwriters and their affiliates may be holders of 5.40% Notes due 2013. Such underwriters and their affiliates will receive a portion of the net proceeds from this offering to the extent they continue to hold 5.40% Notes due 2013 on any scheduled redemption date in relation thereto. Nonetheless, in accordance with Rule 5121 of the Financial Industry Regulatory Authority Inc., the appointment of a qualified independent underwriter is not necessary in connection with this offering because, as a REIT, we are excluded from that requirement.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commercial banking and other commercial dealings in the ordinary course of business with us or our affiliates.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addition, in the ordinary course of their business activities, certain of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Certain of the underwriters or their affiliates that have a lending relationship with us routinely hedge or may hedge their credit exposure to us consistent with their customary risk management policies. Typically, such underwriters and their affiliates would hedge such credit exposure by entering into transactions which consist of either the purchase of credit default swaps or the creation of short positions in our securities, including potentially the notes offered hereby. The underwriters or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Act, or to contribute to payments the underwriters may be required to make because of any of those liabilities.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360"/>
          </w:cols>
          <w:pgMar w:left="240" w:top="459" w:right="29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consolidated financial statements, schedules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96"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The legality of the notes offered by this prospectus supplement will be passed upon for us by Pillsbury Winthrop Shaw Pittman LLP, Washington, DC. In addition, the descriptions of material U.S. federal income tax considerations contained herein under “Additional Material U.S. Federal Income Tax Considerations” and in the accompanying prospectus under “Material Federal Income Tax Considerations” are, to the extent that they constitute matters of law, summaries of legal matters or legal conclusions, based upon the opinion of Pillsbury Winthrop Shaw Pittman LLP, Washington, DC. Sidley Austin </w:t>
      </w:r>
      <w:r>
        <w:rPr>
          <w:rFonts w:ascii="Arial" w:cs="Arial" w:eastAsia="Arial" w:hAnsi="Arial"/>
          <w:sz w:val="14"/>
          <w:szCs w:val="14"/>
          <w:color w:val="auto"/>
        </w:rPr>
        <w:t>LLP</w:t>
      </w:r>
      <w:r>
        <w:rPr>
          <w:rFonts w:ascii="Arial" w:cs="Arial" w:eastAsia="Arial" w:hAnsi="Arial"/>
          <w:sz w:val="18"/>
          <w:szCs w:val="18"/>
          <w:color w:val="auto"/>
        </w:rPr>
        <w:t>, New York, New York, will act as counsel to the underwriters.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90" w:lineRule="exact"/>
        <w:rPr>
          <w:sz w:val="20"/>
          <w:szCs w:val="20"/>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common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warrants to purchase our common or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applicable prospectus supplement will also contain information, where applicable, about certain United States federal income tax considerations relating to the securities covered by such prospectus supplement.</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94"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33">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3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right="72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133350</wp:posOffset>
            </wp:positionV>
            <wp:extent cx="151765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May 8, 2012.</w:t>
      </w:r>
    </w:p>
    <w:p>
      <w:pPr>
        <w:sectPr>
          <w:pgSz w:w="11900" w:h="16838" w:orient="portrait"/>
          <w:cols w:equalWidth="0" w:num="1">
            <w:col w:w="11360"/>
          </w:cols>
          <w:pgMar w:left="240" w:top="459" w:right="2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360" w:type="dxa"/>
            <w:vAlign w:val="bottom"/>
            <w:gridSpan w:val="2"/>
          </w:tcPr>
          <w:p>
            <w:pPr>
              <w:jc w:val="right"/>
              <w:ind w:right="4582"/>
              <w:spacing w:after="0"/>
              <w:rPr>
                <w:sz w:val="20"/>
                <w:szCs w:val="20"/>
                <w:color w:val="auto"/>
              </w:rPr>
            </w:pPr>
            <w:r>
              <w:rPr>
                <w:rFonts w:ascii="Arial" w:cs="Arial" w:eastAsia="Arial" w:hAnsi="Arial"/>
                <w:sz w:val="18"/>
                <w:szCs w:val="18"/>
                <w:b w:val="1"/>
                <w:bCs w:val="1"/>
                <w:color w:val="auto"/>
              </w:rPr>
              <w:t>TABLE OF CONTENTS</w:t>
            </w:r>
          </w:p>
        </w:tc>
        <w:tc>
          <w:tcPr>
            <w:tcW w:w="0" w:type="dxa"/>
            <w:vAlign w:val="bottom"/>
          </w:tcPr>
          <w:p>
            <w:pPr>
              <w:spacing w:after="0"/>
              <w:rPr>
                <w:sz w:val="1"/>
                <w:szCs w:val="1"/>
                <w:color w:val="auto"/>
              </w:rPr>
            </w:pPr>
          </w:p>
        </w:tc>
      </w:tr>
      <w:tr>
        <w:trPr>
          <w:trHeight w:val="353"/>
        </w:trPr>
        <w:tc>
          <w:tcPr>
            <w:tcW w:w="3960" w:type="dxa"/>
            <w:vAlign w:val="bottom"/>
            <w:gridSpan w:val="12"/>
            <w:vMerge w:val="restart"/>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About this Prospectus</w:t>
              </w:r>
            </w:hyperlink>
          </w:p>
        </w:tc>
        <w:tc>
          <w:tcPr>
            <w:tcW w:w="70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3960" w:type="dxa"/>
            <w:vAlign w:val="bottom"/>
            <w:gridSpan w:val="12"/>
            <w:vMerge w:val="continue"/>
          </w:tcPr>
          <w:p>
            <w:pPr>
              <w:spacing w:after="0"/>
              <w:rPr>
                <w:sz w:val="14"/>
                <w:szCs w:val="14"/>
                <w:color w:val="auto"/>
              </w:rPr>
            </w:pPr>
          </w:p>
        </w:tc>
        <w:tc>
          <w:tcPr>
            <w:tcW w:w="7080" w:type="dxa"/>
            <w:vAlign w:val="bottom"/>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Forward-Looking Statements</w:t>
              </w:r>
            </w:hyperlink>
          </w:p>
        </w:tc>
        <w:tc>
          <w:tcPr>
            <w:tcW w:w="1880" w:type="dxa"/>
            <w:vAlign w:val="bottom"/>
            <w:gridSpan w:val="5"/>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32">
              <w:r>
                <w:rPr>
                  <w:rFonts w:ascii="Arial" w:cs="Arial" w:eastAsia="Arial" w:hAnsi="Arial"/>
                  <w:sz w:val="18"/>
                  <w:szCs w:val="18"/>
                  <w:color w:val="0000EE"/>
                  <w:w w:val="87"/>
                </w:rPr>
                <w:t>Prospectus Summary</w:t>
              </w:r>
            </w:hyperlink>
          </w:p>
        </w:tc>
        <w:tc>
          <w:tcPr>
            <w:tcW w:w="2420" w:type="dxa"/>
            <w:vAlign w:val="bottom"/>
            <w:gridSpan w:val="6"/>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33">
              <w:r>
                <w:rPr>
                  <w:rFonts w:ascii="Arial" w:cs="Arial" w:eastAsia="Arial" w:hAnsi="Arial"/>
                  <w:sz w:val="18"/>
                  <w:szCs w:val="18"/>
                  <w:color w:val="0000EE"/>
                  <w:w w:val="87"/>
                </w:rPr>
                <w:t>Risk Factors</w:t>
              </w:r>
            </w:hyperlink>
          </w:p>
        </w:tc>
        <w:tc>
          <w:tcPr>
            <w:tcW w:w="3060" w:type="dxa"/>
            <w:vAlign w:val="bottom"/>
            <w:gridSpan w:val="10"/>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Use of Proceeds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34">
              <w:r>
                <w:rPr>
                  <w:rFonts w:ascii="Arial" w:cs="Arial" w:eastAsia="Arial" w:hAnsi="Arial"/>
                  <w:sz w:val="18"/>
                  <w:szCs w:val="18"/>
                  <w:color w:val="0000EE"/>
                  <w:w w:val="89"/>
                </w:rPr>
                <w:t>Description of Debt Securities</w:t>
              </w:r>
            </w:hyperlink>
          </w:p>
        </w:tc>
        <w:tc>
          <w:tcPr>
            <w:tcW w:w="1820" w:type="dxa"/>
            <w:vAlign w:val="bottom"/>
            <w:gridSpan w:val="4"/>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Description of Shares of Beneficial Interest</w:t>
              </w:r>
            </w:hyperlink>
          </w:p>
        </w:tc>
        <w:tc>
          <w:tcPr>
            <w:tcW w:w="900" w:type="dxa"/>
            <w:vAlign w:val="bottom"/>
            <w:gridSpan w:val="2"/>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Material Federal Income Tax Considerations</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314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Plan of Distribution</w:t>
              </w:r>
            </w:hyperlink>
          </w:p>
        </w:tc>
        <w:tc>
          <w:tcPr>
            <w:tcW w:w="820" w:type="dxa"/>
            <w:vAlign w:val="bottom"/>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Legal Matters</w:t>
              </w:r>
            </w:hyperlink>
          </w:p>
        </w:tc>
        <w:tc>
          <w:tcPr>
            <w:tcW w:w="2560" w:type="dxa"/>
            <w:vAlign w:val="bottom"/>
            <w:gridSpan w:val="7"/>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Experts</w:t>
              </w:r>
            </w:hyperlink>
          </w:p>
        </w:tc>
        <w:tc>
          <w:tcPr>
            <w:tcW w:w="2980" w:type="dxa"/>
            <w:vAlign w:val="bottom"/>
            <w:gridSpan w:val="9"/>
          </w:tcPr>
          <w:p>
            <w:pPr>
              <w:spacing w:after="0"/>
              <w:rPr>
                <w:sz w:val="17"/>
                <w:szCs w:val="17"/>
                <w:color w:val="auto"/>
              </w:rPr>
            </w:pPr>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7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gridSpan w:val="12"/>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Where You Can Find More Information</w:t>
              </w:r>
            </w:hyperlink>
          </w:p>
        </w:tc>
        <w:tc>
          <w:tcPr>
            <w:tcW w:w="7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or the SEC,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Before purchasing any securities, you should read both this prospectus and the applicable prospectus supplement and any applicable free writing prospectus, together with additional information described under the heading “Where You Can Find More Information.”</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of 1933, as amended, or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41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6465" cy="64185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right="120" w:firstLine="443"/>
        <w:spacing w:after="0" w:line="268" w:lineRule="auto"/>
        <w:rPr>
          <w:sz w:val="20"/>
          <w:szCs w:val="20"/>
          <w:color w:val="auto"/>
        </w:rPr>
      </w:pPr>
      <w:r>
        <w:rPr>
          <w:rFonts w:ascii="Arial" w:cs="Arial" w:eastAsia="Arial" w:hAnsi="Arial"/>
          <w:sz w:val="18"/>
          <w:szCs w:val="18"/>
          <w:i w:val="1"/>
          <w:iCs w:val="1"/>
          <w:color w:val="auto"/>
        </w:rPr>
        <w:t>The following summary is qualified in its entirety by the more detailed information and consolidated financial statements and notes thereto contained elsewhere in or incorporated by reference into this prospectus.</w:t>
      </w:r>
    </w:p>
    <w:p>
      <w:pPr>
        <w:spacing w:after="0" w:line="28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left="200" w:right="40" w:firstLine="443"/>
        <w:spacing w:after="0" w:line="289" w:lineRule="auto"/>
        <w:rPr>
          <w:sz w:val="20"/>
          <w:szCs w:val="20"/>
          <w:color w:val="auto"/>
        </w:rPr>
      </w:pPr>
      <w:r>
        <w:rPr>
          <w:rFonts w:ascii="Arial" w:cs="Arial" w:eastAsia="Arial" w:hAnsi="Arial"/>
          <w:sz w:val="16"/>
          <w:szCs w:val="16"/>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2012, we owned or had a majority interest in community and neighborhood shopping centers and mixed-use properties which are operated as 87 predominantly retail real estate projects comprising approximately 19.2 million square feet. In total, the real estate projects were 93.8% leased and 92.6% occupied at March 31, 2012. A joint venture in which we own a 30% interest owned seven retail real estate projects totaling approximately 1.0 million square feet as of March 31, 2012. In total, the joint venture properties in which we own a 30% interest were 87.8% leased and occupied at March 31, 2012. We have paid quarterly dividends to our shareholders continuously since our founding in 1962 and have increased our dividends per common share for 44 consecutive years.</w:t>
      </w:r>
    </w:p>
    <w:p>
      <w:pPr>
        <w:spacing w:after="0" w:line="11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operate in a manner intended to enable us to qualify as a REIT pursuant to provisions of the Internal Revenue Code of 1986, as amended, or the</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Code.</w:t>
      </w:r>
    </w:p>
    <w:p>
      <w:pPr>
        <w:spacing w:after="0" w:line="165" w:lineRule="exact"/>
        <w:rPr>
          <w:sz w:val="20"/>
          <w:szCs w:val="20"/>
          <w:color w:val="auto"/>
        </w:rPr>
      </w:pPr>
    </w:p>
    <w:p>
      <w:pPr>
        <w:ind w:left="200" w:right="60" w:firstLine="443"/>
        <w:spacing w:after="0" w:line="256" w:lineRule="auto"/>
        <w:rPr>
          <w:sz w:val="20"/>
          <w:szCs w:val="20"/>
          <w:color w:val="auto"/>
        </w:rPr>
      </w:pPr>
      <w:r>
        <w:rPr>
          <w:rFonts w:ascii="Arial" w:cs="Arial" w:eastAsia="Arial" w:hAnsi="Arial"/>
          <w:sz w:val="18"/>
          <w:szCs w:val="18"/>
          <w:color w:val="auto"/>
        </w:rPr>
        <w:t xml:space="preserve">We were founded in 1962 as a REIT under the laws of the District of Columbia and re-formed as a real estate investment trust in the state of Maryland in 1999. Our principal executive offices are located at 1626 East Jefferson Street, Rockville, Maryland 20852. Our telephone number is (301) 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299"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Ratios of Earnings to Combined Fixed Charges and Preferred Share Dividends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ratios of earnings to fixed charges and preferred share dividends for the periods indicated:</w:t>
      </w:r>
    </w:p>
    <w:p>
      <w:pPr>
        <w:spacing w:after="0" w:line="19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8"/>
              </w:rPr>
              <w:t>For the Three Months</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900" w:type="dxa"/>
            <w:vAlign w:val="bottom"/>
          </w:tcPr>
          <w:p>
            <w:pPr>
              <w:spacing w:after="0"/>
              <w:rPr>
                <w:sz w:val="14"/>
                <w:szCs w:val="14"/>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Ended March 31,</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4"/>
              </w:rPr>
              <w:t>For the Years Ended December 31,</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280" w:type="dxa"/>
            <w:vAlign w:val="bottom"/>
            <w:tcBorders>
              <w:top w:val="single" w:sz="8" w:color="auto"/>
            </w:tcBorders>
          </w:tcPr>
          <w:p>
            <w:pPr>
              <w:jc w:val="right"/>
              <w:ind w:right="424"/>
              <w:spacing w:after="0" w:line="142" w:lineRule="exact"/>
              <w:rPr>
                <w:sz w:val="20"/>
                <w:szCs w:val="20"/>
                <w:color w:val="auto"/>
              </w:rPr>
            </w:pPr>
            <w:r>
              <w:rPr>
                <w:rFonts w:ascii="Arial" w:cs="Arial" w:eastAsia="Arial" w:hAnsi="Arial"/>
                <w:sz w:val="14"/>
                <w:szCs w:val="14"/>
                <w:b w:val="1"/>
                <w:bCs w:val="1"/>
                <w:color w:val="auto"/>
              </w:rPr>
              <w:t>2012</w:t>
            </w:r>
          </w:p>
        </w:tc>
        <w:tc>
          <w:tcPr>
            <w:tcW w:w="480" w:type="dxa"/>
            <w:vAlign w:val="bottom"/>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1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2"/>
                <w:szCs w:val="12"/>
                <w:color w:val="auto"/>
              </w:rPr>
            </w:pPr>
          </w:p>
        </w:tc>
      </w:tr>
      <w:tr>
        <w:trPr>
          <w:trHeight w:val="210"/>
        </w:trPr>
        <w:tc>
          <w:tcPr>
            <w:tcW w:w="59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900" w:type="dxa"/>
            <w:vAlign w:val="bottom"/>
          </w:tcPr>
          <w:p>
            <w:pPr>
              <w:spacing w:after="0"/>
              <w:rPr>
                <w:sz w:val="20"/>
                <w:szCs w:val="20"/>
                <w:color w:val="auto"/>
              </w:rPr>
            </w:pPr>
            <w:r>
              <w:rPr>
                <w:rFonts w:ascii="Arial" w:cs="Arial" w:eastAsia="Arial" w:hAnsi="Arial"/>
                <w:sz w:val="18"/>
                <w:szCs w:val="18"/>
                <w:color w:val="auto"/>
                <w:w w:val="98"/>
              </w:rPr>
              <w:t>Ratio of earnings to combined fixed charges and preferred share dividends</w:t>
            </w: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1.9</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2.1</w:t>
            </w:r>
          </w:p>
        </w:tc>
        <w:tc>
          <w:tcPr>
            <w:tcW w:w="1040" w:type="dxa"/>
            <w:vAlign w:val="bottom"/>
            <w:gridSpan w:val="3"/>
          </w:tcPr>
          <w:p>
            <w:pPr>
              <w:jc w:val="right"/>
              <w:ind w:right="460"/>
              <w:spacing w:after="0"/>
              <w:rPr>
                <w:sz w:val="20"/>
                <w:szCs w:val="20"/>
                <w:color w:val="auto"/>
              </w:rPr>
            </w:pPr>
            <w:r>
              <w:rPr>
                <w:rFonts w:ascii="Arial" w:cs="Arial" w:eastAsia="Arial" w:hAnsi="Arial"/>
                <w:sz w:val="18"/>
                <w:szCs w:val="18"/>
                <w:color w:val="auto"/>
              </w:rPr>
              <w:t>2.0</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1.8</w:t>
            </w:r>
          </w:p>
        </w:tc>
        <w:tc>
          <w:tcPr>
            <w:tcW w:w="7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bl>
    <w:p>
      <w:pPr>
        <w:spacing w:after="0" w:line="14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w:t>
      </w:r>
    </w:p>
    <w:p>
      <w:pPr>
        <w:spacing w:after="0" w:line="38" w:lineRule="exact"/>
        <w:rPr>
          <w:sz w:val="20"/>
          <w:szCs w:val="20"/>
          <w:color w:val="auto"/>
        </w:rPr>
      </w:pPr>
    </w:p>
    <w:p>
      <w:pPr>
        <w:ind w:left="200" w:right="120" w:hanging="3"/>
        <w:spacing w:after="0" w:line="254" w:lineRule="auto"/>
        <w:tabs>
          <w:tab w:leader="none" w:pos="4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earnings consist of income from continuing operations before income or loss from equity investees plus distributed income of equity investees and fixed charges (excluding capitalized interest) less noncontrolling interests of subsidiaries with no fixed charges; and (b) fixed charges consist of interest expense including amortization of debt premiums and discounts and issuance costs (including capitalized interest) and the estimated portion of rents payable by us representing interest.</w:t>
      </w:r>
    </w:p>
    <w:p>
      <w:pPr>
        <w:spacing w:after="0" w:line="144" w:lineRule="exact"/>
        <w:rPr>
          <w:sz w:val="20"/>
          <w:szCs w:val="20"/>
          <w:color w:val="auto"/>
        </w:rPr>
      </w:pPr>
    </w:p>
    <w:p>
      <w:pPr>
        <w:ind w:left="200" w:right="180" w:firstLine="443"/>
        <w:spacing w:after="0" w:line="302" w:lineRule="auto"/>
        <w:rPr>
          <w:sz w:val="20"/>
          <w:szCs w:val="20"/>
          <w:color w:val="auto"/>
        </w:rPr>
      </w:pPr>
      <w:r>
        <w:rPr>
          <w:rFonts w:ascii="Arial" w:cs="Arial" w:eastAsia="Arial" w:hAnsi="Arial"/>
          <w:sz w:val="15"/>
          <w:szCs w:val="15"/>
          <w:color w:val="auto"/>
        </w:rPr>
        <w:t>The ratio of earnings to combined fixed charges and preferred share dividends is computed by dividing earnings by the total of fixed charges and preferred share dividends. In computing the ratio of earnings to combined fixed charges and preferred share dividends: (a) earnings consist of income from continuing operations before income or loss from equity investees plus distributed income of equity investees and fixed charges (excluding capitalized interest) less noncontrolling interests of subsidiaries with no fixed charges; (b) fixed charges consist of interest expense including amortization of debt premiums and discounts and issuance costs (including capitalized interest) and the estimated portion of rents payable by us representing interest; and</w:t>
      </w:r>
    </w:p>
    <w:p>
      <w:pPr>
        <w:spacing w:after="0" w:line="2" w:lineRule="exact"/>
        <w:rPr>
          <w:sz w:val="20"/>
          <w:szCs w:val="20"/>
          <w:color w:val="auto"/>
        </w:rPr>
      </w:pPr>
    </w:p>
    <w:p>
      <w:pPr>
        <w:ind w:left="5680" w:right="3800" w:hanging="5483"/>
        <w:spacing w:after="0" w:line="809" w:lineRule="auto"/>
        <w:tabs>
          <w:tab w:leader="none" w:pos="446"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preferred share dividends consist of preferred share dividends and preferred share redemption costs. 2</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2011,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funding our development and redevelopment pipeline;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Any debt securities we offer through this prospectus will be issued under one or more indentures, including the senior indenture between us and U.S. Bank National Association, successor to Wachovia Bank National Association, formerly First Union National Bank, as trustee. We have filed with the SEC the senior indenture that is an exhibit to the registration statement that includes this prospectus. The senior indenture describes the general terms of senior debt securities we may issue. The general terms of any subordinated debt securities that we may issue will be included in a subordinated indenture, which will also include additional terms describing the subordination provisions of these securities. The senior indenture is subject to the Trust Indenture Act of 1939, as amended.</w:t>
      </w:r>
    </w:p>
    <w:p>
      <w:pPr>
        <w:spacing w:after="0" w:line="10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Unless we say otherwise in a prospectus supplement, each indenture does not or will not include all the terms of debt securities we may issue through this prospectus. If we issue debt securities through this prospectus, our Board of Trustees, or any committee thereof, will establish the additional terms for each series of debt securities. The additional terms will be either established pursuant to, and set forth in, a supplemental indenture, or established pursuant to a resolution of our Board of Trustees, or any committee thereof, and set forth in an officer’s certificate. Each indenture describes or will describe the additional terms that may be established and we summarize the additional terms that may be established under “— Additional Terms of Debt Securities,” below.</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We have summarized the provisions of the senior indenture and any subordinated indenture that we may enter into below. The summary is not complete. You should read the senior indenture and any other indenture that we may enter into for provisions that may be important to you. The extent, if any, to which the provisions of the base senior indenture or any other base indenture that we may enter into apply to particular debt securities will be described in the prospectus supplement relating to those securities. You should read the prospectus supplement for more information regarding any particular issuance of debt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As described above, the terms of a particular series of debt securities we offer through this prospectus will be established by our Board of Trustees, or any committee thereof, when we issue the series. We will describe the terms of the series in a prospectus supplement. Unless we say otherwise in a prospectus supplement, each indenture provides or will provide that the terms that may be established include the following:</w:t>
      </w:r>
    </w:p>
    <w:p>
      <w:pPr>
        <w:spacing w:after="0" w:line="26" w:lineRule="exact"/>
        <w:rPr>
          <w:sz w:val="20"/>
          <w:szCs w:val="20"/>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5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Interest Payment Dates. </w:t>
      </w:r>
      <w:r>
        <w:rPr>
          <w:rFonts w:ascii="Arial" w:cs="Arial" w:eastAsia="Arial" w:hAnsi="Arial"/>
          <w:sz w:val="16"/>
          <w:szCs w:val="16"/>
          <w:color w:val="auto"/>
        </w:rPr>
        <w:t>The date or dates on which interest will be payable and the record date or dates to determine the persons who will receive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and the basis upon which interest shall be calculated if other than that of a 360-day year of twelve 30-day months.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900" w:right="140" w:hanging="446"/>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900" w:right="160" w:hanging="446"/>
        <w:spacing w:after="0" w:line="298"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900" w:hanging="446"/>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900" w:hanging="446"/>
        <w:spacing w:after="0" w:line="256"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13" w:lineRule="exact"/>
        <w:rPr>
          <w:rFonts w:ascii="Arial" w:cs="Arial" w:eastAsia="Arial" w:hAnsi="Arial"/>
          <w:sz w:val="16"/>
          <w:szCs w:val="16"/>
          <w:color w:val="auto"/>
        </w:rPr>
      </w:pPr>
    </w:p>
    <w:p>
      <w:pPr>
        <w:ind w:left="900" w:right="1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installment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900" w:right="6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900" w:right="54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900" w:right="36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any subordinated indenture that we may enter into, the relative degree to which the offered debt securities shall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to or junior to other 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900" w:right="440" w:hanging="446"/>
        <w:spacing w:after="0" w:line="332"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900" w:right="140" w:hanging="446"/>
        <w:spacing w:after="0" w:line="306"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Conversion. </w:t>
      </w:r>
      <w:r>
        <w:rPr>
          <w:rFonts w:ascii="Arial" w:cs="Arial" w:eastAsia="Arial" w:hAnsi="Arial"/>
          <w:sz w:val="16"/>
          <w:szCs w:val="16"/>
          <w:color w:val="auto"/>
        </w:rPr>
        <w:t>The terms, if any, upon which the offered debt securities may be converted or exchanged into or for our common shares,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or other securities or property, including, without limitation, the initial conversion price or rate, the conversion period, any adjustment of the applicable conversion price and any requirements relative to the reservation of such shares for purposes of conversion.</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900" w:right="62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50" w:lineRule="exact"/>
        <w:rPr>
          <w:rFonts w:ascii="Arial" w:cs="Arial" w:eastAsia="Arial" w:hAnsi="Arial"/>
          <w:sz w:val="18"/>
          <w:szCs w:val="18"/>
          <w:color w:val="auto"/>
        </w:rPr>
      </w:pPr>
    </w:p>
    <w:p>
      <w:pPr>
        <w:ind w:left="900" w:right="20" w:hanging="446"/>
        <w:spacing w:after="0" w:line="306"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considerations relating to the offered debt securities in a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other currency may be a currency unit composed of various currencies. Payments on debt securities may also be based on an index.</w:t>
      </w:r>
    </w:p>
    <w:p>
      <w:pPr>
        <w:spacing w:after="0" w:line="171"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Payment, Transfer and Exchange. </w:t>
      </w:r>
      <w:r>
        <w:rPr>
          <w:rFonts w:ascii="Arial" w:cs="Arial" w:eastAsia="Arial" w:hAnsi="Arial"/>
          <w:sz w:val="16"/>
          <w:szCs w:val="16"/>
          <w:color w:val="auto"/>
        </w:rPr>
        <w:t>Unless we say otherwise in a prospectus supplement, the office for paying principal, interest and other amounts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is U.S. Bank National Association, 214 North Tryon Street, 27</w:t>
      </w:r>
      <w:r>
        <w:rPr>
          <w:rFonts w:ascii="Arial" w:cs="Arial" w:eastAsia="Arial" w:hAnsi="Arial"/>
          <w:sz w:val="10"/>
          <w:szCs w:val="10"/>
          <w:color w:val="auto"/>
        </w:rPr>
        <w:t>th</w:t>
      </w:r>
      <w:r>
        <w:rPr>
          <w:rFonts w:ascii="Arial" w:cs="Arial" w:eastAsia="Arial" w:hAnsi="Arial"/>
          <w:sz w:val="16"/>
          <w:szCs w:val="16"/>
          <w:color w:val="auto"/>
        </w:rPr>
        <w:t xml:space="preserve"> Floor, Charlotte, North Carolina 28202. We will notify you of any change in the office’s location. At our option, however, we may make any interest payments on debt securities issued in registered form by:</w:t>
      </w:r>
    </w:p>
    <w:p>
      <w:pPr>
        <w:spacing w:after="0" w:line="26"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mailing checks to you at the address as it appears in the applicable register for the series of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maintain located in the United States.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payment of interest on bearer securities may be made by transfer to an account you maintain with a bank located outside the United States.</w:t>
      </w:r>
    </w:p>
    <w:p>
      <w:pPr>
        <w:spacing w:after="0" w:line="132"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office or agency that we designate. You may transfer or exchange debt securities without service charge, although we may require you to pay any related tax or other governmental charge.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each indenture contains or will contain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9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ind w:left="900" w:right="20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may consolidate with, or sell, lease or convey all or substantially all of our assets, or merge with or into any other corporation, association, partnership, company or business trust, each of which we refer to herein as an entity, provided that we satisfy all of the following conditions:</w:t>
      </w:r>
    </w:p>
    <w:p>
      <w:pPr>
        <w:spacing w:after="0" w:line="4"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we must be the continuing entity, or</w:t>
      </w:r>
    </w:p>
    <w:p>
      <w:pPr>
        <w:spacing w:after="0" w:line="90" w:lineRule="exact"/>
        <w:rPr>
          <w:rFonts w:ascii="Arial" w:cs="Arial" w:eastAsia="Arial" w:hAnsi="Arial"/>
          <w:sz w:val="18"/>
          <w:szCs w:val="18"/>
          <w:color w:val="auto"/>
        </w:rPr>
      </w:pPr>
    </w:p>
    <w:p>
      <w:pPr>
        <w:ind w:left="1460" w:right="380" w:hanging="547"/>
        <w:spacing w:after="0" w:line="259"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59"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transactions, no default or event of default under the debt securities shall have occurred and be continuing; and</w:t>
      </w:r>
    </w:p>
    <w:p>
      <w:pPr>
        <w:spacing w:after="0" w:line="50" w:lineRule="exact"/>
        <w:rPr>
          <w:rFonts w:ascii="Arial" w:cs="Arial" w:eastAsia="Arial" w:hAnsi="Arial"/>
          <w:sz w:val="18"/>
          <w:szCs w:val="18"/>
          <w:color w:val="auto"/>
        </w:rPr>
      </w:pPr>
    </w:p>
    <w:p>
      <w:pPr>
        <w:ind w:left="900" w:right="80" w:hanging="446"/>
        <w:spacing w:after="0" w:line="256"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100" w:firstLine="456"/>
        <w:spacing w:after="0" w:line="357" w:lineRule="auto"/>
        <w:rPr>
          <w:sz w:val="20"/>
          <w:szCs w:val="20"/>
          <w:color w:val="auto"/>
        </w:rPr>
      </w:pPr>
      <w:r>
        <w:rPr>
          <w:rFonts w:ascii="Arial" w:cs="Arial" w:eastAsia="Arial" w:hAnsi="Arial"/>
          <w:sz w:val="15"/>
          <w:szCs w:val="15"/>
          <w:color w:val="auto"/>
        </w:rPr>
        <w:t>Unless we say otherwise in a prospectus supplement, senior debt will be defined as the principal of and interest on, or substantially similar payments to be made by us in respect of, the following, whether outstanding at the date of execution of any subordinated indenture or thereafter incurred, created or assumed:</w:t>
      </w: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60" w:hanging="446"/>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jc w:val="both"/>
        <w:ind w:left="1460" w:right="60" w:hanging="547"/>
        <w:spacing w:after="0" w:line="306" w:lineRule="auto"/>
        <w:tabs>
          <w:tab w:leader="none" w:pos="14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1460" w:right="320" w:hanging="547"/>
        <w:spacing w:after="0" w:line="268"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there will be no restrictions in any subordinated indenture upon the creation of additional senior debt.</w:t>
      </w:r>
    </w:p>
    <w:p>
      <w:pPr>
        <w:spacing w:after="0" w:line="20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may resume payments on our subordinated debt securities, and make any payments we have missed, upon the earliest of:</w:t>
      </w:r>
    </w:p>
    <w:p>
      <w:pPr>
        <w:spacing w:after="0" w:line="59" w:lineRule="exact"/>
        <w:rPr>
          <w:sz w:val="20"/>
          <w:szCs w:val="20"/>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68"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20" w:firstLine="443"/>
        <w:spacing w:after="0" w:line="268" w:lineRule="auto"/>
        <w:tabs>
          <w:tab w:leader="none" w:pos="10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payment of any interest or any additional amounts on any debt security of that series or of any coupon appertaining thereto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0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064"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by us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by us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080" w:hanging="177"/>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or</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43"/>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80" w:hanging="177"/>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w:t>
      </w:r>
    </w:p>
    <w:p>
      <w:pPr>
        <w:spacing w:after="0" w:line="90" w:lineRule="exact"/>
        <w:rPr>
          <w:rFonts w:ascii="Arial" w:cs="Arial" w:eastAsia="Arial" w:hAnsi="Arial"/>
          <w:sz w:val="18"/>
          <w:szCs w:val="18"/>
          <w:color w:val="auto"/>
        </w:rPr>
      </w:pPr>
    </w:p>
    <w:p>
      <w:pPr>
        <w:ind w:left="920" w:right="20" w:firstLine="421"/>
        <w:spacing w:after="0" w:line="268" w:lineRule="auto"/>
        <w:tabs>
          <w:tab w:leader="none" w:pos="1588"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 to the entry of a decree or order for relief in respect of us or any of our significant subsidiaries in an involuntary case or proceeding under any applicable bankruptcy law;</w:t>
      </w:r>
    </w:p>
    <w:p>
      <w:pPr>
        <w:spacing w:after="0" w:line="50" w:lineRule="exact"/>
        <w:rPr>
          <w:rFonts w:ascii="Arial" w:cs="Arial" w:eastAsia="Arial" w:hAnsi="Arial"/>
          <w:sz w:val="18"/>
          <w:szCs w:val="18"/>
          <w:color w:val="auto"/>
        </w:rPr>
      </w:pPr>
    </w:p>
    <w:p>
      <w:pPr>
        <w:ind w:left="920" w:right="600" w:firstLine="421"/>
        <w:spacing w:after="0" w:line="268" w:lineRule="auto"/>
        <w:tabs>
          <w:tab w:leader="none" w:pos="1579" w:val="left"/>
        </w:tabs>
        <w:numPr>
          <w:ilvl w:val="1"/>
          <w:numId w:val="44"/>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44"/>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or will provide that if an event of default occurs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continues, 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1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Waiver of Acceleration. </w:t>
      </w:r>
      <w:r>
        <w:rPr>
          <w:rFonts w:ascii="Arial" w:cs="Arial" w:eastAsia="Arial" w:hAnsi="Arial"/>
          <w:sz w:val="16"/>
          <w:szCs w:val="16"/>
          <w:color w:val="auto"/>
        </w:rPr>
        <w:t>Unless we say otherwise in a prospectus supplement, each indenture provides or will provide that, after a declaration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acceleration, but 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26"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overdue interest and any additional amounts payable on all outstanding debt securities of the applicable series and any related coupons,</w:t>
      </w:r>
    </w:p>
    <w:p>
      <w:pPr>
        <w:spacing w:after="0" w:line="113" w:lineRule="exact"/>
        <w:rPr>
          <w:rFonts w:ascii="Arial" w:cs="Arial" w:eastAsia="Arial" w:hAnsi="Arial"/>
          <w:sz w:val="16"/>
          <w:szCs w:val="16"/>
          <w:color w:val="auto"/>
        </w:rPr>
      </w:pPr>
    </w:p>
    <w:p>
      <w:pPr>
        <w:ind w:left="1460" w:right="40" w:hanging="547"/>
        <w:spacing w:after="0" w:line="268" w:lineRule="auto"/>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46"/>
        </w:numPr>
        <w:rPr>
          <w:rFonts w:ascii="Arial" w:cs="Arial" w:eastAsia="Arial" w:hAnsi="Arial"/>
          <w:sz w:val="16"/>
          <w:szCs w:val="16"/>
          <w:color w:val="auto"/>
        </w:rPr>
      </w:pPr>
      <w:r>
        <w:rPr>
          <w:rFonts w:ascii="Arial" w:cs="Arial" w:eastAsia="Arial" w:hAnsi="Arial"/>
          <w:sz w:val="16"/>
          <w:szCs w:val="16"/>
          <w:color w:val="auto"/>
        </w:rPr>
        <w:t>to the extent that payment of such interest is lawful, interest upon overdue interest at the rate borne by the debt securities, and</w:t>
      </w:r>
    </w:p>
    <w:p>
      <w:pPr>
        <w:spacing w:after="0" w:line="113" w:lineRule="exact"/>
        <w:rPr>
          <w:rFonts w:ascii="Arial" w:cs="Arial" w:eastAsia="Arial" w:hAnsi="Arial"/>
          <w:sz w:val="16"/>
          <w:szCs w:val="16"/>
          <w:color w:val="auto"/>
        </w:rPr>
      </w:pPr>
    </w:p>
    <w:p>
      <w:pPr>
        <w:ind w:left="1460" w:right="100" w:hanging="547"/>
        <w:spacing w:after="0" w:line="268" w:lineRule="auto"/>
        <w:tabs>
          <w:tab w:leader="none" w:pos="14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certificate of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however, that the trustee may withhold notice to the holders of any series of debt securities of any default with respect to such series (except a default in the payment of the principal of, and premium, if any, or interest on or any additional amounts with respect to any debt security of such series or in the payment of any sinking fund installment in respect of any debt security of such series) if the trustee considers such withholding to be in the interest of the holders.</w:t>
      </w:r>
    </w:p>
    <w:p>
      <w:pPr>
        <w:spacing w:after="0" w:line="107"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b w:val="1"/>
          <w:bCs w:val="1"/>
          <w:i w:val="1"/>
          <w:iCs w:val="1"/>
          <w:color w:val="auto"/>
        </w:rPr>
        <w:t xml:space="preserve">Limitation on Suits. </w:t>
      </w:r>
      <w:r>
        <w:rPr>
          <w:rFonts w:ascii="Arial" w:cs="Arial" w:eastAsia="Arial" w:hAnsi="Arial"/>
          <w:sz w:val="15"/>
          <w:szCs w:val="15"/>
          <w:color w:val="auto"/>
        </w:rPr>
        <w:t>Unless we say otherwise in a prospectus supplement, each indenture provides or will provide that no holders of debt securities of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may institute any proceedings, judicial or otherwise, with respect to the indenture or for any remedy thereunder unless the trustee has failed to act for a period of 60 days after it has received a written request to institute proceedings in respect of an event of default from the holders of not less than 25% in aggregate principal amount of the debt securities of the applicable series outstanding together with an offer of indemnity from such holders that is reasonably satisfactory to the trustee and the trustee has received no direction inconsistent with such written request during such 60-day period from the holders of a majority in aggregate principal amount of the debt securities of the applicable series outstanding.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05" w:lineRule="exact"/>
        <w:rPr>
          <w:sz w:val="20"/>
          <w:szCs w:val="20"/>
          <w:color w:val="auto"/>
        </w:rPr>
      </w:pPr>
    </w:p>
    <w:p>
      <w:pPr>
        <w:ind w:right="4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jc w:val="both"/>
        <w:ind w:right="28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900" w:right="240" w:hanging="446"/>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900" w:right="200" w:hanging="446"/>
        <w:spacing w:after="0" w:line="332"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900" w:hanging="446"/>
        <w:spacing w:after="0"/>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900" w:right="100"/>
        <w:spacing w:after="0" w:line="292" w:lineRule="auto"/>
        <w:rPr>
          <w:rFonts w:ascii="Arial" w:cs="Arial" w:eastAsia="Arial" w:hAnsi="Arial"/>
          <w:sz w:val="16"/>
          <w:szCs w:val="16"/>
          <w:color w:val="auto"/>
        </w:rPr>
      </w:pPr>
      <w:r>
        <w:rPr>
          <w:rFonts w:ascii="Arial" w:cs="Arial" w:eastAsia="Arial" w:hAnsi="Arial"/>
          <w:sz w:val="16"/>
          <w:szCs w:val="16"/>
          <w:color w:val="auto"/>
        </w:rPr>
        <w:t>(i) currency, currencies or currency units in which those debt securities are then specified as payable at maturity, (ii) government obligations (as defined in the applicable indenture) or (iii) any combination thereof, as will be sufficient, without consideration of reinvestment of principal and interest,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35" w:lineRule="exact"/>
        <w:rPr>
          <w:rFonts w:ascii="Arial" w:cs="Arial" w:eastAsia="Arial" w:hAnsi="Arial"/>
          <w:sz w:val="16"/>
          <w:szCs w:val="16"/>
          <w:color w:val="auto"/>
        </w:rPr>
      </w:pPr>
    </w:p>
    <w:p>
      <w:pPr>
        <w:ind w:left="900" w:hanging="446"/>
        <w:spacing w:after="0"/>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sz w:val="20"/>
          <w:szCs w:val="20"/>
          <w:color w:val="auto"/>
        </w:rPr>
      </w:pPr>
    </w:p>
    <w:p>
      <w:pPr>
        <w:ind w:left="1460" w:hanging="547"/>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since the date of execution of the indenture, there has been a change in the applicable federal income tax law,</w:t>
      </w:r>
    </w:p>
    <w:p>
      <w:pPr>
        <w:spacing w:after="0" w:line="90" w:lineRule="exact"/>
        <w:rPr>
          <w:sz w:val="20"/>
          <w:szCs w:val="20"/>
          <w:color w:val="auto"/>
        </w:rPr>
      </w:pPr>
    </w:p>
    <w:p>
      <w:pPr>
        <w:ind w:left="920" w:right="6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900" w:right="140" w:hanging="446"/>
        <w:spacing w:after="0" w:line="256"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default, event of default or event which with notice or lapse of time or both would become an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59"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900" w:right="260" w:hanging="446"/>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registrations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 the consent of the holders of a majority in aggregate principal amount of the outstanding debt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5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 or change any obligation of ours to pay additional amounts under the indenture, except as contemplated in the indenture, or reduce the amount of the principal of an original issue discount security that would be due and payable upon a declaration of acceleration of the maturity thereof or the amount thereof provable in bankruptcy;</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adversely affect any right of repayment at the option of the holder of any series of outstanding debt security;</w:t>
      </w:r>
    </w:p>
    <w:p>
      <w:pPr>
        <w:spacing w:after="0" w:line="9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change the place of repayment where, or the currency, currency unit or composite currency in which, the principal or premium, if any, of any debt security or the interest thereon is payable;</w:t>
      </w:r>
    </w:p>
    <w:p>
      <w:pPr>
        <w:spacing w:after="0" w:line="5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900" w:right="100" w:hanging="446"/>
        <w:spacing w:after="0" w:line="259"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 reduce the requirements for quorum or voting as provided in the indenture; or</w:t>
      </w:r>
    </w:p>
    <w:p>
      <w:pPr>
        <w:spacing w:after="0" w:line="59" w:lineRule="exact"/>
        <w:rPr>
          <w:rFonts w:ascii="Arial" w:cs="Arial" w:eastAsia="Arial" w:hAnsi="Arial"/>
          <w:sz w:val="18"/>
          <w:szCs w:val="18"/>
          <w:color w:val="auto"/>
        </w:rPr>
      </w:pPr>
    </w:p>
    <w:p>
      <w:pPr>
        <w:ind w:left="900" w:right="40" w:hanging="446"/>
        <w:spacing w:after="0" w:line="256"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900" w:right="30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900" w:hanging="446"/>
        <w:spacing w:after="0" w:line="255"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 provided that any such action shall not adversely affect the interests of the holders of any series of outstanding debt securities in any material respect;</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20" w:hanging="446"/>
        <w:spacing w:after="0" w:line="256"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900" w:hanging="446"/>
        <w:spacing w:after="0"/>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40"/>
          </w:cols>
          <w:pgMar w:left="240" w:top="459" w:right="3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Maryland REIT. Your rights as a shareholder are governed by the Code of Maryland, including Title 8 of the Corporations and Associations Article, or Maryland REIT Law, our declaration of trust, our bylaws and the articles supplementary with respect to our Series 1 preferred shares. The following summary of the material terms, rights and preferences of the shares of beneficial interest is not complete and is subject to and qualified in its entirety by reference to the laws of the State of Maryland, including Maryland REIT law, our declaration of trust, bylaws and the articles supplementary with respect to our Series 1 preferred shares.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jc w:val="both"/>
        <w:ind w:right="400" w:firstLine="456"/>
        <w:spacing w:after="0" w:line="335" w:lineRule="auto"/>
        <w:rPr>
          <w:sz w:val="20"/>
          <w:szCs w:val="20"/>
          <w:color w:val="auto"/>
        </w:rPr>
      </w:pPr>
      <w:r>
        <w:rPr>
          <w:rFonts w:ascii="Arial" w:cs="Arial" w:eastAsia="Arial" w:hAnsi="Arial"/>
          <w:sz w:val="15"/>
          <w:szCs w:val="15"/>
          <w:color w:val="auto"/>
        </w:rPr>
        <w:t>Our declaration of trust allows us to issue up to 100,000,000 common shares of beneficial interest, par value $.01 per share, and 15,000,000 preferred shares of beneficial interest, par value $.01 per share. As of May 4, 2012, we had issued and outstanding 63,914,475 common shares, and 399,896 preferred shares, which are designated as 5.417% Series 1 Cumulative Convertible Preferred Shares, which we refer to as the Series 1 preferred shares.</w:t>
      </w:r>
    </w:p>
    <w:p>
      <w:pPr>
        <w:spacing w:after="0" w:line="8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900" w:right="540" w:hanging="446"/>
        <w:spacing w:after="0" w:line="268"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classify or reclassify any authorized but unissued common shares or preferred shares into one or more classes or series of shares of beneficial interest;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1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1 preferred shares and any other shares of beneficial interest having a priority over our common shares in the event of our liquidation, dissolution or winding up. As noted above under</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60"/>
          </w:cols>
          <w:pgMar w:left="240" w:top="459" w:right="2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 Authorized Shares,” our outstanding Series 1 preferred shares rank prior to our common shares with respect to the payment of dividends and as to the distribution of assets in the event of our liquidation, dissolution or winding up.</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The holders of the remaining shares will not be able to elect any trustees.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181" w:lineRule="exact"/>
        <w:rPr>
          <w:sz w:val="20"/>
          <w:szCs w:val="20"/>
          <w:color w:val="auto"/>
        </w:rPr>
      </w:pPr>
    </w:p>
    <w:p>
      <w:pPr>
        <w:ind w:left="900" w:right="20" w:hanging="446"/>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 provided, however, that if any trustee does not receive a majority of all the votes cast where the number of nominees is the same as the number of trustees to be elected, such trustee shall tender his or her resignation within five business days after certification of the vote and such resignation shall be acted upon by our Board of Trustees within sixty days of such certification;</w:t>
      </w:r>
    </w:p>
    <w:p>
      <w:pPr>
        <w:spacing w:after="0" w:line="62" w:lineRule="exact"/>
        <w:rPr>
          <w:rFonts w:ascii="Arial" w:cs="Arial" w:eastAsia="Arial" w:hAnsi="Arial"/>
          <w:sz w:val="18"/>
          <w:szCs w:val="18"/>
          <w:color w:val="auto"/>
        </w:rPr>
      </w:pPr>
    </w:p>
    <w:p>
      <w:pPr>
        <w:ind w:left="900" w:right="180" w:hanging="446"/>
        <w:spacing w:after="0" w:line="256"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900" w:right="60" w:hanging="446"/>
        <w:spacing w:after="0" w:line="306" w:lineRule="auto"/>
        <w:tabs>
          <w:tab w:leader="none" w:pos="90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900" w:right="260" w:hanging="446"/>
        <w:spacing w:after="0" w:line="268" w:lineRule="auto"/>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after approval by a majority of the entire Board of Trustees, the affirmative vote of two-thirds of all the votes entitled to be cast on the matter);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0" w:hanging="446"/>
        <w:spacing w:after="0" w:line="268"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declaration of trust permits the Board of Trustees to revoke our election to be taxed as a REIT under the Code or to determine that compliance with any restriction or limitations on ownership and transfers of shares set forth in the declaration of trust is no longer required in order for us to qualify as a REIT. Our declaration of trust also permits the Board of Trustees to amend the declaration of trust from time to time, without approval by you or the other shareholders, to:</w:t>
      </w:r>
    </w:p>
    <w:p>
      <w:pPr>
        <w:spacing w:after="0" w:line="147"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REIT law or the Code;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addition, any provision of our bylaws may be adopted, altered or repealed either by our Board of Trustees, subject to certain limitations contained in our bylaws, without any action by the shareholders or by the shareholders at any meeting of shareholders called for that purpose, by the affirmative vote of holders of not less than a majority of the shares then outstanding and entitled to vote.</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common shares is American Stock Transfer &amp; Trust Company, LLC, New York,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1 Preferred Shares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March 2007, we issued 399,896 Series 1 preferred shares and we filed articles supplementary to our declaration of trust setting forth the terms of the Series 1 preferred shares. Below is a brief description of the terms of the Series 1 preferred shares, which is subject to and qualified in its entirety by reference to the articles supplementary.</w:t>
      </w:r>
    </w:p>
    <w:p>
      <w:pPr>
        <w:spacing w:after="0" w:line="140" w:lineRule="exact"/>
        <w:rPr>
          <w:sz w:val="20"/>
          <w:szCs w:val="20"/>
          <w:color w:val="auto"/>
        </w:rPr>
      </w:pPr>
    </w:p>
    <w:p>
      <w:pPr>
        <w:ind w:right="40" w:firstLine="456"/>
        <w:spacing w:after="0" w:line="309" w:lineRule="auto"/>
        <w:rPr>
          <w:sz w:val="20"/>
          <w:szCs w:val="20"/>
          <w:color w:val="auto"/>
        </w:rPr>
      </w:pPr>
      <w:r>
        <w:rPr>
          <w:rFonts w:ascii="Arial" w:cs="Arial" w:eastAsia="Arial" w:hAnsi="Arial"/>
          <w:sz w:val="15"/>
          <w:szCs w:val="15"/>
          <w:b w:val="1"/>
          <w:bCs w:val="1"/>
          <w:i w:val="1"/>
          <w:iCs w:val="1"/>
          <w:color w:val="auto"/>
        </w:rPr>
        <w:t xml:space="preserve">Rank. </w:t>
      </w:r>
      <w:r>
        <w:rPr>
          <w:rFonts w:ascii="Arial" w:cs="Arial" w:eastAsia="Arial" w:hAnsi="Arial"/>
          <w:sz w:val="15"/>
          <w:szCs w:val="15"/>
          <w:color w:val="auto"/>
        </w:rPr>
        <w:t>The Series 1 preferred shares rank prior to the common shares with respect to the payment of dividends and the distribution of assets upon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liquidation, dissolution or winding up. Our declaration of trust provides that, unless full cumulative dividends on all outstanding Series 1 preferred shares and any other class or series of our shares of beneficial interest ranking, as to the payment of dividends and the distribution of assets upon liquidation, dissolution or winding up, on a parity with the Series 1 preferred shares, or Parity Shares, shall have been declared and paid or declared and set apart for payment for all past dividend periods, then no dividends, other than dividends paid solely in common shares, or options, warrants or rights to subscribe for or purchase common shares, or any other shares of beneficial interest which rank junior to the Series 1 preferred shares with respect to the payment of dividends and the distribution of assets upon our liquidation, dissolution or winding up, or Junior Shares, shall be declared or paid or set apart for payment on the common shares nor shall any Junior Shares be redeemed, purchased or otherwise acquired (other than a redemption, purchase or other acquisition of common shares made for purposes of any employee incentive or benefit plan of ours) for any consideration by us, directly or indirectly (except by conversion into or exchange for shares of Junior Shares).</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Each Series 1 preferred share is entitled to receive, when, as and if authorized by our Board of Trustees out of funds legally available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cumulative preferential dividends payable in cash at a rate of 5.417% of the liquidation price of $25, which is equivalent to $1.35425 per annum.</w:t>
      </w:r>
    </w:p>
    <w:p>
      <w:pPr>
        <w:spacing w:after="0" w:line="85"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the holders of Series 1 preferred shares shall be entitled to receive $25</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share, plus all accrued and unpaid dividends, before any distribution shall be made with respect to the common shares.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Voting Rights. </w:t>
      </w:r>
      <w:r>
        <w:rPr>
          <w:rFonts w:ascii="Arial" w:cs="Arial" w:eastAsia="Arial" w:hAnsi="Arial"/>
          <w:sz w:val="18"/>
          <w:szCs w:val="18"/>
          <w:color w:val="auto"/>
        </w:rPr>
        <w:t>The Series 1 preferred shares shall have no voting rights.</w:t>
      </w:r>
    </w:p>
    <w:p>
      <w:pPr>
        <w:spacing w:after="0" w:line="171" w:lineRule="exact"/>
        <w:rPr>
          <w:sz w:val="20"/>
          <w:szCs w:val="20"/>
          <w:color w:val="auto"/>
        </w:rPr>
      </w:pPr>
    </w:p>
    <w:p>
      <w:pPr>
        <w:ind w:right="40" w:firstLine="456"/>
        <w:spacing w:after="0" w:line="305" w:lineRule="auto"/>
        <w:rPr>
          <w:sz w:val="20"/>
          <w:szCs w:val="20"/>
          <w:color w:val="auto"/>
        </w:rPr>
      </w:pPr>
      <w:r>
        <w:rPr>
          <w:rFonts w:ascii="Arial" w:cs="Arial" w:eastAsia="Arial" w:hAnsi="Arial"/>
          <w:sz w:val="15"/>
          <w:szCs w:val="15"/>
          <w:b w:val="1"/>
          <w:bCs w:val="1"/>
          <w:i w:val="1"/>
          <w:iCs w:val="1"/>
          <w:color w:val="auto"/>
        </w:rPr>
        <w:t xml:space="preserve">Conversion Rights. </w:t>
      </w:r>
      <w:r>
        <w:rPr>
          <w:rFonts w:ascii="Arial" w:cs="Arial" w:eastAsia="Arial" w:hAnsi="Arial"/>
          <w:sz w:val="15"/>
          <w:szCs w:val="15"/>
          <w:color w:val="auto"/>
        </w:rPr>
        <w:t>Subject to other applicable provisions within the articles supplementary for the Series 1 preferred shares, from the date of issuance,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Series 1 preferred shares shall be convertible, at the option of each holder, into a number of fully paid and nonassessable common shares determined by dividing</w:t>
      </w:r>
    </w:p>
    <w:p>
      <w:pPr>
        <w:ind w:right="20" w:firstLine="8"/>
        <w:spacing w:after="0" w:line="261" w:lineRule="auto"/>
        <w:tabs>
          <w:tab w:leader="none" w:pos="28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product obtained by multiplying (i) the number of Series 1 preferred shares being converted by (ii) liquidation price; by (B) the option conversion price as in effect immediately prior to the close of business on the option conversion date.</w:t>
      </w:r>
    </w:p>
    <w:p>
      <w:pPr>
        <w:spacing w:after="0" w:line="13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1 preferred shares is American Stock Transfer &amp; Trust Company, LLC, New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York, New York.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96"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In addition to the Series 1 preferred shares, the terms of which are described above, we may issue one or more series of preferred shares. The following is a general description of the preferred shares that we may offer from time to time. The particular terms of the preferred shares being offered and the extent to which such general provisions may apply will be set forth in the applicable prospectus supplement.</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discussion of any additional federal income tax consequences applicable to those preferred shares; and</w:t>
      </w:r>
    </w:p>
    <w:p>
      <w:pPr>
        <w:spacing w:after="0" w:line="90" w:lineRule="exact"/>
        <w:rPr>
          <w:rFonts w:ascii="Arial" w:cs="Arial" w:eastAsia="Arial" w:hAnsi="Arial"/>
          <w:sz w:val="18"/>
          <w:szCs w:val="18"/>
          <w:color w:val="auto"/>
        </w:rPr>
      </w:pPr>
    </w:p>
    <w:p>
      <w:pPr>
        <w:ind w:left="900" w:right="320" w:hanging="446"/>
        <w:spacing w:after="0" w:line="268"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REIT.</w:t>
      </w:r>
    </w:p>
    <w:p>
      <w:pPr>
        <w:spacing w:after="0" w:line="13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purposes of this description of our preferred shares, the term “equity securities” does not include convertible debt securities that we may offer from time to time.</w:t>
      </w:r>
    </w:p>
    <w:p>
      <w:pPr>
        <w:spacing w:after="0" w:line="132"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shareholders,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39"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We will identify the transfer agent and registrar for any additional series of preferred shares issued through this prospectus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a prospectus supplement.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1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Amendment and Termination of the Deposit Agreement. </w:t>
      </w:r>
      <w:r>
        <w:rPr>
          <w:rFonts w:ascii="Arial" w:cs="Arial" w:eastAsia="Arial" w:hAnsi="Arial"/>
          <w:sz w:val="16"/>
          <w:szCs w:val="16"/>
          <w:color w:val="auto"/>
        </w:rPr>
        <w:t>We and the depositary may amend the form of depositary receipt and any provision of the deposit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6"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9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 The holders of depositary receipts shall have the right to inspect the transfer books of the depositary and the list of holders of depositary receipts as provided in the applicable deposit agreement or as required by law.</w:t>
      </w:r>
    </w:p>
    <w:p>
      <w:pPr>
        <w:spacing w:after="0" w:line="14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Restrictions on ownership and transfer of shares are important to ensure that we meet certain conditions under the Code to qualify as a REIT. For example, the Code contains the following requirements.</w:t>
      </w:r>
    </w:p>
    <w:p>
      <w:pPr>
        <w:spacing w:after="0" w:line="51" w:lineRule="exact"/>
        <w:rPr>
          <w:sz w:val="20"/>
          <w:szCs w:val="20"/>
          <w:color w:val="auto"/>
        </w:rPr>
      </w:pPr>
    </w:p>
    <w:p>
      <w:pPr>
        <w:ind w:left="900" w:right="60" w:hanging="446"/>
        <w:spacing w:after="0" w:line="306"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900" w:right="80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65"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4"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record holder with respect to shares-in-trust must pay the trust any dividends or distributions received by such record holder that are attributable to any shares-in-trust if the record date for those shares-in-trust was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or after the date that such shares became shares-in-trust. Upon sale or other disposition of the shares-in-trust to a permitted transferee, the record holder generally will receive from the trustee, the lesser of:</w:t>
      </w:r>
    </w:p>
    <w:p>
      <w:pPr>
        <w:spacing w:after="0" w:line="51"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460" w:right="140" w:hanging="547"/>
        <w:spacing w:after="0" w:line="268" w:lineRule="auto"/>
        <w:tabs>
          <w:tab w:leader="none" w:pos="14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price per share equal to the market price (which is calculated as defined in our declaration of trust) on the date the shares were received, or</w:t>
      </w:r>
    </w:p>
    <w:p>
      <w:pPr>
        <w:spacing w:after="0" w:line="50" w:lineRule="exact"/>
        <w:rPr>
          <w:rFonts w:ascii="Arial" w:cs="Arial" w:eastAsia="Arial" w:hAnsi="Arial"/>
          <w:sz w:val="18"/>
          <w:szCs w:val="18"/>
          <w:color w:val="auto"/>
        </w:rPr>
      </w:pPr>
    </w:p>
    <w:p>
      <w:pPr>
        <w:ind w:left="1460" w:hanging="547"/>
        <w:spacing w:after="0"/>
        <w:tabs>
          <w:tab w:leader="none" w:pos="14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4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8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Board of Trustees has agreed to exempt from the ownership limitation BlackRock, Inc., or BlackRock, for itself, its subsidiaries and on behalf of investment funds and accounts for whom BlackRock acts as manager or investment advisor with respect to ownership of our equity shares. The Board of Trustees approved an exemption for BlackRock which permits BlackRock and its subsidiaries and investment funds and accounts combined, to the extent they comprise a group under SEC rules, to own up to 15.0% of our outstanding equity or common shares. BlackRock and each of its subsidiaries and investment funds and accounts will remain individually subject to the ownership limitation. The exemption will terminate upon at least 30 days notice given by us, with such notice not to be given before April 30, 2015.</w:t>
      </w:r>
    </w:p>
    <w:p>
      <w:pPr>
        <w:spacing w:after="0" w:line="144"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Board of Trustees has also agreed to exempt from the ownership limitation Cohen &amp; Steers Capital Management, Inc., or Cohen &amp; Steers, for itself, its affiliates and on behalf of the mutual funds and institutional investor client accounts it advises with respect to ownership of our common shares. The Board of Trustees approved an exemption for Cohen &amp; Steers which permits Cohen &amp; Steers and its affiliates and mutual funds and investor client accounts, combined, to own up to 15.0% of our outstanding common shares. The exemption will expire upon prior notice given by us to Cohen &amp; Steers in the event its mutual funds and investor client accounts no longer own at least 7.0% of our common shares for 180 days in any calendar year.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shareholder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removal of incumbent management, even if these events would offer our shareholders a premium price on their securities or otherwise be favorable to the interests of our shareholders.</w:t>
      </w:r>
    </w:p>
    <w:p>
      <w:pPr>
        <w:spacing w:after="0" w:line="126" w:lineRule="exact"/>
        <w:rPr>
          <w:sz w:val="20"/>
          <w:szCs w:val="20"/>
          <w:color w:val="auto"/>
        </w:rPr>
      </w:pPr>
    </w:p>
    <w:p>
      <w:pPr>
        <w:ind w:right="200" w:firstLine="456"/>
        <w:spacing w:after="0" w:line="258"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183"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outstanding voting shares; or</w:t>
      </w:r>
    </w:p>
    <w:p>
      <w:pPr>
        <w:spacing w:after="0" w:line="90" w:lineRule="exact"/>
        <w:rPr>
          <w:rFonts w:ascii="Arial" w:cs="Arial" w:eastAsia="Arial" w:hAnsi="Arial"/>
          <w:sz w:val="18"/>
          <w:szCs w:val="18"/>
          <w:color w:val="auto"/>
        </w:rPr>
      </w:pPr>
    </w:p>
    <w:p>
      <w:pPr>
        <w:ind w:left="900" w:right="34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of our affiliates that beneficially owned, directly or indirectly, 10% or more of the voting power of our outstanding voting shares at any time within two years immediately prior to the applicable date in question.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1460" w:hanging="547"/>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 or any of its affiliates.</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REIT acquired in a “control share acquisition” have no voting rights unless two-thirds of the shareholders (excluding shares owned by the acquirer and by the officers and trustees who are employees of the Maryland REIT) approve their voting rights.</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“Control Shares” are shares that, if added to all other shares previously acquired, would entitle that person to exercise voting power, in electing trustees, within one of the following ranges of voting power:</w:t>
      </w:r>
    </w:p>
    <w:p>
      <w:pPr>
        <w:spacing w:after="0" w:line="5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32" w:lineRule="exact"/>
        <w:rPr>
          <w:sz w:val="20"/>
          <w:szCs w:val="20"/>
          <w:color w:val="auto"/>
        </w:rPr>
      </w:pPr>
    </w:p>
    <w:p>
      <w:pPr>
        <w:ind w:right="160" w:firstLine="456"/>
        <w:spacing w:after="0" w:line="275" w:lineRule="auto"/>
        <w:rPr>
          <w:sz w:val="20"/>
          <w:szCs w:val="20"/>
          <w:color w:val="auto"/>
        </w:rPr>
      </w:pPr>
      <w:r>
        <w:rPr>
          <w:rFonts w:ascii="Arial" w:cs="Arial" w:eastAsia="Arial" w:hAnsi="Arial"/>
          <w:sz w:val="18"/>
          <w:szCs w:val="18"/>
          <w:b w:val="1"/>
          <w:bCs w:val="1"/>
          <w:i w:val="1"/>
          <w:iCs w:val="1"/>
          <w:color w:val="auto"/>
        </w:rPr>
        <w:t>Number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trustees may be increased or decreased pursuant to the bylaws, provided that the total number of trustees may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less than five or more than 10. Under Maryland law and our declaration of trust, trustees are elected for one-year terms.</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declaration of trust, and subject to the rights of any holders of preferred shares, our trustees may remove a trustee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cause, as defined in our declaration of trust, by the vote of all the other trustees or the shareholders may remove a trustee, with or without cause, at any meeting of shareholders called for that purpose, either by:</w:t>
      </w:r>
    </w:p>
    <w:p>
      <w:pPr>
        <w:spacing w:after="0" w:line="57" w:lineRule="exact"/>
        <w:rPr>
          <w:sz w:val="20"/>
          <w:szCs w:val="20"/>
          <w:color w:val="auto"/>
        </w:rPr>
      </w:pPr>
    </w:p>
    <w:p>
      <w:pPr>
        <w:ind w:left="900" w:right="10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50" w:lineRule="exact"/>
        <w:rPr>
          <w:rFonts w:ascii="Arial" w:cs="Arial" w:eastAsia="Arial" w:hAnsi="Arial"/>
          <w:sz w:val="18"/>
          <w:szCs w:val="18"/>
          <w:color w:val="auto"/>
        </w:rPr>
      </w:pPr>
    </w:p>
    <w:p>
      <w:pPr>
        <w:ind w:left="900" w:right="12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26" w:lineRule="exact"/>
        <w:rPr>
          <w:sz w:val="20"/>
          <w:szCs w:val="20"/>
          <w:color w:val="auto"/>
        </w:rPr>
      </w:pPr>
    </w:p>
    <w:p>
      <w:pPr>
        <w:ind w:right="80" w:firstLine="456"/>
        <w:spacing w:after="0" w:line="258"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6" w:lineRule="exact"/>
        <w:rPr>
          <w:sz w:val="20"/>
          <w:szCs w:val="20"/>
          <w:color w:val="auto"/>
        </w:rPr>
      </w:pPr>
    </w:p>
    <w:p>
      <w:pPr>
        <w:ind w:firstLine="456"/>
        <w:spacing w:after="0" w:line="301" w:lineRule="auto"/>
        <w:rPr>
          <w:sz w:val="20"/>
          <w:szCs w:val="20"/>
          <w:color w:val="auto"/>
        </w:rPr>
      </w:pPr>
      <w:r>
        <w:rPr>
          <w:rFonts w:ascii="Arial" w:cs="Arial" w:eastAsia="Arial" w:hAnsi="Arial"/>
          <w:sz w:val="16"/>
          <w:szCs w:val="16"/>
          <w:b w:val="1"/>
          <w:bCs w:val="1"/>
          <w:i w:val="1"/>
          <w:iCs w:val="1"/>
          <w:color w:val="auto"/>
        </w:rPr>
        <w:t>Meetings of Shareholders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bylaws provide for an annual meeting of shareholders, to be held in May after delivery of the annual report to shareholders,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elect individuals to the Board of Trustees and transact such other business as may properly be brought before the meeting. Special meetings of shareholders may be called by our Chairman of the Board of Trustees, Chief Executive Officer, President or by one-third of the Board of Trustees, and shall be called at the request in writing of the holders of 25% of all votes entitled to be cast at the meeting.</w:t>
      </w:r>
    </w:p>
    <w:p>
      <w:pPr>
        <w:spacing w:after="0" w:line="109"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11"/>
          <w:szCs w:val="11"/>
          <w:color w:val="auto"/>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changed by more than 30 days from the date of the preceding year’s meeting or if we did not hold an annual meeting the preceding year, notice must be delivered within a reasonable time before we begin to print and mail our proxy materials.</w:t>
      </w:r>
    </w:p>
    <w:p>
      <w:pPr>
        <w:spacing w:after="0" w:line="1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For a special meeting, to nominate a trustee, a shareholder must deliver notice to our Secretary not earlier that the close of business on the 120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and not later than the close of business on the later of the 90</w:t>
      </w:r>
      <w:r>
        <w:rPr>
          <w:rFonts w:ascii="Arial" w:cs="Arial" w:eastAsia="Arial" w:hAnsi="Arial"/>
          <w:sz w:val="10"/>
          <w:szCs w:val="10"/>
          <w:color w:val="auto"/>
        </w:rPr>
        <w:t>th</w:t>
      </w:r>
      <w:r>
        <w:rPr>
          <w:rFonts w:ascii="Arial" w:cs="Arial" w:eastAsia="Arial" w:hAnsi="Arial"/>
          <w:sz w:val="16"/>
          <w:szCs w:val="16"/>
          <w:color w:val="auto"/>
        </w:rPr>
        <w:t xml:space="preserve"> day prior to the special meeting or the 10</w:t>
      </w:r>
      <w:r>
        <w:rPr>
          <w:rFonts w:ascii="Arial" w:cs="Arial" w:eastAsia="Arial" w:hAnsi="Arial"/>
          <w:sz w:val="10"/>
          <w:szCs w:val="10"/>
          <w:color w:val="auto"/>
        </w:rPr>
        <w:t>th</w:t>
      </w:r>
      <w:r>
        <w:rPr>
          <w:rFonts w:ascii="Arial" w:cs="Arial" w:eastAsia="Arial" w:hAnsi="Arial"/>
          <w:sz w:val="16"/>
          <w:szCs w:val="16"/>
          <w:color w:val="auto"/>
        </w:rPr>
        <w:t xml:space="preserve"> day following the date on which public announcement is first made of the special meeting. Nominations for elections to the Board of Trustees may be made at a special meeting by shareholders of record both at the time of giving of notice of the special meeting and at the time of the special meeting and who are entitled to vote at the special meeting and who complied with the notice procedures in our bylaws only (a) pursuant to the notice of special meeting, (b) by or at the direction of the Board of Trustees or (c) if the Board of Trustees has determined that trustees shall be elected at the special meeting.</w:t>
      </w:r>
    </w:p>
    <w:p>
      <w:pPr>
        <w:spacing w:after="0" w:line="120"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56" w:lineRule="exact"/>
        <w:rPr>
          <w:sz w:val="20"/>
          <w:szCs w:val="20"/>
          <w:color w:val="auto"/>
        </w:rPr>
      </w:pPr>
    </w:p>
    <w:p>
      <w:pPr>
        <w:ind w:right="120" w:firstLine="456"/>
        <w:spacing w:after="0" w:line="301" w:lineRule="auto"/>
        <w:rPr>
          <w:sz w:val="20"/>
          <w:szCs w:val="20"/>
          <w:color w:val="auto"/>
        </w:rPr>
      </w:pPr>
      <w:r>
        <w:rPr>
          <w:rFonts w:ascii="Arial" w:cs="Arial" w:eastAsia="Arial" w:hAnsi="Arial"/>
          <w:sz w:val="16"/>
          <w:szCs w:val="16"/>
          <w:b w:val="1"/>
          <w:bCs w:val="1"/>
          <w:i w:val="1"/>
          <w:iCs w:val="1"/>
          <w:color w:val="auto"/>
        </w:rPr>
        <w:t>Shareholder Liability and Indemnification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Maryland law, you will not be personally liable for any obligation of ours solely because you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 Under our bylaws, our shareholders shall have similar indemnification and expense advancement rights as our trustees and officers.</w:t>
      </w:r>
    </w:p>
    <w:p>
      <w:pPr>
        <w:spacing w:after="0" w:line="109"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01" w:lineRule="exact"/>
        <w:rPr>
          <w:sz w:val="20"/>
          <w:szCs w:val="20"/>
          <w:color w:val="auto"/>
        </w:rPr>
      </w:pPr>
    </w:p>
    <w:p>
      <w:pPr>
        <w:jc w:val="both"/>
        <w:ind w:right="40" w:firstLine="456"/>
        <w:spacing w:after="0" w:line="310" w:lineRule="auto"/>
        <w:rPr>
          <w:sz w:val="20"/>
          <w:szCs w:val="20"/>
          <w:color w:val="auto"/>
        </w:rPr>
      </w:pPr>
      <w:r>
        <w:rPr>
          <w:rFonts w:ascii="Arial" w:cs="Arial" w:eastAsia="Arial" w:hAnsi="Arial"/>
          <w:sz w:val="16"/>
          <w:szCs w:val="16"/>
          <w:b w:val="1"/>
          <w:bCs w:val="1"/>
          <w:i w:val="1"/>
          <w:iCs w:val="1"/>
          <w:color w:val="auto"/>
        </w:rPr>
        <w:t>Limitation of Liability of Trustees and Officers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declaration of trust, to the maximum extent permitted under Maryland law in effect from time to time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respect to liability of trustees and officers of a REIT, provides that no trustee or officer of ours shall be liable to us or to any shareholder for money damages. The Maryland General Corporation Law provides that we may restrict or limit the liability of trustees or officers for money damages except to the extent:</w:t>
      </w:r>
    </w:p>
    <w:p>
      <w:pPr>
        <w:spacing w:after="0" w:line="22"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it is proved that the trustee or officer actually received an improper benefit or profit in money, property or services; or</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 judgment or other final adjudication adverse to the person is entered in a proceeding based on a finding that the person’s action, or failure to act, was material to the cause of action adjudicated and was the result of active and deliberate dishonesty.</w:t>
      </w:r>
    </w:p>
    <w:p>
      <w:pPr>
        <w:spacing w:after="0" w:line="132"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Our declaration of trust provides that neither amendment nor repeal or any provision of our declaration of trust, nor adoption of any other provision, shall apply to or affect in any respect the applicability of such limitation of liability with respect to any act or failure to act which occurred prior to such amendment, repeal or adoption.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Indemnification of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declaration of trust permits us to indemnify and advance expenses to, to the maximum extent permitted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Maryland law in effect from time to time, any individual who is a present or former trustee or officer of ours or to any individual who, while a trustee of ours, serves or has served as a director, officer, partner, trustee, employee or agent of another REIT, corporation partnership, joint venture, trust, employee benefit plan or any other enterprise, in connection with any claim or liability to which such person may become subject or which such person may incur by reason of such status.</w:t>
      </w:r>
    </w:p>
    <w:p>
      <w:pPr>
        <w:spacing w:after="0" w:line="145" w:lineRule="exact"/>
        <w:rPr>
          <w:sz w:val="20"/>
          <w:szCs w:val="20"/>
          <w:color w:val="auto"/>
        </w:rPr>
      </w:pPr>
    </w:p>
    <w:p>
      <w:pPr>
        <w:ind w:right="20" w:firstLine="456"/>
        <w:spacing w:after="0" w:line="283" w:lineRule="auto"/>
        <w:rPr>
          <w:sz w:val="20"/>
          <w:szCs w:val="20"/>
          <w:color w:val="auto"/>
        </w:rPr>
      </w:pPr>
      <w:r>
        <w:rPr>
          <w:rFonts w:ascii="Arial" w:cs="Arial" w:eastAsia="Arial" w:hAnsi="Arial"/>
          <w:sz w:val="16"/>
          <w:szCs w:val="16"/>
          <w:color w:val="auto"/>
        </w:rPr>
        <w:t>Our bylaws require us to indemnify: (a) any trustee, officer or former trustee or officer, including any individual who, while a trustee or officer at our express request, serves or served for another REIT, corporation, partnership, limited liability company, joint venture, trust, employee benefit plan or any other enterprise as a director, officer, shareholder, manager, member, partner or trustee of such entity, who has been successful, on the merits or otherwise, in the defense of a proceeding to which he or she was made a party by reason of service in such capacity, against reasonable expenses incurred by him or her in connection with the proceeding; and (b) any trustee or officer or any former trustee or officer against any claim or liability to which he or she may become subject by reason of such status unless it is established that: (i) his or her act or omission was material to the matter giving rise to the proceeding and was committed in bad faith or was the result of active and deliberative dishonesty; (ii) he or she actually received an improper personal benefit in money, property or services; or</w:t>
      </w:r>
    </w:p>
    <w:p>
      <w:pPr>
        <w:ind w:firstLine="8"/>
        <w:spacing w:after="0" w:line="290" w:lineRule="auto"/>
        <w:tabs>
          <w:tab w:leader="none" w:pos="307"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 the case of a criminal proceeding, he or she had reasonable cause to believe that his or her act or omission was unlawful. In addition, our bylaws require us, without requiring a preliminary determination of the ultimate entitlement to indemnification, to pay or reimburse expenses incurred by a trustee, officer or former trustee or officer made a party to a proceeding by reason of such status, provided that we have received from any such trustee or officer an affirmation and written undertaking as required by our bylaws. Our bylaws provide that neither amendment nor repeal or any provision of our bylaws, nor adoption of any other provision, shall apply to or affect in any respect the applicability of such indemnification and expense advancement rights with respect to any act or failure to act which occurred prior to such amendment, repeal or adoption.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17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following sections summarize the material federal income tax issues that you may consider relevant relating to our taxation as a REIT under the Code, and the acquisition, ownership, and disposition of our common, preferred, and depositary shares. If we offer one or more additional series of common shares or preferred shares, debt securities, depositary shares, or warrants to purchase debt or equity securities, the prospectus supplement would include information about additional material U.S. federal income tax considerations to holders of any of the offered securities.</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or preferred shares held as a capital asset.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U.S. shareholders whose functional currency is not the U.S. dollar, persons that hold shares as part of a straddle, hedge, conversion, synthetic security or constructive sale transaction for U.S. federal income tax purposes, or non-U.S. individuals and foreign corporations (except to the extent discussed in “— Taxation of Non-U.S. Shareholders” below). This summary does not address any aspect of state, local or foreign taxation or any U.S. federal tax other than the income tax and, only to the extent specifically provided herein, certain excise taxes potentially applicable to REITs.</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This summary is based upon the provisions of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8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PROSPECTIVE INVESTORS SHOULD CONSULT THEIR OWN TAX ADVISORS REGARDING THE SPECIFIC FEDERAL, STATE, LOCAL, FOREIGN AND OTHER TAX CONSEQUENCES TO THEM OF PURCHASING, OWNING AND DISPOSING OF OUR SECURITIES, OUR ELECTION TO BE TAXED AS A REIT AND THE EFFECT OF POTENTIAL CHANGES IN APPLICABLE TAX LAWS.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2011;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should be aware that opinions of counsel are not binding on the Internal Revenue Service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18"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59" w:lineRule="exact"/>
        <w:rPr>
          <w:sz w:val="20"/>
          <w:szCs w:val="20"/>
          <w:color w:val="auto"/>
        </w:rPr>
      </w:pPr>
    </w:p>
    <w:p>
      <w:pPr>
        <w:ind w:left="900" w:right="56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may be subject to the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900" w:right="60" w:hanging="325"/>
        <w:spacing w:after="0" w:line="306"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25"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900" w:right="2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900" w:hanging="325"/>
        <w:spacing w:after="0" w:line="256"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900" w:right="20" w:hanging="325"/>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306"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25" w:lineRule="exact"/>
        <w:rPr>
          <w:rFonts w:ascii="Arial" w:cs="Arial" w:eastAsia="Arial" w:hAnsi="Arial"/>
          <w:sz w:val="16"/>
          <w:szCs w:val="16"/>
          <w:color w:val="auto"/>
        </w:rPr>
      </w:pPr>
    </w:p>
    <w:p>
      <w:pPr>
        <w:ind w:left="900" w:right="60" w:hanging="325"/>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253" w:lineRule="exact"/>
        <w:rPr>
          <w:rFonts w:ascii="Arial" w:cs="Arial" w:eastAsia="Arial" w:hAnsi="Arial"/>
          <w:sz w:val="18"/>
          <w:szCs w:val="18"/>
          <w:color w:val="auto"/>
        </w:rPr>
      </w:pPr>
    </w:p>
    <w:p>
      <w:pPr>
        <w:ind w:left="900" w:hanging="325"/>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900" w:right="20" w:hanging="325"/>
        <w:spacing w:after="0" w:line="254"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50" w:lineRule="exact"/>
        <w:rPr>
          <w:rFonts w:ascii="Arial" w:cs="Arial" w:eastAsia="Arial" w:hAnsi="Arial"/>
          <w:sz w:val="18"/>
          <w:szCs w:val="18"/>
          <w:color w:val="auto"/>
        </w:rPr>
      </w:pPr>
    </w:p>
    <w:p>
      <w:pPr>
        <w:ind w:left="900" w:right="50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32"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4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“Description of Shares of Beneficial Ownership–Restrictions on Ownership and Transfer.”</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that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 unincorporated domestic entity, such as a partnership or limited liability company, that has a single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REIT. An unincorporated domestic entity, such as a partnership or a limited liability company, with two or more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90" w:lineRule="exact"/>
        <w:rPr>
          <w:sz w:val="20"/>
          <w:szCs w:val="20"/>
          <w:color w:val="auto"/>
        </w:rPr>
      </w:pPr>
    </w:p>
    <w:p>
      <w:pPr>
        <w:ind w:left="900" w:right="20" w:hanging="446"/>
        <w:spacing w:after="0" w:line="291"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39" w:lineRule="exact"/>
        <w:rPr>
          <w:rFonts w:ascii="Arial" w:cs="Arial" w:eastAsia="Arial" w:hAnsi="Arial"/>
          <w:sz w:val="16"/>
          <w:szCs w:val="16"/>
          <w:color w:val="auto"/>
        </w:rPr>
      </w:pPr>
    </w:p>
    <w:p>
      <w:pPr>
        <w:ind w:left="900" w:right="160" w:hanging="446"/>
        <w:spacing w:after="0" w:line="259" w:lineRule="auto"/>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680"/>
        <w:spacing w:after="0" w:line="268" w:lineRule="auto"/>
        <w:rPr>
          <w:sz w:val="20"/>
          <w:szCs w:val="20"/>
          <w:color w:val="auto"/>
        </w:rPr>
      </w:pPr>
      <w:r>
        <w:rPr>
          <w:rFonts w:ascii="Arial" w:cs="Arial" w:eastAsia="Arial" w:hAnsi="Arial"/>
          <w:sz w:val="18"/>
          <w:szCs w:val="18"/>
          <w:color w:val="auto"/>
        </w:rPr>
        <w:t>qualifying income for purposes of the 75% gross income test, dividends, other types of interest, gain from the sale or disposition of stock or securities, or any combination of the foregoing (the “95% gross income test”).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59" w:lineRule="exact"/>
        <w:rPr>
          <w:sz w:val="20"/>
          <w:szCs w:val="20"/>
          <w:color w:val="auto"/>
        </w:rPr>
      </w:pPr>
    </w:p>
    <w:p>
      <w:pPr>
        <w:ind w:left="900" w:right="60" w:hanging="446"/>
        <w:spacing w:after="0" w:line="298"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31" w:lineRule="exact"/>
        <w:rPr>
          <w:rFonts w:ascii="Arial" w:cs="Arial" w:eastAsia="Arial" w:hAnsi="Arial"/>
          <w:sz w:val="16"/>
          <w:szCs w:val="16"/>
          <w:color w:val="auto"/>
        </w:rPr>
      </w:pPr>
    </w:p>
    <w:p>
      <w:pPr>
        <w:ind w:left="900" w:hanging="446"/>
        <w:spacing w:after="0" w:line="286"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43" w:lineRule="exact"/>
        <w:rPr>
          <w:rFonts w:ascii="Arial" w:cs="Arial" w:eastAsia="Arial" w:hAnsi="Arial"/>
          <w:sz w:val="16"/>
          <w:szCs w:val="16"/>
          <w:color w:val="auto"/>
        </w:rPr>
      </w:pPr>
    </w:p>
    <w:p>
      <w:pPr>
        <w:ind w:left="900" w:hanging="446"/>
        <w:spacing w:after="0" w:line="291"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We believe that all space currently leased to taxable REIT subsidiaries meets these conditions, and on an ongoing basis will use our best efforts to meet these conditions in the future, unless we determine in our discretion that the related party rent received from a taxable REIT subsidiary will not jeopardize our status as a REIT;</w:t>
      </w:r>
    </w:p>
    <w:p>
      <w:pPr>
        <w:spacing w:after="0" w:line="39" w:lineRule="exact"/>
        <w:rPr>
          <w:rFonts w:ascii="Arial" w:cs="Arial" w:eastAsia="Arial" w:hAnsi="Arial"/>
          <w:sz w:val="16"/>
          <w:szCs w:val="16"/>
          <w:color w:val="auto"/>
        </w:rPr>
      </w:pPr>
    </w:p>
    <w:p>
      <w:pPr>
        <w:ind w:left="900" w:right="40" w:hanging="446"/>
        <w:spacing w:after="0" w:line="291" w:lineRule="auto"/>
        <w:tabs>
          <w:tab w:leader="none" w:pos="9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or unless, in either instance, we have determined or we determine in our</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discretion that the amount of disqualified rent attributable to the personal property will not jeopardize our status as a REIT; and</w:t>
      </w:r>
    </w:p>
    <w:p>
      <w:pPr>
        <w:spacing w:after="0" w:line="90" w:lineRule="exact"/>
        <w:rPr>
          <w:sz w:val="20"/>
          <w:szCs w:val="20"/>
          <w:color w:val="auto"/>
        </w:rPr>
      </w:pPr>
    </w:p>
    <w:p>
      <w:pPr>
        <w:ind w:left="900" w:right="180" w:hanging="446"/>
        <w:spacing w:after="0" w:line="289"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 general, if we furnish or render services to our tenants, other than through a taxable REIT subsidiary or an “independent contractor” who is adequately compensated and from whom we do not derive revenue, the income received from the 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For purposes of the gross income tests, the term “interest” generally does not include any amount received or accrued, directly or indirectly, if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exceeds the value of the real estate that is security for the loan.</w:t>
      </w:r>
    </w:p>
    <w:p>
      <w:pPr>
        <w:spacing w:after="0" w:line="118"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Our share of any dividends received from any corporation (including any taxable REIT subsidiary, but excluding any REIT) in which we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equity interest will qualify for purposes of the 95% gross income test but not for purposes of the 75% gross income test. Our share of any dividends received from any other REIT in which we own an equity interest, if any, will be qualifying income for purposes of both gross income tests.</w:t>
      </w:r>
    </w:p>
    <w:p>
      <w:pPr>
        <w:spacing w:after="0" w:line="10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90" w:lineRule="exact"/>
        <w:rPr>
          <w:sz w:val="20"/>
          <w:szCs w:val="20"/>
          <w:color w:val="auto"/>
        </w:rPr>
      </w:pPr>
    </w:p>
    <w:p>
      <w:pPr>
        <w:ind w:left="900" w:right="180" w:hanging="446"/>
        <w:spacing w:after="0" w:line="332" w:lineRule="auto"/>
        <w:tabs>
          <w:tab w:leader="none" w:pos="9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900" w:right="16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900" w:right="60" w:hanging="446"/>
        <w:spacing w:after="0" w:line="259"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4" w:lineRule="exact"/>
        <w:rPr>
          <w:rFonts w:ascii="Arial" w:cs="Arial" w:eastAsia="Arial" w:hAnsi="Arial"/>
          <w:sz w:val="16"/>
          <w:szCs w:val="16"/>
          <w:color w:val="auto"/>
        </w:rPr>
      </w:pPr>
    </w:p>
    <w:p>
      <w:pPr>
        <w:ind w:left="900" w:right="100" w:hanging="446"/>
        <w:spacing w:after="0" w:line="370" w:lineRule="auto"/>
        <w:tabs>
          <w:tab w:leader="none" w:pos="9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right="120" w:firstLine="456"/>
        <w:spacing w:after="0" w:line="314" w:lineRule="auto"/>
        <w:rPr>
          <w:sz w:val="20"/>
          <w:szCs w:val="20"/>
          <w:color w:val="auto"/>
        </w:rPr>
      </w:pPr>
      <w:r>
        <w:rPr>
          <w:rFonts w:ascii="Arial" w:cs="Arial" w:eastAsia="Arial" w:hAnsi="Arial"/>
          <w:sz w:val="15"/>
          <w:szCs w:val="15"/>
          <w:b w:val="1"/>
          <w:bCs w:val="1"/>
          <w:i w:val="1"/>
          <w:iCs w:val="1"/>
          <w:color w:val="auto"/>
        </w:rPr>
        <w:t>Tax on Prohibited Transactions</w:t>
      </w:r>
      <w:r>
        <w:rPr>
          <w:rFonts w:ascii="Arial" w:cs="Arial" w:eastAsia="Arial" w:hAnsi="Arial"/>
          <w:sz w:val="15"/>
          <w:szCs w:val="15"/>
          <w:color w:val="auto"/>
        </w:rPr>
        <w:t>. A REIT will incur a 100% tax on net income (taking into account foreign currency gains and losses) derived from 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0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Code provides a safe harbor that, if met, allows us to avoid being treated as engaged in a prohibited transaction. In order to meet the safe harbor, (i) 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safe-harbor provision and we will attempt to comply with the terms of the safe-harbor in the future, except where we determine in our discretion that a particular transaction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entering into interest rate swaps, caps, and floors, options to purchase these items, and futures and forward contracts) which is clearly identified as such as specified in the Code,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w:t>
      </w:r>
    </w:p>
    <w:p>
      <w:pPr>
        <w:spacing w:after="0" w:line="14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Asset Tests</w:t>
      </w:r>
      <w:r>
        <w:rPr>
          <w:rFonts w:ascii="Arial" w:cs="Arial" w:eastAsia="Arial" w:hAnsi="Arial"/>
          <w:sz w:val="16"/>
          <w:szCs w:val="16"/>
          <w:color w:val="auto"/>
        </w:rPr>
        <w:t>. To maintain our qualification as a REIT, we also must satisfy the following asset tests at the close of each quarter of each taxable year:</w:t>
      </w:r>
    </w:p>
    <w:p>
      <w:pPr>
        <w:spacing w:after="0" w:line="113" w:lineRule="exact"/>
        <w:rPr>
          <w:sz w:val="20"/>
          <w:szCs w:val="20"/>
          <w:color w:val="auto"/>
        </w:rPr>
      </w:pPr>
    </w:p>
    <w:p>
      <w:pPr>
        <w:ind w:left="900" w:right="420" w:hanging="446"/>
        <w:spacing w:after="0" w:line="268" w:lineRule="auto"/>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U.S.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w:t>
      </w:r>
    </w:p>
    <w:p>
      <w:pPr>
        <w:spacing w:after="0" w:line="90" w:lineRule="exact"/>
        <w:rPr>
          <w:rFonts w:ascii="Arial" w:cs="Arial" w:eastAsia="Arial" w:hAnsi="Arial"/>
          <w:sz w:val="18"/>
          <w:szCs w:val="18"/>
          <w:color w:val="auto"/>
        </w:rPr>
      </w:pPr>
    </w:p>
    <w:p>
      <w:pPr>
        <w:jc w:val="both"/>
        <w:ind w:left="1480" w:right="300" w:hanging="446"/>
        <w:spacing w:after="0" w:line="259" w:lineRule="auto"/>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480" w:right="420" w:hanging="446"/>
        <w:spacing w:after="0" w:line="268" w:lineRule="auto"/>
        <w:tabs>
          <w:tab w:leader="none" w:pos="14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60" w:hanging="446"/>
        <w:spacing w:after="0" w:line="283" w:lineRule="auto"/>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w:t>
      </w:r>
    </w:p>
    <w:p>
      <w:pPr>
        <w:ind w:left="900" w:right="60"/>
        <w:spacing w:after="0" w:line="292" w:lineRule="auto"/>
        <w:rPr>
          <w:rFonts w:ascii="Arial" w:cs="Arial" w:eastAsia="Arial" w:hAnsi="Arial"/>
          <w:sz w:val="16"/>
          <w:szCs w:val="16"/>
          <w:color w:val="auto"/>
        </w:rPr>
      </w:pPr>
      <w:r>
        <w:rPr>
          <w:rFonts w:ascii="Arial" w:cs="Arial" w:eastAsia="Arial" w:hAnsi="Arial"/>
          <w:sz w:val="16"/>
          <w:szCs w:val="16"/>
          <w:color w:val="auto"/>
        </w:rPr>
        <w:t>(ii)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fair market value of the real property securing the loan on the date the REIT acquires the loan or (ii) the fair market value of the loan. However, uncertainties exist regarding the application of this guidance, particularly with respect to the proper treatment under the 75% asset test when the loan subsequently increases in value. Thus, no assurance can be provided that the IRS will not challenge our treatment of such loan as a real estate asset. We intend that any investment in mortgage debt will be undertaken in a manner that will enable us to continue to satisfy the asset and gross income test requirements.</w:t>
      </w:r>
    </w:p>
    <w:p>
      <w:pPr>
        <w:spacing w:after="0" w:line="12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54" w:lineRule="auto"/>
        <w:tabs>
          <w:tab w:leader="none" w:pos="258"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4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jc w:val="both"/>
        <w:ind w:right="10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stock or debt securities.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may satisfy the 90% distribution requirement with taxable distributions of our stock or debt securities. The IRS has issued private letter rulings to other REITs treating certain distributions that are paid partly in cash and partly in stock as dividends that would satisfy the REIT annual distribution requirement and qualify for the dividends paid deduction for federal income tax purposes. Those rulings may be relied upon only by taxpayers whom they were issued, but we could request a similar ruling from the IRS. In addition, the IRS previously issued a revenue procedure authorizing publicly traded REITs to make elective cash/stock dividends, but that revenue procedure does not apply to our 2012 and future taxable years. Accordingly, it is unclear whether and to what extent we will be able to make taxable dividends payable in cash and stock. We have no current intention to make a taxable dividend payable in our stock.</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an annual basis certain information from our shareholders designed to disclose the actual ownership of our outstanding shares. We have complied, and intend to continue to comply, with such requirements.</w:t>
      </w:r>
    </w:p>
    <w:p>
      <w:pPr>
        <w:spacing w:after="0" w:line="140"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for tax years through 2012. Different rules may apply for years beginning after 2012. See “— Taxation of Taxable U.S. Shareholders</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Current Tax Rates.”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As used herein, the term “taxable U.S. shareholder” means a taxable beneficial owner of our common or preferred shares that for U.S. federal income tax purposes is:</w:t>
      </w:r>
    </w:p>
    <w:p>
      <w:pPr>
        <w:spacing w:after="0" w:line="51"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900" w:right="660" w:hanging="446"/>
        <w:spacing w:after="0" w:line="332" w:lineRule="auto"/>
        <w:tabs>
          <w:tab w:leader="none" w:pos="9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85"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partnership, including an entity or arrangement that is treated as a partnership for U.S. federal income tax purposes, is a beneficial owner of our shares, the treatment of a partner in the partnership will generally depend on the status of the partner and the activities of the partnership.</w:t>
      </w:r>
    </w:p>
    <w:p>
      <w:pPr>
        <w:spacing w:after="0" w:line="85" w:lineRule="exact"/>
        <w:rPr>
          <w:sz w:val="20"/>
          <w:szCs w:val="20"/>
          <w:color w:val="auto"/>
        </w:rPr>
      </w:pPr>
    </w:p>
    <w:p>
      <w:pPr>
        <w:ind w:right="10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depositary receipts.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or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15% tax rate (applicable to tax years through 2012) for “qualified dividend income.”</w:t>
      </w:r>
    </w:p>
    <w:p>
      <w:pPr>
        <w:spacing w:after="0" w:line="143"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See “—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our common or preferred shares as long-term capital gain or loss if the taxable U.S. shareholder has held the shares for more than one year and otherwise as short-term capital gain or loss. A taxable U.S. shareholder will generally realize gain or loss in an amount equal to the difference between the sum of the fair market value of any property and the amount of cash received in such disposition and the taxable U.S. shareholder’s adjusted tax basis. A taxable U.S. shareholder’s adjusted tax basis generally will equal the taxable U.S. shareholder’s acquisition cost,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increased by the excess of net capital gains deemed distributed to the taxable U.S. shareholder (discussed above) less tax deemed paid on such gains and reduced by any returns of capital.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20"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 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proposed Treasury regulations, if any portion of the amount received by a taxable U.S. shareholder on a redemption of our preferred shares is treated as a distribution with respect to our shares but not as a taxable dividend, then such portion will be allocated to all shares held by the taxable U.S. shareholder just before the redemption on a pro rata, share-by-share, basis. The amount applied to each share will first reduce the taxable U.S. shareholder’s basis in that share and any excess after the basis is reduced to zero will result in taxable gain. If the holder has different basis in its shares, then the amount allocated could reduce some of the basis in certain shares while reducing all the basis and giving rise to taxable gain in others. Thus the taxable U.S. shareholder could have gain even if the holder’s basis in all its shares exceeded such portion. The proposed Treasury regulations permit the transfer of basis in the redeemed shares of the preferred shares to the taxable U.S. shareholder’s remaining, unredeemed preferred shares (if any), but not to any other class of shares held (directly or indirectly) by the taxable U.S. shareholder. Instead, any unrecovered basis in the preferred shares would be treated as a deferred loss to be recognized when certain conditions are satisfied. The proposed Treasury regulations would be effective for transactions that occur after the date the regulations are published as final Treasury regulations. There can, however, be no assurance as to whether, when and in what particular form such proposed Treasury regulations will ultimately be finalized. We urge you to consult your tax advisor concerning the treatment of a cash redemption of our preferred shares.</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that may be provided in issuances of our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In such a case, if a nonqualifying adjustment were made, the holders of preferred shares might be deemed to have received a taxable stock dividend.</w:t>
      </w:r>
    </w:p>
    <w:p>
      <w:pPr>
        <w:spacing w:after="0" w:line="12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Passive Activity and Investment Income Limitations. </w:t>
      </w:r>
      <w:r>
        <w:rPr>
          <w:rFonts w:ascii="Arial" w:cs="Arial" w:eastAsia="Arial" w:hAnsi="Arial"/>
          <w:sz w:val="18"/>
          <w:szCs w:val="18"/>
          <w:color w:val="auto"/>
        </w:rPr>
        <w:t>Distributions from us and gain from the disposition of our common or preferred shares will not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treated as passive activity income and, therefore, taxable 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shareholders will not be able to apply any passive activity losses against such income. Dividends from us (to the extent they do not constitute a return of capital or capital gain dividends) and, on an elective basis, capital gain dividends and gain from the disposition of common or preferred shares generally will be treated as investment income for purposes of the investment income limitation.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Medicare Tax on Unearned Income. </w:t>
      </w:r>
      <w:r>
        <w:rPr>
          <w:rFonts w:ascii="Arial" w:cs="Arial" w:eastAsia="Arial" w:hAnsi="Arial"/>
          <w:sz w:val="16"/>
          <w:szCs w:val="16"/>
          <w:color w:val="auto"/>
        </w:rPr>
        <w:t>For taxable years beginning after December 31, 2012, certain taxable U.S. shareholders who are individuals, estates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trusts will be subject to a 3.8% tax on all or a portion of their “net investment income,” which may include all or a portion of their dividends on our common or preferred shares and net gains from the taxable disposition of their shares. Taxable U.S. shareholders that are individuals, estates or trusts should consult their tax advisors regarding the applicability of the Medicare tax to any of their income or gains in respect of our common or preferred shares.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2012.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15% rate does generally apply to:</w:t>
      </w:r>
    </w:p>
    <w:p>
      <w:pPr>
        <w:spacing w:after="0" w:line="156" w:lineRule="exact"/>
        <w:rPr>
          <w:sz w:val="20"/>
          <w:szCs w:val="20"/>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32"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Without legislation, for non-corporate taxpayers the maximum tax rate on long-term capital gains will increase to 20% in 2013, and qualified dividend income will no longer be taxed at a preferential rate compared to ordinary income.</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Taxable U.S. shareholders that are “exempt recipients” (such as corporations) generally will not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U.S. backup withholding and related information reporting on payments of dividends on, and the proceeds from the disposition of, our common or preferred shares unless, when required, they fail to demonstrate their status as exempt recipients. In general, we will report to our other shareholders and to the IRS the amount of distributions we pay during each calendar 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900" w:hanging="446"/>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900" w:right="500" w:hanging="446"/>
        <w:spacing w:after="0" w:line="332" w:lineRule="auto"/>
        <w:tabs>
          <w:tab w:leader="none" w:pos="9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The rules governing U.S. federal income taxation of non-U.S. shareholders (defined below)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98"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shareholder’s conduct of a U.S. trade or business (conducted through a U.S. permanent establishment, where applicable),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rate is reduced or eliminated by an applicable income tax treaty). We plan to withhold U.S. income tax at the rate of 30% on the gross amount of any such distribution paid to a non-U.S. shareholder unless (i) a lower treaty rate applies and the non-U.S. shareholder timely provides an IRS Form W-8BEN to us evidencing eligibility for that reduced rate, or (ii) the non-U.S. shareholder timely provides an IRS Form W-8ECI to us claiming that the distribution is effectively connected income.</w:t>
      </w:r>
    </w:p>
    <w:p>
      <w:pPr>
        <w:spacing w:after="0" w:line="10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Provided that a particular class of our shares is “regularly traded” on an established securities market in the United States,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1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the relevant class of our shares,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4"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Retention of Net Capital Gains. </w:t>
      </w:r>
      <w:r>
        <w:rPr>
          <w:rFonts w:ascii="Arial" w:cs="Arial" w:eastAsia="Arial" w:hAnsi="Arial"/>
          <w:sz w:val="16"/>
          <w:szCs w:val="16"/>
          <w:color w:val="auto"/>
        </w:rPr>
        <w:t>Although the law is not clear on the matter, it appears that amounts we designate as retained capital gains in respect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1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required to file a U.S. federal income tax return and would be taxed in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 Additionally, a corporate non-U.S. shareholder may also be subject to the 30% branch profits tax on gains from the sale of shares taxed under FIRPTA.</w:t>
      </w:r>
    </w:p>
    <w:p>
      <w:pPr>
        <w:spacing w:after="0" w:line="12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or preferred shares avoids a taxable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of gain 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4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39" w:lineRule="exact"/>
        <w:rPr>
          <w:sz w:val="20"/>
          <w:szCs w:val="20"/>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900" w:right="70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50"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supplied to the IRS.</w:t>
      </w:r>
    </w:p>
    <w:p>
      <w:pPr>
        <w:spacing w:after="0" w:line="11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b w:val="1"/>
          <w:bCs w:val="1"/>
          <w:i w:val="1"/>
          <w:iCs w:val="1"/>
          <w:color w:val="auto"/>
        </w:rPr>
        <w:t xml:space="preserve">Reporting and Withholding on Foreign Financial Accounts. </w:t>
      </w:r>
      <w:r>
        <w:rPr>
          <w:rFonts w:ascii="Arial" w:cs="Arial" w:eastAsia="Arial" w:hAnsi="Arial"/>
          <w:sz w:val="16"/>
          <w:szCs w:val="16"/>
          <w:color w:val="auto"/>
        </w:rPr>
        <w:t>For taxable years beginning after December 31, 2013, certain foreign financial institutions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non-financial foreign entities will be subject to a 30% U.S. federal withholding tax on dividends on our common or preferred shares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 foreign entity, such entity provides the withholding agent with a certification identifying the direct and indirect U.S. owners of the entity. In addition, if such disclosure requirements are not satisfied, withholding on gross proceeds from the sale or other disposition of our common or preferred shares by such foreign financial institutions and non-financial foreign entities will generally begin after December 31, 2014.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or preferred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sell the securities being offered by this prospectus in one or more of the following ways from time to time: (1) through underwriters or dealers;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 through agents; (3) in “at the market offerings” to or through a market maker or into an existing trading market or securities exchange or otherwise;</w:t>
      </w:r>
    </w:p>
    <w:p>
      <w:pPr>
        <w:spacing w:after="0" w:line="32" w:lineRule="exact"/>
        <w:rPr>
          <w:sz w:val="20"/>
          <w:szCs w:val="20"/>
          <w:color w:val="auto"/>
        </w:rPr>
      </w:pPr>
    </w:p>
    <w:p>
      <w:pPr>
        <w:ind w:right="40" w:firstLine="8"/>
        <w:spacing w:after="0" w:line="295" w:lineRule="auto"/>
        <w:tabs>
          <w:tab w:leader="none" w:pos="249" w:val="left"/>
        </w:tabs>
        <w:numPr>
          <w:ilvl w:val="0"/>
          <w:numId w:val="92"/>
        </w:numPr>
        <w:rPr>
          <w:rFonts w:ascii="Arial" w:cs="Arial" w:eastAsia="Arial" w:hAnsi="Arial"/>
          <w:sz w:val="16"/>
          <w:szCs w:val="16"/>
          <w:color w:val="auto"/>
        </w:rPr>
      </w:pPr>
      <w:r>
        <w:rPr>
          <w:rFonts w:ascii="Arial" w:cs="Arial" w:eastAsia="Arial" w:hAnsi="Arial"/>
          <w:sz w:val="16"/>
          <w:szCs w:val="16"/>
          <w:color w:val="auto"/>
        </w:rPr>
        <w:t>directly to purchasers or shareholders, (5) through a combination of any of these methods of sale or (6) through any other legally available means. In addition, the sales will be made at market prices prevailing at the time of sale, at prices related to such prevailing market prices, at a fixed price or prices, which may be changed or at negotiated prices.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900" w:right="320" w:hanging="325"/>
        <w:spacing w:after="0" w:line="268"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71"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laws of the jurisdiction to which the purchaser is subject. The underwriters and other agents will not have any responsibility in respect of the validity or performance of such contracts.</w:t>
      </w:r>
    </w:p>
    <w:p>
      <w:pPr>
        <w:spacing w:after="0" w:line="132"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securities may or may not be listed on a national securities exchange or traded in the over-the-counter market (other than the common shares, which are quoted on the New York Stock Exchange). No assurance can be given as to the liquidity of the trading market for any such securities.</w:t>
      </w:r>
    </w:p>
    <w:p>
      <w:pPr>
        <w:spacing w:after="0" w:line="8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28"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contained in this prospectus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160" w:lineRule="exact"/>
        <w:rPr>
          <w:sz w:val="20"/>
          <w:szCs w:val="20"/>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2011, filed with the SEC on February 16,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Definitive Proxy Statement for our 2012 Annual Meeting of Shareholders, filed with the SEC on March 23,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2012, filed with the SEC on May 7,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Current Report on Form 8-K dated February 9, 2012, filed with the SEC on February 15, 2012;</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Our Current Report on Form 8-K dated May 2, 2012, filed with the SEC on May 4, 2012;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with the SEC on June 6, 2002.</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have filed with the SEC a registration statement, of which this prospectus is a part, with respect to the securities to be offered by this prospectus. This prospectus and any accompanying prospectus supplement do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and any accompanying prospectus supplement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2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 xml:space="preserve">Copies of our SEC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In addition, you may request a copy of any report or document incorporated by reference in this prospectus, except the exhibits, unless such exhibits are specifically incorporated by reference in this prospectus or in those documents, at no cost. Any such request may be made by writing or by telephone and shall be directed to the following address: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w:t>
      </w:r>
    </w:p>
    <w:p>
      <w:pPr>
        <w:spacing w:after="0" w:line="16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ind w:left="5040"/>
        <w:spacing w:after="0"/>
        <w:rPr>
          <w:sz w:val="20"/>
          <w:szCs w:val="20"/>
          <w:color w:val="auto"/>
        </w:rPr>
      </w:pPr>
      <w:r>
        <w:rPr>
          <w:rFonts w:ascii="Arial" w:cs="Arial" w:eastAsia="Arial" w:hAnsi="Arial"/>
          <w:sz w:val="24"/>
          <w:szCs w:val="24"/>
          <w:b w:val="1"/>
          <w:bCs w:val="1"/>
          <w:color w:val="auto"/>
        </w:rPr>
        <w:t>$275,000,000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614680</wp:posOffset>
            </wp:positionV>
            <wp:extent cx="2152650" cy="8235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26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4560"/>
        <w:spacing w:after="0"/>
        <w:rPr>
          <w:sz w:val="20"/>
          <w:szCs w:val="20"/>
          <w:color w:val="auto"/>
        </w:rPr>
      </w:pPr>
      <w:r>
        <w:rPr>
          <w:rFonts w:ascii="Arial" w:cs="Arial" w:eastAsia="Arial" w:hAnsi="Arial"/>
          <w:sz w:val="24"/>
          <w:szCs w:val="24"/>
          <w:b w:val="1"/>
          <w:bCs w:val="1"/>
          <w:color w:val="auto"/>
        </w:rPr>
        <w:t>2.75%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151765</wp:posOffset>
            </wp:positionV>
            <wp:extent cx="158623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86230" cy="2603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24662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200"/>
        <w:spacing w:after="0"/>
        <w:rPr>
          <w:sz w:val="20"/>
          <w:szCs w:val="20"/>
          <w:color w:val="auto"/>
        </w:rPr>
      </w:pPr>
      <w:r>
        <w:rPr>
          <w:rFonts w:ascii="Arial" w:cs="Arial" w:eastAsia="Arial" w:hAnsi="Arial"/>
          <w:sz w:val="28"/>
          <w:szCs w:val="28"/>
          <w:b w:val="1"/>
          <w:bCs w:val="1"/>
          <w:color w:val="auto"/>
        </w:rPr>
        <w:t>Wells Fargo Securities</w:t>
      </w:r>
    </w:p>
    <w:p>
      <w:pPr>
        <w:spacing w:after="0" w:line="178"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BofA Merrill Lynch</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Deutsche Bank Securities</w:t>
      </w:r>
    </w:p>
    <w:p>
      <w:pPr>
        <w:spacing w:after="0" w:line="12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PNC Capital Markets LLC</w:t>
      </w:r>
    </w:p>
    <w:p>
      <w:pPr>
        <w:spacing w:after="0" w:line="12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US Bancorp</w:t>
      </w:r>
    </w:p>
    <w:p>
      <w:pPr>
        <w:spacing w:after="0" w:line="12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Citigroup</w:t>
      </w:r>
    </w:p>
    <w:p>
      <w:pPr>
        <w:spacing w:after="0" w:line="12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J.P. Morgan</w:t>
      </w:r>
    </w:p>
    <w:p>
      <w:pPr>
        <w:spacing w:after="0" w:line="12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RBC Capital Markets</w:t>
      </w:r>
    </w:p>
    <w:p>
      <w:pPr>
        <w:spacing w:after="0" w:line="12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Capital One Southcoast</w:t>
      </w:r>
    </w:p>
    <w:p>
      <w:pPr>
        <w:spacing w:after="0" w:line="125"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Regions Securities LLC</w:t>
      </w:r>
    </w:p>
    <w:p>
      <w:pPr>
        <w:spacing w:after="0" w:line="125"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SunTrust Robinson Humphrey</w:t>
      </w:r>
    </w:p>
    <w:p>
      <w:pPr>
        <w:spacing w:after="0" w:line="13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TD Securities</w:t>
      </w:r>
    </w:p>
    <w:p>
      <w:pPr>
        <w:spacing w:after="0" w:line="16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May 6, 2013</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decimal"/>
      <w:start w:val="1"/>
    </w:lvl>
  </w:abstractNum>
  <w:abstractNum w:abstractNumId="1">
    <w:nsid w:val="7644A45C"/>
    <w:multiLevelType w:val="hybridMultilevel"/>
    <w:lvl w:ilvl="0">
      <w:lvlJc w:val="left"/>
      <w:lvlText w:val="(%1)"/>
      <w:numFmt w:val="decimal"/>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lvl w:ilvl="1">
      <w:lvlJc w:val="left"/>
      <w:lvlText w:val="•"/>
      <w:numFmt w:val="bullet"/>
      <w:start w:val="1"/>
    </w:lvl>
  </w:abstractNum>
  <w:abstractNum w:abstractNumId="4">
    <w:nsid w:val="579478FE"/>
    <w:multiLevelType w:val="hybridMultilevel"/>
    <w:lvl w:ilvl="0">
      <w:lvlJc w:val="left"/>
      <w:lvlText w:val="(%1)"/>
      <w:numFmt w:val="lowerLetter"/>
      <w:start w:val="1"/>
    </w:lvl>
  </w:abstractNum>
  <w:abstractNum w:abstractNumId="5">
    <w:nsid w:val="749ABB43"/>
    <w:multiLevelType w:val="hybridMultilevel"/>
    <w:lvl w:ilvl="0">
      <w:lvlJc w:val="left"/>
      <w:lvlText w:val="(%1)"/>
      <w:numFmt w:val="decimal"/>
      <w:start w:val="2"/>
    </w:lvl>
  </w:abstractNum>
  <w:abstractNum w:abstractNumId="6">
    <w:nsid w:val="3DC240FB"/>
    <w:multiLevelType w:val="hybridMultilevel"/>
    <w:lvl w:ilvl="0">
      <w:lvlJc w:val="left"/>
      <w:lvlText w:val="(%1)"/>
      <w:numFmt w:val="decimal"/>
      <w:start w:val="4"/>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1."/>
      <w:numFmt w:val="decimal"/>
      <w:start w:val="1"/>
    </w:lvl>
    <w:lvl w:ilvl="1">
      <w:lvlJc w:val="left"/>
      <w:lvlText w:val="(%2)"/>
      <w:numFmt w:val="lowerLetter"/>
      <w:start w:val="1"/>
    </w:lvl>
  </w:abstractNum>
  <w:abstractNum w:abstractNumId="9">
    <w:nsid w:val="75C6C33A"/>
    <w:multiLevelType w:val="hybridMultilevel"/>
    <w:lvl w:ilvl="0">
      <w:lvlJc w:val="left"/>
      <w:lvlText w:val="%1."/>
      <w:numFmt w:val="decimal"/>
      <w:start w:val="7"/>
    </w:lvl>
    <w:lvl w:ilvl="1">
      <w:lvlJc w:val="left"/>
      <w:lvlText w:val="(%2)"/>
      <w:numFmt w:val="lowerLetter"/>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lvl w:ilvl="1">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1)"/>
      <w:numFmt w:val="lowerLetter"/>
      <w:start w:val="1"/>
    </w:lvl>
  </w:abstractNum>
  <w:abstractNum w:abstractNumId="19">
    <w:nsid w:val="1CF10FD8"/>
    <w:multiLevelType w:val="hybridMultilevel"/>
    <w:lvl w:ilvl="0">
      <w:lvlJc w:val="left"/>
      <w:lvlText w:val="(%1)"/>
      <w:numFmt w:val="lowerLetter"/>
      <w:start w:val="3"/>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lvl w:ilvl="1">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lvl w:ilvl="1">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
      <w:numFmt w:val="bullet"/>
      <w:start w:val="1"/>
    </w:lvl>
  </w:abstractNum>
  <w:abstractNum w:abstractNumId="42">
    <w:nsid w:val="100F8FCA"/>
    <w:multiLevelType w:val="hybridMultilevel"/>
    <w:lvl w:ilvl="0">
      <w:lvlJc w:val="left"/>
      <w:lvlText w:val="%1."/>
      <w:numFmt w:val="decimal"/>
      <w:start w:val="1"/>
    </w:lvl>
    <w:lvl w:ilvl="1">
      <w:lvlJc w:val="left"/>
      <w:lvlText w:val="(%2)"/>
      <w:numFmt w:val="lowerLetter"/>
      <w:start w:val="1"/>
    </w:lvl>
  </w:abstractNum>
  <w:abstractNum w:abstractNumId="43">
    <w:nsid w:val="6590700B"/>
    <w:multiLevelType w:val="hybridMultilevel"/>
    <w:lvl w:ilvl="0">
      <w:lvlJc w:val="left"/>
      <w:lvlText w:val="%1."/>
      <w:numFmt w:val="decimal"/>
      <w:start w:val="7"/>
    </w:lvl>
    <w:lvl w:ilvl="1">
      <w:lvlJc w:val="left"/>
      <w:lvlText w:val="(%2)"/>
      <w:numFmt w:val="lowerLetter"/>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lvl w:ilvl="1">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
      <w:numFmt w:val="bullet"/>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
      <w:numFmt w:val="bullet"/>
      <w:start w:val="1"/>
    </w:lvl>
  </w:abstractNum>
  <w:abstractNum w:abstractNumId="57">
    <w:nsid w:val="613EFDC5"/>
    <w:multiLevelType w:val="hybridMultilevel"/>
    <w:lvl w:ilvl="0">
      <w:lvlJc w:val="left"/>
      <w:lvlText w:val="•"/>
      <w:numFmt w:val="bullet"/>
      <w:start w:val="1"/>
    </w:lvl>
  </w:abstractNum>
  <w:abstractNum w:abstractNumId="58">
    <w:nsid w:val="BF72B14"/>
    <w:multiLevelType w:val="hybridMultilevel"/>
    <w:lvl w:ilvl="0">
      <w:lvlJc w:val="left"/>
      <w:lvlText w:val="•"/>
      <w:numFmt w:val="bullet"/>
      <w:start w:val="1"/>
    </w:lvl>
  </w:abstractNum>
  <w:abstractNum w:abstractNumId="59">
    <w:nsid w:val="11447B73"/>
    <w:multiLevelType w:val="hybridMultilevel"/>
    <w:lvl w:ilvl="0">
      <w:lvlJc w:val="left"/>
      <w:lvlText w:val="(%1)"/>
      <w:numFmt w:val="upperLetter"/>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
      <w:numFmt w:val="bullet"/>
      <w:start w:val="1"/>
    </w:lvl>
  </w:abstractNum>
  <w:abstractNum w:abstractNumId="65">
    <w:nsid w:val="68EB2F63"/>
    <w:multiLevelType w:val="hybridMultilevel"/>
    <w:lvl w:ilvl="0">
      <w:lvlJc w:val="left"/>
      <w:lvlText w:val="•"/>
      <w:numFmt w:val="bullet"/>
      <w:start w:val="1"/>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
      <w:numFmt w:val="bullet"/>
      <w:start w:val="1"/>
    </w:lvl>
    <w:lvl w:ilvl="1">
      <w:lvlJc w:val="left"/>
      <w:lvlText w:val="•"/>
      <w:numFmt w:val="bullet"/>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lvl w:ilvl="1">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
      <w:numFmt w:val="bullet"/>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1)"/>
      <w:numFmt w:val="lowerRoman"/>
      <w:start w:val="3"/>
    </w:lvl>
  </w:abstractNum>
  <w:abstractNum w:abstractNumId="75">
    <w:nsid w:val="6EB5BD4"/>
    <w:multiLevelType w:val="hybridMultilevel"/>
    <w:lvl w:ilvl="0">
      <w:lvlJc w:val="left"/>
      <w:lvlText w:val="•"/>
      <w:numFmt w:val="bullet"/>
      <w:start w:val="1"/>
    </w:lvl>
  </w:abstractNum>
  <w:abstractNum w:abstractNumId="76">
    <w:nsid w:val="6F6DD9AC"/>
    <w:multiLevelType w:val="hybridMultilevel"/>
    <w:lvl w:ilvl="0">
      <w:lvlJc w:val="left"/>
      <w:lvlText w:val="•"/>
      <w:numFmt w:val="bullet"/>
      <w:start w:val="1"/>
    </w:lvl>
  </w:abstractNum>
  <w:abstractNum w:abstractNumId="77">
    <w:nsid w:val="94211F2"/>
    <w:multiLevelType w:val="hybridMultilevel"/>
    <w:lvl w:ilvl="0">
      <w:lvlJc w:val="left"/>
      <w:lvlText w:val="%1."/>
      <w:numFmt w:val="decimal"/>
      <w:start w:val="1"/>
    </w:lvl>
  </w:abstractNum>
  <w:abstractNum w:abstractNumId="78">
    <w:nsid w:val="885E1B"/>
    <w:multiLevelType w:val="hybridMultilevel"/>
    <w:lvl w:ilvl="0">
      <w:lvlJc w:val="left"/>
      <w:lvlText w:val="•"/>
      <w:numFmt w:val="bullet"/>
      <w:start w:val="1"/>
    </w:lvl>
  </w:abstractNum>
  <w:abstractNum w:abstractNumId="79">
    <w:nsid w:val="76272110"/>
    <w:multiLevelType w:val="hybridMultilevel"/>
    <w:lvl w:ilvl="0">
      <w:lvlJc w:val="left"/>
      <w:lvlText w:val="•"/>
      <w:numFmt w:val="bullet"/>
      <w:start w:val="1"/>
    </w:lvl>
  </w:abstractNum>
  <w:abstractNum w:abstractNumId="80">
    <w:nsid w:val="4C04A8AF"/>
    <w:multiLevelType w:val="hybridMultilevel"/>
    <w:lvl w:ilvl="0">
      <w:lvlJc w:val="left"/>
      <w:lvlText w:val="•"/>
      <w:numFmt w:val="bullet"/>
      <w:start w:val="1"/>
    </w:lvl>
  </w:abstractNum>
  <w:abstractNum w:abstractNumId="81">
    <w:nsid w:val="1716703B"/>
    <w:multiLevelType w:val="hybridMultilevel"/>
    <w:lvl w:ilvl="0">
      <w:lvlJc w:val="left"/>
      <w:lvlText w:val="•"/>
      <w:numFmt w:val="bullet"/>
      <w:start w:val="1"/>
    </w:lvl>
  </w:abstractNum>
  <w:abstractNum w:abstractNumId="82">
    <w:nsid w:val="14E17E33"/>
    <w:multiLevelType w:val="hybridMultilevel"/>
    <w:lvl w:ilvl="0">
      <w:lvlJc w:val="left"/>
      <w:lvlText w:val="•"/>
      <w:numFmt w:val="bullet"/>
      <w:start w:val="1"/>
    </w:lvl>
  </w:abstractNum>
  <w:abstractNum w:abstractNumId="83">
    <w:nsid w:val="3222E7CD"/>
    <w:multiLevelType w:val="hybridMultilevel"/>
    <w:lvl w:ilvl="0">
      <w:lvlJc w:val="left"/>
      <w:lvlText w:val="•"/>
      <w:numFmt w:val="bullet"/>
      <w:start w:val="1"/>
    </w:lvl>
    <w:lvl w:ilvl="1">
      <w:lvlJc w:val="left"/>
      <w:lvlText w:val="•"/>
      <w:numFmt w:val="bullet"/>
      <w:start w:val="1"/>
    </w:lvl>
  </w:abstractNum>
  <w:abstractNum w:abstractNumId="84">
    <w:nsid w:val="74DE0EE3"/>
    <w:multiLevelType w:val="hybridMultilevel"/>
    <w:lvl w:ilvl="0">
      <w:lvlJc w:val="left"/>
      <w:lvlText w:val="•"/>
      <w:numFmt w:val="bullet"/>
      <w:start w:val="1"/>
    </w:lvl>
  </w:abstractNum>
  <w:abstractNum w:abstractNumId="85">
    <w:nsid w:val="68EBC550"/>
    <w:multiLevelType w:val="hybridMultilevel"/>
    <w:lvl w:ilvl="0">
      <w:lvlJc w:val="left"/>
      <w:lvlText w:val="(%1)"/>
      <w:numFmt w:val="lowerRoman"/>
      <w:start w:val="2"/>
    </w:lvl>
  </w:abstractNum>
  <w:abstractNum w:abstractNumId="86">
    <w:nsid w:val="2DF6D648"/>
    <w:multiLevelType w:val="hybridMultilevel"/>
    <w:lvl w:ilvl="0">
      <w:lvlJc w:val="left"/>
      <w:lvlText w:val="\emdash "/>
      <w:numFmt w:val="bullet"/>
      <w:start w:val="1"/>
    </w:lvl>
  </w:abstractNum>
  <w:abstractNum w:abstractNumId="87">
    <w:nsid w:val="46B7D447"/>
    <w:multiLevelType w:val="hybridMultilevel"/>
    <w:lvl w:ilvl="0">
      <w:lvlJc w:val="left"/>
      <w:lvlText w:val="•"/>
      <w:numFmt w:val="bullet"/>
      <w:start w:val="1"/>
    </w:lvl>
  </w:abstractNum>
  <w:abstractNum w:abstractNumId="88">
    <w:nsid w:val="4A2AC315"/>
    <w:multiLevelType w:val="hybridMultilevel"/>
    <w:lvl w:ilvl="0">
      <w:lvlJc w:val="left"/>
      <w:lvlText w:val="•"/>
      <w:numFmt w:val="bullet"/>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
      <w:numFmt w:val="bullet"/>
      <w:start w:val="1"/>
    </w:lvl>
  </w:abstractNum>
  <w:abstractNum w:abstractNumId="91">
    <w:nsid w:val="CC1016F"/>
    <w:multiLevelType w:val="hybridMultilevel"/>
    <w:lvl w:ilvl="0">
      <w:lvlJc w:val="left"/>
      <w:lvlText w:val="(%1)"/>
      <w:numFmt w:val="decimal"/>
      <w:start w:val="4"/>
    </w:lvl>
  </w:abstractNum>
  <w:abstractNum w:abstractNumId="92">
    <w:nsid w:val="43F18422"/>
    <w:multiLevelType w:val="hybridMultilevel"/>
    <w:lvl w:ilvl="0">
      <w:lvlJc w:val="left"/>
      <w:lvlText w:val="•"/>
      <w:numFmt w:val="bullet"/>
      <w:start w:val="1"/>
    </w:lvl>
  </w:abstractNum>
  <w:abstractNum w:abstractNumId="93">
    <w:nsid w:val="60EF011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2019-12-05T09:54:08Z</dcterms:created>
  <dcterms:modified xsi:type="dcterms:W3CDTF">2019-12-05T09:54:08Z</dcterms:modified>
</cp:coreProperties>
</file>