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of Beneficial Interest, $.01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13-2624428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4,675,756</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5,055,973</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5,057,986</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6.8%</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00" w:right="7320"/>
        <w:spacing w:after="0" w:line="323" w:lineRule="auto"/>
        <w:rPr>
          <w:rFonts w:ascii="Arial" w:cs="Arial" w:eastAsia="Arial" w:hAnsi="Arial"/>
          <w:sz w:val="18"/>
          <w:szCs w:val="18"/>
          <w:color w:val="auto"/>
        </w:rPr>
      </w:pPr>
      <w:r>
        <w:rPr>
          <w:rFonts w:ascii="Arial" w:cs="Arial" w:eastAsia="Arial" w:hAnsi="Arial"/>
          <w:sz w:val="16"/>
          <w:szCs w:val="16"/>
          <w:color w:val="auto"/>
        </w:rPr>
        <w:t>1626 EAST JEFFERSON STREET ROCKVILLE, MD. 20852-4041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270 Park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10017</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Shares of Beneficial Interest, $.01 par value per share</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313747206</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5,057,986</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6.8%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4,675,756</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4,996</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5,055,973</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1,951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J.P. Morgan Investment Management Inc. ; JPMorgan Chase Bank, National Association ; JPMorgan Asset Management (UK) Limited ; J.P. Morgan Trust Company of Delaware ; J.P. Morgan Securities LLC ; China International Fund Management Co. Ltd.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January 24, 2019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2019-12-04T23:11:18Z</dcterms:created>
  <dcterms:modified xsi:type="dcterms:W3CDTF">2019-12-04T23:11:18Z</dcterms:modified>
</cp:coreProperties>
</file>