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8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ind w:left="940" w:right="2319" w:hanging="526"/>
        <w:spacing w:after="0" w:line="290" w:lineRule="auto"/>
        <w:rPr>
          <w:sz w:val="20"/>
          <w:szCs w:val="20"/>
          <w:color w:val="auto"/>
        </w:rPr>
      </w:pPr>
      <w:r>
        <w:rPr>
          <w:rFonts w:ascii="Courier New" w:cs="Courier New" w:eastAsia="Courier New" w:hAnsi="Courier New"/>
          <w:sz w:val="16"/>
          <w:szCs w:val="16"/>
          <w:color w:val="auto"/>
        </w:rPr>
        <w:t>Pursuant to Section 13 or 15(d) of the Securities Exchange Act of 1934 Date of Report (Date of earliest event reported) June 3, 2002</w:t>
      </w:r>
    </w:p>
    <w:p>
      <w:pPr>
        <w:spacing w:after="0" w:line="164" w:lineRule="exact"/>
        <w:rPr>
          <w:sz w:val="24"/>
          <w:szCs w:val="24"/>
          <w:color w:val="auto"/>
        </w:rPr>
      </w:pPr>
    </w:p>
    <w:p>
      <w:pPr>
        <w:ind w:left="2520"/>
        <w:spacing w:after="0"/>
        <w:rPr>
          <w:sz w:val="20"/>
          <w:szCs w:val="20"/>
          <w:color w:val="auto"/>
        </w:rPr>
      </w:pPr>
      <w:r>
        <w:rPr>
          <w:rFonts w:ascii="Courier New" w:cs="Courier New" w:eastAsia="Courier New" w:hAnsi="Courier New"/>
          <w:sz w:val="18"/>
          <w:szCs w:val="18"/>
          <w:color w:val="auto"/>
        </w:rPr>
        <w:t>Federal Realty Investment Trust</w:t>
      </w:r>
    </w:p>
    <w:p>
      <w:pPr>
        <w:ind w:left="2520"/>
        <w:spacing w:after="0" w:line="238" w:lineRule="auto"/>
        <w:rPr>
          <w:sz w:val="20"/>
          <w:szCs w:val="20"/>
          <w:color w:val="auto"/>
        </w:rPr>
      </w:pPr>
      <w:r>
        <w:rPr>
          <w:rFonts w:ascii="Courier New" w:cs="Courier New" w:eastAsia="Courier New" w:hAnsi="Courier New"/>
          <w:sz w:val="18"/>
          <w:szCs w:val="18"/>
          <w:color w:val="auto"/>
        </w:rPr>
        <w:t>-------------------------------</w:t>
      </w:r>
    </w:p>
    <w:p>
      <w:pPr>
        <w:ind w:left="12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099"/>
          </w:cols>
          <w:pgMar w:left="360" w:top="649" w:right="1440" w:bottom="1440" w:gutter="0" w:footer="0" w:header="0"/>
        </w:sectPr>
      </w:pPr>
    </w:p>
    <w:p>
      <w:pPr>
        <w:spacing w:after="0" w:line="200"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Maryland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440"/>
        <w:spacing w:after="0"/>
        <w:rPr>
          <w:sz w:val="20"/>
          <w:szCs w:val="20"/>
          <w:color w:val="auto"/>
        </w:rPr>
      </w:pPr>
      <w:r>
        <w:rPr>
          <w:rFonts w:ascii="Courier New" w:cs="Courier New" w:eastAsia="Courier New" w:hAnsi="Courier New"/>
          <w:sz w:val="18"/>
          <w:szCs w:val="18"/>
          <w:color w:val="auto"/>
        </w:rPr>
        <w:t>1-07533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(Commission</w:t>
      </w:r>
    </w:p>
    <w:p>
      <w:pPr>
        <w:ind w:left="220"/>
        <w:spacing w:after="0" w:line="238" w:lineRule="auto"/>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52-0782497</w:t>
      </w:r>
    </w:p>
    <w:p>
      <w:pPr>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40" w:space="520"/>
            <w:col w:w="1700" w:space="520"/>
            <w:col w:w="4419"/>
          </w:cols>
          <w:pgMar w:left="360" w:top="649" w:right="1440" w:bottom="1440" w:gutter="0" w:footer="0" w:header="0"/>
          <w:type w:val="continuous"/>
        </w:sectPr>
      </w:pPr>
    </w:p>
    <w:p>
      <w:pPr>
        <w:spacing w:after="0" w:line="1" w:lineRule="exact"/>
        <w:rPr>
          <w:sz w:val="24"/>
          <w:szCs w:val="24"/>
          <w:color w:val="auto"/>
        </w:rPr>
      </w:pPr>
    </w:p>
    <w:p>
      <w:pPr>
        <w:spacing w:after="0"/>
        <w:tabs>
          <w:tab w:leader="none" w:pos="6500" w:val="left"/>
        </w:tabs>
        <w:rPr>
          <w:sz w:val="20"/>
          <w:szCs w:val="20"/>
          <w:color w:val="auto"/>
        </w:rPr>
      </w:pPr>
      <w:r>
        <w:rPr>
          <w:rFonts w:ascii="Courier New" w:cs="Courier New" w:eastAsia="Courier New" w:hAnsi="Courier New"/>
          <w:sz w:val="18"/>
          <w:szCs w:val="18"/>
          <w:color w:val="auto"/>
        </w:rPr>
        <w:t>1626 East Jefferson Street, Rockville, Maryland</w:t>
      </w:r>
      <w:r>
        <w:rPr>
          <w:sz w:val="20"/>
          <w:szCs w:val="20"/>
          <w:color w:val="auto"/>
        </w:rPr>
        <w:tab/>
      </w:r>
      <w:r>
        <w:rPr>
          <w:rFonts w:ascii="Courier New" w:cs="Courier New" w:eastAsia="Courier New" w:hAnsi="Courier New"/>
          <w:sz w:val="16"/>
          <w:szCs w:val="16"/>
          <w:color w:val="auto"/>
        </w:rPr>
        <w:t>20852-4041</w:t>
      </w:r>
    </w:p>
    <w:p>
      <w:pPr>
        <w:sectPr>
          <w:pgSz w:w="11900" w:h="16838" w:orient="portrait"/>
          <w:cols w:equalWidth="0" w:num="1">
            <w:col w:w="10099"/>
          </w:cols>
          <w:pgMar w:left="360" w:top="649" w:right="1440" w:bottom="1440" w:gutter="0" w:footer="0" w:header="0"/>
          <w:type w:val="continuous"/>
        </w:sectPr>
      </w:pP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tabs>
          <w:tab w:leader="none" w:pos="65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1"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Registrant's telephone number including area code: 301/998-8100</w:t>
      </w:r>
    </w:p>
    <w:p>
      <w:pPr>
        <w:ind w:left="620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099"/>
          </w:cols>
          <w:pgMar w:left="360" w:top="649" w:right="1440" w:bottom="1440" w:gutter="0" w:footer="0" w:header="0"/>
          <w:type w:val="continuous"/>
        </w:sectPr>
      </w:pPr>
    </w:p>
    <w:bookmarkStart w:id="1" w:name="page2"/>
    <w:bookmarkEnd w:id="1"/>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CHANGES IN REGISTRANT'S CERTIFING ACCOUNTANT</w:t>
      </w:r>
    </w:p>
    <w:p>
      <w:pPr>
        <w:spacing w:after="0" w:line="201" w:lineRule="exact"/>
        <w:rPr>
          <w:sz w:val="20"/>
          <w:szCs w:val="20"/>
          <w:color w:val="auto"/>
        </w:rPr>
      </w:pPr>
    </w:p>
    <w:p>
      <w:pPr>
        <w:ind w:left="1160" w:hanging="1152"/>
        <w:spacing w:after="0"/>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 independent accountants</w:t>
      </w:r>
    </w:p>
    <w:p>
      <w:pPr>
        <w:spacing w:after="0" w:line="206" w:lineRule="exact"/>
        <w:rPr>
          <w:rFonts w:ascii="Courier New" w:cs="Courier New" w:eastAsia="Courier New" w:hAnsi="Courier New"/>
          <w:sz w:val="18"/>
          <w:szCs w:val="18"/>
          <w:color w:val="auto"/>
        </w:rPr>
      </w:pPr>
    </w:p>
    <w:p>
      <w:pPr>
        <w:ind w:left="1800" w:right="1999" w:hanging="633"/>
        <w:spacing w:after="0" w:line="237" w:lineRule="auto"/>
        <w:tabs>
          <w:tab w:leader="none" w:pos="180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June 3, 2002, the Trustees, upon the recommendation of the Audit Committee of Federal Realty Investment Trust (the "Registrant") dismissed Arthur Andersen LLP, of Vienna, Virginia, as its independent accountants.</w:t>
      </w:r>
    </w:p>
    <w:p>
      <w:pPr>
        <w:spacing w:after="0" w:line="207" w:lineRule="exact"/>
        <w:rPr>
          <w:rFonts w:ascii="Courier New" w:cs="Courier New" w:eastAsia="Courier New" w:hAnsi="Courier New"/>
          <w:sz w:val="18"/>
          <w:szCs w:val="18"/>
          <w:color w:val="auto"/>
        </w:rPr>
      </w:pPr>
    </w:p>
    <w:p>
      <w:pPr>
        <w:ind w:left="1800" w:right="1779" w:hanging="633"/>
        <w:spacing w:after="0" w:line="237" w:lineRule="auto"/>
        <w:tabs>
          <w:tab w:leader="none" w:pos="180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reports of Arthur Andersen LLP on the financial statements for the past two fiscal years ended December 31, 2001 contained no adverse opinion or disclaimer of opinion and were not qualified or modified as to uncertainty, audit scope or accounting principle.</w:t>
      </w:r>
    </w:p>
    <w:p>
      <w:pPr>
        <w:spacing w:after="0" w:line="208" w:lineRule="exact"/>
        <w:rPr>
          <w:rFonts w:ascii="Courier New" w:cs="Courier New" w:eastAsia="Courier New" w:hAnsi="Courier New"/>
          <w:sz w:val="18"/>
          <w:szCs w:val="18"/>
          <w:color w:val="auto"/>
        </w:rPr>
      </w:pPr>
    </w:p>
    <w:p>
      <w:pPr>
        <w:ind w:left="1800" w:right="1779" w:hanging="633"/>
        <w:spacing w:after="0" w:line="237" w:lineRule="auto"/>
        <w:tabs>
          <w:tab w:leader="none" w:pos="180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its audits for the two most recent fiscal years and through June 3, 2002 there have been no disagreements with Arthur Andersen LLP on any matter of accounting principle or practice, financial statement disclosure, or auditing scope or procedure, which disagreements if not resolved to the satisfaction of Arthur Andersen LLP would have caused them to make reference thereto in their reports on the financial statements for such years.</w:t>
      </w:r>
    </w:p>
    <w:p>
      <w:pPr>
        <w:spacing w:after="0" w:line="212" w:lineRule="exact"/>
        <w:rPr>
          <w:rFonts w:ascii="Courier New" w:cs="Courier New" w:eastAsia="Courier New" w:hAnsi="Courier New"/>
          <w:sz w:val="18"/>
          <w:szCs w:val="18"/>
          <w:color w:val="auto"/>
        </w:rPr>
      </w:pPr>
    </w:p>
    <w:p>
      <w:pPr>
        <w:ind w:left="1800" w:right="2199" w:hanging="633"/>
        <w:spacing w:after="0" w:line="236" w:lineRule="auto"/>
        <w:tabs>
          <w:tab w:leader="none" w:pos="180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two most recent fiscal years and through June 3, 2002, there have been no reportable events (as defined in Regulation S-K Item 304(a)(1)(v)).</w:t>
      </w:r>
    </w:p>
    <w:p>
      <w:pPr>
        <w:spacing w:after="0" w:line="208" w:lineRule="exact"/>
        <w:rPr>
          <w:rFonts w:ascii="Courier New" w:cs="Courier New" w:eastAsia="Courier New" w:hAnsi="Courier New"/>
          <w:sz w:val="18"/>
          <w:szCs w:val="18"/>
          <w:color w:val="auto"/>
        </w:rPr>
      </w:pPr>
    </w:p>
    <w:p>
      <w:pPr>
        <w:ind w:left="1800" w:right="1879" w:hanging="633"/>
        <w:spacing w:after="0" w:line="237" w:lineRule="auto"/>
        <w:tabs>
          <w:tab w:leader="none" w:pos="180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 has provided Arthur Andersen LLP with a copy of this disclosure and has requested that Arthur Andersen LLP furnish it with a letter addressed to the SEC stating whether or not it agrees with the above statements. A copy of the Arthur Andersen LLP letter, dated June 3, 2002, is filed as Exhibit 16 to this Form 8-K.</w:t>
      </w:r>
    </w:p>
    <w:p>
      <w:pPr>
        <w:spacing w:after="0" w:line="204" w:lineRule="exact"/>
        <w:rPr>
          <w:rFonts w:ascii="Courier New" w:cs="Courier New" w:eastAsia="Courier New" w:hAnsi="Courier New"/>
          <w:sz w:val="18"/>
          <w:szCs w:val="18"/>
          <w:color w:val="auto"/>
        </w:rPr>
      </w:pPr>
    </w:p>
    <w:p>
      <w:pPr>
        <w:ind w:left="1160" w:hanging="1152"/>
        <w:spacing w:after="0"/>
        <w:tabs>
          <w:tab w:leader="none" w:pos="11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independent accountants</w:t>
      </w:r>
    </w:p>
    <w:p>
      <w:pPr>
        <w:spacing w:after="0" w:line="206" w:lineRule="exact"/>
        <w:rPr>
          <w:rFonts w:ascii="Courier New" w:cs="Courier New" w:eastAsia="Courier New" w:hAnsi="Courier New"/>
          <w:sz w:val="18"/>
          <w:szCs w:val="18"/>
          <w:color w:val="auto"/>
        </w:rPr>
      </w:pPr>
    </w:p>
    <w:p>
      <w:pPr>
        <w:ind w:left="1800" w:right="1779" w:hanging="633"/>
        <w:spacing w:after="0" w:line="271" w:lineRule="auto"/>
        <w:tabs>
          <w:tab w:leader="none" w:pos="180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Trustees, upon the recommendation of the Audit Committee of the Registrant engaged Grant Thornton LLP as its new independent accountants as of June 3, 2002. During the two most recent fiscal years and through June 3, 2002, the Registrant has not consulted with Grant Thornton LLP with respect to the application of accounting principles to a specified transaction, either completed or proposed, or the type of audit opinion that might be rendered on the Registrant's financial statements, or any other matters or reportable events set forth in Items 304(a)(2)(i) and (ii) of Regulation S-K.</w:t>
      </w:r>
    </w:p>
    <w:p>
      <w:pPr>
        <w:sectPr>
          <w:pgSz w:w="11900" w:h="16838" w:orient="portrait"/>
          <w:cols w:equalWidth="0" w:num="1">
            <w:col w:w="10219"/>
          </w:cols>
          <w:pgMar w:left="240" w:top="717" w:right="1440" w:bottom="1440" w:gutter="0" w:footer="0" w:header="0"/>
        </w:sectPr>
      </w:pPr>
    </w:p>
    <w:bookmarkStart w:id="2" w:name="page3"/>
    <w:bookmarkEnd w:id="2"/>
    <w:p>
      <w:pPr>
        <w:spacing w:after="0"/>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800" w:hanging="633"/>
        <w:spacing w:after="0"/>
        <w:tabs>
          <w:tab w:leader="none" w:pos="18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with this report:</w:t>
      </w:r>
    </w:p>
    <w:p>
      <w:pPr>
        <w:spacing w:after="0" w:line="206" w:lineRule="exact"/>
        <w:rPr>
          <w:rFonts w:ascii="Courier New" w:cs="Courier New" w:eastAsia="Courier New" w:hAnsi="Courier New"/>
          <w:sz w:val="18"/>
          <w:szCs w:val="18"/>
          <w:color w:val="auto"/>
        </w:rPr>
      </w:pPr>
    </w:p>
    <w:p>
      <w:pPr>
        <w:ind w:left="2220" w:right="2419" w:hanging="421"/>
        <w:spacing w:after="0" w:line="235" w:lineRule="auto"/>
        <w:tabs>
          <w:tab w:leader="none" w:pos="22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Letter from Arthur Andersen LLP to the Securities and Exchange Commission dated June 3, 2002.</w:t>
      </w:r>
    </w:p>
    <w:p>
      <w:pPr>
        <w:spacing w:after="0" w:line="203" w:lineRule="exact"/>
        <w:rPr>
          <w:sz w:val="20"/>
          <w:szCs w:val="20"/>
          <w:color w:val="auto"/>
        </w:rPr>
      </w:pPr>
    </w:p>
    <w:p>
      <w:pPr>
        <w:ind w:left="2220" w:hanging="421"/>
        <w:spacing w:after="0"/>
        <w:tabs>
          <w:tab w:leader="none" w:pos="2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Press release issued June 4, 2002.</w:t>
      </w:r>
    </w:p>
    <w:p>
      <w:pPr>
        <w:spacing w:after="0" w:line="201"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Larry E. Finger</w:t>
      </w:r>
    </w:p>
    <w:p>
      <w:pPr>
        <w:spacing w:after="0" w:line="201" w:lineRule="exact"/>
        <w:rPr>
          <w:sz w:val="20"/>
          <w:szCs w:val="20"/>
          <w:color w:val="auto"/>
        </w:rPr>
      </w:pPr>
    </w:p>
    <w:p>
      <w:pPr>
        <w:spacing w:after="0"/>
        <w:tabs>
          <w:tab w:leader="none" w:pos="940" w:val="left"/>
          <w:tab w:leader="none" w:pos="45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June 4, 2002</w:t>
      </w:r>
      <w:r>
        <w:rPr>
          <w:sz w:val="20"/>
          <w:szCs w:val="20"/>
          <w:color w:val="auto"/>
        </w:rPr>
        <w:tab/>
      </w:r>
      <w:r>
        <w:rPr>
          <w:rFonts w:ascii="Courier New" w:cs="Courier New" w:eastAsia="Courier New" w:hAnsi="Courier New"/>
          <w:sz w:val="16"/>
          <w:szCs w:val="16"/>
          <w:color w:val="auto"/>
        </w:rPr>
        <w:t>------------------------------------</w:t>
      </w:r>
    </w:p>
    <w:p>
      <w:pPr>
        <w:ind w:left="4540"/>
        <w:spacing w:after="0" w:line="238" w:lineRule="auto"/>
        <w:rPr>
          <w:sz w:val="20"/>
          <w:szCs w:val="20"/>
          <w:color w:val="auto"/>
        </w:rPr>
      </w:pPr>
      <w:r>
        <w:rPr>
          <w:rFonts w:ascii="Courier New" w:cs="Courier New" w:eastAsia="Courier New" w:hAnsi="Courier New"/>
          <w:sz w:val="18"/>
          <w:szCs w:val="18"/>
          <w:color w:val="auto"/>
        </w:rPr>
        <w:t>Larry E. Finger</w:t>
      </w:r>
    </w:p>
    <w:p>
      <w:pPr>
        <w:ind w:left="4540"/>
        <w:spacing w:after="0"/>
        <w:rPr>
          <w:sz w:val="20"/>
          <w:szCs w:val="20"/>
          <w:color w:val="auto"/>
        </w:rPr>
      </w:pPr>
      <w:r>
        <w:rPr>
          <w:rFonts w:ascii="Courier New" w:cs="Courier New" w:eastAsia="Courier New" w:hAnsi="Courier New"/>
          <w:sz w:val="18"/>
          <w:szCs w:val="18"/>
          <w:color w:val="auto"/>
        </w:rPr>
        <w:t>Senior Vice President,</w:t>
      </w:r>
    </w:p>
    <w:p>
      <w:pPr>
        <w:spacing w:after="0" w:line="3"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Chief Financial Officer and Treasurer</w:t>
      </w:r>
    </w:p>
    <w:p>
      <w:pPr>
        <w:sectPr>
          <w:pgSz w:w="11900" w:h="16838" w:orient="portrait"/>
          <w:cols w:equalWidth="0" w:num="1">
            <w:col w:w="10219"/>
          </w:cols>
          <w:pgMar w:left="240" w:top="717" w:right="1440" w:bottom="1440" w:gutter="0" w:footer="0" w:header="0"/>
        </w:sectPr>
      </w:pPr>
    </w:p>
    <w:bookmarkStart w:id="3" w:name="page4"/>
    <w:bookmarkEnd w:id="3"/>
    <w:p>
      <w:pPr>
        <w:ind w:left="7380"/>
        <w:spacing w:after="0"/>
        <w:rPr>
          <w:sz w:val="20"/>
          <w:szCs w:val="20"/>
          <w:color w:val="auto"/>
        </w:rPr>
      </w:pPr>
      <w:r>
        <w:rPr>
          <w:rFonts w:ascii="Courier New" w:cs="Courier New" w:eastAsia="Courier New" w:hAnsi="Courier New"/>
          <w:sz w:val="16"/>
          <w:szCs w:val="16"/>
          <w:color w:val="auto"/>
        </w:rPr>
        <w:t>Exhibit 16</w:t>
      </w:r>
    </w:p>
    <w:p>
      <w:pPr>
        <w:spacing w:after="0" w:line="200" w:lineRule="exact"/>
        <w:rPr>
          <w:sz w:val="20"/>
          <w:szCs w:val="20"/>
          <w:color w:val="auto"/>
        </w:rPr>
      </w:pPr>
    </w:p>
    <w:p>
      <w:pPr>
        <w:spacing w:after="0" w:line="22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[LOGO]</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ANDERSEN</w:t>
      </w:r>
    </w:p>
    <w:p>
      <w:pPr>
        <w:sectPr>
          <w:pgSz w:w="11900" w:h="16838" w:orient="portrait"/>
          <w:cols w:equalWidth="0" w:num="1">
            <w:col w:w="10219"/>
          </w:cols>
          <w:pgMar w:left="240" w:top="54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180"/>
        <w:spacing w:after="0" w:line="237" w:lineRule="auto"/>
        <w:rPr>
          <w:sz w:val="20"/>
          <w:szCs w:val="20"/>
          <w:color w:val="auto"/>
        </w:rPr>
      </w:pPr>
      <w:r>
        <w:rPr>
          <w:rFonts w:ascii="Courier New" w:cs="Courier New" w:eastAsia="Courier New" w:hAnsi="Courier New"/>
          <w:sz w:val="18"/>
          <w:szCs w:val="18"/>
          <w:color w:val="auto"/>
        </w:rPr>
        <w:t>Office of the Chief Accountant Securities and Exchange Commission 450 Fifth Street, N.W. Washington, D.C. 20549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Arthur Andersen LLP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9020 Towers Crescent Drive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Vienna VA 22162-6220</w:t>
      </w:r>
    </w:p>
    <w:p>
      <w:pPr>
        <w:spacing w:after="0" w:line="238" w:lineRule="auto"/>
        <w:rPr>
          <w:sz w:val="20"/>
          <w:szCs w:val="20"/>
          <w:color w:val="auto"/>
        </w:rPr>
      </w:pPr>
      <w:r>
        <w:rPr>
          <w:rFonts w:ascii="Courier New" w:cs="Courier New" w:eastAsia="Courier New" w:hAnsi="Courier New"/>
          <w:sz w:val="18"/>
          <w:szCs w:val="18"/>
          <w:color w:val="auto"/>
        </w:rPr>
        <w:t>Tel 703 962 2100</w:t>
      </w:r>
    </w:p>
    <w:p>
      <w:pPr>
        <w:spacing w:after="0"/>
        <w:rPr>
          <w:sz w:val="20"/>
          <w:szCs w:val="20"/>
          <w:color w:val="auto"/>
        </w:rPr>
      </w:pPr>
      <w:r>
        <w:rPr>
          <w:rFonts w:ascii="Courier New" w:cs="Courier New" w:eastAsia="Courier New" w:hAnsi="Courier New"/>
          <w:sz w:val="18"/>
          <w:szCs w:val="18"/>
          <w:color w:val="auto"/>
        </w:rPr>
        <w:t>www.andersen.com</w:t>
      </w:r>
    </w:p>
    <w:p>
      <w:pPr>
        <w:spacing w:after="0" w:line="200" w:lineRule="exact"/>
        <w:rPr>
          <w:sz w:val="20"/>
          <w:szCs w:val="20"/>
          <w:color w:val="auto"/>
        </w:rPr>
      </w:pPr>
    </w:p>
    <w:p>
      <w:pPr>
        <w:sectPr>
          <w:pgSz w:w="11900" w:h="16838" w:orient="portrait"/>
          <w:cols w:equalWidth="0" w:num="2">
            <w:col w:w="4760" w:space="720"/>
            <w:col w:w="4739"/>
          </w:cols>
          <w:pgMar w:left="240" w:top="547" w:right="1440"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3, 2002</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Sir/Madam:</w:t>
      </w:r>
    </w:p>
    <w:p>
      <w:pPr>
        <w:sectPr>
          <w:pgSz w:w="11900" w:h="16838" w:orient="portrait"/>
          <w:cols w:equalWidth="0" w:num="1">
            <w:col w:w="10219"/>
          </w:cols>
          <w:pgMar w:left="240" w:top="547" w:right="1440" w:bottom="1440" w:gutter="0" w:footer="0" w:header="0"/>
          <w:type w:val="continuous"/>
        </w:sectPr>
      </w:pPr>
    </w:p>
    <w:p>
      <w:pPr>
        <w:spacing w:after="0" w:line="22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have read Item 4(a) of the current report on Form 8-K of Federal Realty Investment Trust for the event which occurred on June 3, 2002 to be filed with the Securities and Exchange Commission and are in agreement with the statements contained therein.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ARTHUR ANDERSEN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Copy to: Mr. Larry E. Finger, Federal Realty Investment Trust</w:t>
      </w:r>
    </w:p>
    <w:p>
      <w:pPr>
        <w:sectPr>
          <w:pgSz w:w="11900" w:h="16838" w:orient="portrait"/>
          <w:cols w:equalWidth="0" w:num="1">
            <w:col w:w="10219"/>
          </w:cols>
          <w:pgMar w:left="240" w:top="547" w:right="1440" w:bottom="1440" w:gutter="0" w:footer="0" w:header="0"/>
          <w:type w:val="continuous"/>
        </w:sectPr>
      </w:pPr>
    </w:p>
    <w:bookmarkStart w:id="4" w:name="page5"/>
    <w:bookmarkEnd w:id="4"/>
    <w:p>
      <w:pPr>
        <w:ind w:left="7380"/>
        <w:spacing w:after="0"/>
        <w:rPr>
          <w:sz w:val="20"/>
          <w:szCs w:val="20"/>
          <w:color w:val="auto"/>
        </w:rPr>
      </w:pPr>
      <w:r>
        <w:rPr>
          <w:rFonts w:ascii="Courier New" w:cs="Courier New" w:eastAsia="Courier New" w:hAnsi="Courier New"/>
          <w:sz w:val="16"/>
          <w:szCs w:val="16"/>
          <w:color w:val="auto"/>
        </w:rPr>
        <w:t>Exhibit 99</w:t>
      </w:r>
    </w:p>
    <w:p>
      <w:pPr>
        <w:sectPr>
          <w:pgSz w:w="11900" w:h="16838" w:orient="portrait"/>
          <w:cols w:equalWidth="0" w:num="1">
            <w:col w:w="10219"/>
          </w:cols>
          <w:pgMar w:left="240" w:top="54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Investor Inquiries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 Inquiries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180" w:space="720"/>
            <w:col w:w="4319"/>
          </w:cols>
          <w:pgMar w:left="240" w:top="54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Blocher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Investor Relations &amp; Capital Markets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301/998-8166</w:t>
      </w:r>
    </w:p>
    <w:p>
      <w:pPr>
        <w:spacing w:after="0" w:line="238" w:lineRule="auto"/>
        <w:rPr>
          <w:sz w:val="20"/>
          <w:szCs w:val="20"/>
          <w:color w:val="auto"/>
        </w:rPr>
      </w:pPr>
      <w:r>
        <w:rPr>
          <w:rFonts w:ascii="Courier New" w:cs="Courier New" w:eastAsia="Courier New" w:hAnsi="Courier New"/>
          <w:sz w:val="18"/>
          <w:szCs w:val="18"/>
          <w:color w:val="auto"/>
        </w:rPr>
        <w:t>ablocher@federalrealty.com</w:t>
      </w:r>
    </w:p>
    <w:p>
      <w:pPr>
        <w:spacing w:after="0"/>
        <w:rPr>
          <w:sz w:val="20"/>
          <w:szCs w:val="20"/>
          <w:color w:val="auto"/>
        </w:rPr>
      </w:pPr>
      <w:r>
        <w:rPr>
          <w:rFonts w:ascii="Courier New" w:cs="Courier New" w:eastAsia="Courier New" w:hAnsi="Courier New"/>
          <w:sz w:val="18"/>
          <w:szCs w:val="18"/>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Kristine Warner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Corporate Communications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301/998-8212</w:t>
      </w:r>
    </w:p>
    <w:p>
      <w:pPr>
        <w:spacing w:after="0" w:line="238" w:lineRule="auto"/>
        <w:rPr>
          <w:sz w:val="20"/>
          <w:szCs w:val="20"/>
          <w:color w:val="auto"/>
        </w:rPr>
      </w:pPr>
      <w:r>
        <w:rPr>
          <w:rFonts w:ascii="Courier New" w:cs="Courier New" w:eastAsia="Courier New" w:hAnsi="Courier New"/>
          <w:sz w:val="18"/>
          <w:szCs w:val="18"/>
          <w:color w:val="auto"/>
        </w:rPr>
        <w:t>kwarner@federalrealty.com</w:t>
      </w:r>
    </w:p>
    <w:p>
      <w:pPr>
        <w:ind w:left="2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5480" w:space="420"/>
            <w:col w:w="4319"/>
          </w:cols>
          <w:pgMar w:left="240" w:top="547" w:right="1440" w:bottom="1440" w:gutter="0" w:footer="0" w:header="0"/>
          <w:type w:val="continuous"/>
        </w:sectPr>
      </w:pP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FEDERAL REALTY INVESTMENT TRUST APPOINTS</w:t>
      </w:r>
    </w:p>
    <w:p>
      <w:pPr>
        <w:ind w:left="2120"/>
        <w:spacing w:after="0" w:line="238" w:lineRule="auto"/>
        <w:rPr>
          <w:sz w:val="20"/>
          <w:szCs w:val="20"/>
          <w:color w:val="auto"/>
        </w:rPr>
      </w:pPr>
      <w:r>
        <w:rPr>
          <w:rFonts w:ascii="Courier New" w:cs="Courier New" w:eastAsia="Courier New" w:hAnsi="Courier New"/>
          <w:sz w:val="18"/>
          <w:szCs w:val="18"/>
          <w:color w:val="auto"/>
        </w:rPr>
        <w:t>GRANT THORNTON LLP AS INDEPENDENT AUDITOR</w:t>
      </w:r>
    </w:p>
    <w:p>
      <w:pPr>
        <w:spacing w:after="0" w:line="207"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ROCKVILLE, MD (June 4, 2002) - Federal Realty Investment Trust (NYSE:FRT) announced that the Board of Trustees ,upon the recommendation of the Trust's Audit Committee, appointed Grant Thornton LLP as Federal Realty's independent auditor for 2002, replacing Arthur Andersen LLP. Grant Thornton had previously been the Trust's independent auditor for over 20 years between 1977 and 1998.</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role of the independent audit committee is extremely important and the selection of Grant Thornton followed a thorough evaluation of five major accounting firms," said Walter F. Loeb, chairman of the Trust's audit committee. "With the recently announced changes to a shopping center focused business plan, our return to the proven capabilities and continuity of Grant Thornton was compelling," Mr. Loeb concluded.</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Donald C. Wood, president and chief operating officer added, "We appreciate the dedication and professionalism Arthur Andersen brought to the Trust over the past three years and thank both the firm and the individuals we have worked with over that time."</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With worldwide revenues in excess of $1.8 billion, Grant Thornton is a leading provider of accounting, audit and tax services. Founded in 1924, Grant Thornton serves over 10,000 clients worldwide including over 400 U.S. SEC registered clients. Service is provided through 44 U.S. and over 600 international offices.</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547" w:right="1440" w:bottom="1440" w:gutter="0" w:footer="0" w:header="0"/>
          <w:type w:val="continuous"/>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Federal Realty Appoints Grant Thornton as Independent Auditor</w:t>
      </w:r>
    </w:p>
    <w:p>
      <w:pPr>
        <w:spacing w:after="0" w:line="238" w:lineRule="auto"/>
        <w:rPr>
          <w:sz w:val="20"/>
          <w:szCs w:val="20"/>
          <w:color w:val="auto"/>
        </w:rPr>
      </w:pPr>
      <w:r>
        <w:rPr>
          <w:rFonts w:ascii="Courier New" w:cs="Courier New" w:eastAsia="Courier New" w:hAnsi="Courier New"/>
          <w:sz w:val="18"/>
          <w:szCs w:val="18"/>
          <w:color w:val="auto"/>
        </w:rPr>
        <w:t>June 4, 2002</w:t>
      </w:r>
    </w:p>
    <w:p>
      <w:pPr>
        <w:spacing w:after="0"/>
        <w:rPr>
          <w:sz w:val="20"/>
          <w:szCs w:val="20"/>
          <w:color w:val="auto"/>
        </w:rPr>
      </w:pPr>
      <w:r>
        <w:rPr>
          <w:rFonts w:ascii="Courier New" w:cs="Courier New" w:eastAsia="Courier New" w:hAnsi="Courier New"/>
          <w:sz w:val="18"/>
          <w:szCs w:val="18"/>
          <w:color w:val="auto"/>
        </w:rPr>
        <w:t>Page 2</w:t>
      </w:r>
    </w:p>
    <w:p>
      <w:pPr>
        <w:spacing w:after="0" w:line="20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Federal Realty Investment Trust is an equity real estate investment trust specializing in the ownership, management, development and re-development of shopping center and street retail properties. Federal Realty's portfolio contains 15.1 million square feet located in major metropolitan markets across the United States. The operating portfolio is currently 95.5% leased to over 2,100 national, regional and local retailers with no single tenant accounting for more than 2.4% of rental revenue. Federal Realty has paid quarterly dividends to its shareholders continuously since its founding in 1962, and has increased its dividend rate for 34 consecutive years, the longest consecutive record in the REIT industry. Shares of Federal Realty are traded on the New York Stock Exchange under the symbol FRT. Additional information about Federal Realty can be found on the Internet at www.federalrealty.com.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 Language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Certain matters discussed within this press release may be deemed to be forward looking statements within the meaning of the Private Securities Litigation Reform Act of 1995. Although Federal Realty Investment Trust believes the expectations reflected in such forward looking statements are based on reasonable assumptions, it can give no assurance that its expectations will be attained. Factors that could cause actual results to differ materially from Federal's expectations are detailed from time to time in the Company's SEC reports and filings, including its annual report on Form 10-K. Federal Realty assumes no obligation to update or supplement forward-looking statements that become untrue because of subsequent events.</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lvl w:ilvl="1">
      <w:lvlJc w:val="left"/>
      <w:lvlText w:val="(%2)"/>
      <w:numFmt w:val="lowerRoman"/>
      <w:start w:val="1"/>
    </w:lvl>
  </w:abstractNum>
  <w:abstractNum w:abstractNumId="1">
    <w:nsid w:val="74B0DC51"/>
    <w:multiLevelType w:val="hybridMultilevel"/>
    <w:lvl w:ilvl="0">
      <w:lvlJc w:val="left"/>
      <w:lvlText w:val="(%1)"/>
      <w:numFmt w:val="lowerLetter"/>
      <w:start w:val="3"/>
    </w:lvl>
    <w:lvl w:ilvl="1">
      <w:lvlJc w:val="left"/>
      <w:lvlText w:val="%2."/>
      <w:numFmt w:val="decimal"/>
      <w:start w:val="16"/>
    </w:lvl>
  </w:abstractNum>
  <w:abstractNum w:abstractNumId="2">
    <w:nsid w:val="19495CFF"/>
    <w:multiLevelType w:val="hybridMultilevel"/>
    <w:lvl w:ilvl="0">
      <w:lvlJc w:val="left"/>
      <w:lvlText w:val="%1."/>
      <w:numFmt w:val="decimal"/>
      <w:start w:val="9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2019-12-13T00:52:57Z</dcterms:created>
  <dcterms:modified xsi:type="dcterms:W3CDTF">2019-12-13T00:52:57Z</dcterms:modified>
</cp:coreProperties>
</file>