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4"/>
              <w:spacing w:after="0"/>
              <w:rPr>
                <w:sz w:val="20"/>
                <w:szCs w:val="20"/>
                <w:color w:val="auto"/>
              </w:rPr>
            </w:pPr>
            <w:r>
              <w:rPr>
                <w:rFonts w:ascii="Arial" w:cs="Arial" w:eastAsia="Arial" w:hAnsi="Arial"/>
                <w:sz w:val="18"/>
                <w:szCs w:val="18"/>
                <w:b w:val="1"/>
                <w:bCs w:val="1"/>
                <w:color w:val="auto"/>
                <w:w w:val="93"/>
              </w:rPr>
              <w:t>Maryland</w:t>
            </w:r>
          </w:p>
        </w:tc>
        <w:tc>
          <w:tcPr>
            <w:tcW w:w="2440" w:type="dxa"/>
            <w:vAlign w:val="bottom"/>
          </w:tcPr>
          <w:p>
            <w:pPr>
              <w:jc w:val="center"/>
              <w:ind w:right="1086"/>
              <w:spacing w:after="0"/>
              <w:rPr>
                <w:sz w:val="20"/>
                <w:szCs w:val="20"/>
                <w:color w:val="auto"/>
              </w:rPr>
            </w:pPr>
            <w:r>
              <w:rPr>
                <w:rFonts w:ascii="Arial" w:cs="Arial" w:eastAsia="Arial" w:hAnsi="Arial"/>
                <w:sz w:val="18"/>
                <w:szCs w:val="18"/>
                <w:b w:val="1"/>
                <w:bCs w:val="1"/>
                <w:color w:val="auto"/>
                <w:w w:val="90"/>
              </w:rPr>
              <w:t>1-07533</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4020" w:type="dxa"/>
            <w:vAlign w:val="bottom"/>
          </w:tcPr>
          <w:p>
            <w:pPr>
              <w:jc w:val="center"/>
              <w:ind w:right="240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4"/>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460" w:type="dxa"/>
            <w:vAlign w:val="bottom"/>
            <w:gridSpan w:val="2"/>
          </w:tcPr>
          <w:p>
            <w:pPr>
              <w:jc w:val="center"/>
              <w:ind w:right="1086"/>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4020" w:type="dxa"/>
            <w:vAlign w:val="bottom"/>
          </w:tcPr>
          <w:p>
            <w:pPr>
              <w:jc w:val="center"/>
              <w:ind w:left="12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July 1, 2011, Jeffrey S. Berkes will assume responsibility for overseeing the operation, management, leasing, development and acquisitions of Federal Realty Investment Trust’s (the “Trust”) West Coast region as the Trust’s Executive Vice President-Western Region and as President of a wholly owned subsidiary of the Trust, Federal Realty West Coast, Inc. With this change in responsibility, Mr. Berkes will, as of July 1, 2011, no longer be deemed an executive officer of the Trust for purposes of Item 402 of Regulation S-K nor an officer with reporting requirements under Section 16 of the Securities Exchange Act of 1934, as amended. In connection with his new responsibilities, the Board of Trustees of the Trust approved increasing Mr. Berkes’ base salary from $375,000 to $400,000 effective July 1, 2011. The Board may consider additional changes to Mr. Berkes’ compensation package next year.</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June 14, 2011</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2019-12-10T00:41:49Z</dcterms:created>
  <dcterms:modified xsi:type="dcterms:W3CDTF">2019-12-10T00:41:49Z</dcterms:modified>
</cp:coreProperties>
</file>