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779"/>
        <w:spacing w:after="0"/>
        <w:rPr>
          <w:sz w:val="20"/>
          <w:szCs w:val="20"/>
          <w:color w:val="auto"/>
        </w:rPr>
      </w:pPr>
      <w:r>
        <w:rPr>
          <w:rFonts w:ascii="Courier New" w:cs="Courier New" w:eastAsia="Courier New" w:hAnsi="Courier New"/>
          <w:sz w:val="18"/>
          <w:szCs w:val="18"/>
          <w:color w:val="auto"/>
        </w:rPr>
        <w:t>PURSUANT TO RULE 424(b)(2)</w:t>
      </w:r>
    </w:p>
    <w:p>
      <w:pPr>
        <w:jc w:val="right"/>
        <w:ind w:right="1779"/>
        <w:spacing w:after="0" w:line="238" w:lineRule="auto"/>
        <w:rPr>
          <w:sz w:val="20"/>
          <w:szCs w:val="20"/>
          <w:color w:val="auto"/>
        </w:rPr>
      </w:pPr>
      <w:r>
        <w:rPr>
          <w:rFonts w:ascii="Courier New" w:cs="Courier New" w:eastAsia="Courier New" w:hAnsi="Courier New"/>
          <w:sz w:val="18"/>
          <w:szCs w:val="18"/>
          <w:color w:val="auto"/>
        </w:rPr>
        <w:t>REGISTRATION NO. 033-63687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 SUPPLEMENT</w:t>
      </w:r>
    </w:p>
    <w:p>
      <w:pPr>
        <w:spacing w:after="0" w:line="238" w:lineRule="auto"/>
        <w:rPr>
          <w:sz w:val="20"/>
          <w:szCs w:val="20"/>
          <w:color w:val="auto"/>
        </w:rPr>
      </w:pPr>
      <w:r>
        <w:rPr>
          <w:rFonts w:ascii="Courier New" w:cs="Courier New" w:eastAsia="Courier New" w:hAnsi="Courier New"/>
          <w:sz w:val="18"/>
          <w:szCs w:val="18"/>
          <w:color w:val="auto"/>
        </w:rPr>
        <w:t>(TO PROSPECTUS DATED NOVEMBER 7, 1995)</w:t>
      </w:r>
    </w:p>
    <w:p>
      <w:pPr>
        <w:spacing w:after="0"/>
        <w:rPr>
          <w:sz w:val="20"/>
          <w:szCs w:val="20"/>
          <w:color w:val="auto"/>
        </w:rPr>
      </w:pPr>
      <w:r>
        <w:rPr>
          <w:rFonts w:ascii="Courier New" w:cs="Courier New" w:eastAsia="Courier New" w:hAnsi="Courier New"/>
          <w:sz w:val="18"/>
          <w:szCs w:val="18"/>
          <w:color w:val="auto"/>
        </w:rPr>
        <w:t>1,818,182 Shares</w:t>
      </w: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[FEDERAL REALTY INVESTMENT TRUST LOGO]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Shares</w:t>
      </w:r>
    </w:p>
    <w:p>
      <w:pPr>
        <w:spacing w:after="0" w:line="238" w:lineRule="auto"/>
        <w:rPr>
          <w:sz w:val="20"/>
          <w:szCs w:val="20"/>
          <w:color w:val="auto"/>
        </w:rPr>
      </w:pPr>
      <w:r>
        <w:rPr>
          <w:rFonts w:ascii="Courier New" w:cs="Courier New" w:eastAsia="Courier New" w:hAnsi="Courier New"/>
          <w:sz w:val="18"/>
          <w:szCs w:val="18"/>
          <w:color w:val="auto"/>
        </w:rPr>
        <w:t>(no par or stated value)</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Founded in 1962, Federal Realty Investment Trust (the "Trust") is an owner, operator and redeveloper of community and neighborhood shopping centers. At May 21, 1996, the Trust owned 73 retail properties, principally community and neighborhood shopping centers. The Trust is offering 1,818,182 common shares of beneficial interest, no par or stated value (the "Shares"). The Trust's Shares are listed on the New York Stock Exchange under the symbol "FRT." The last reported sale price for the Shares on May 21, 1996 was $21 1/8.</w:t>
      </w:r>
    </w:p>
    <w:p>
      <w:pPr>
        <w:spacing w:after="0" w:line="211" w:lineRule="exact"/>
        <w:rPr>
          <w:sz w:val="24"/>
          <w:szCs w:val="24"/>
          <w:color w:val="auto"/>
        </w:rPr>
      </w:pPr>
    </w:p>
    <w:p>
      <w:pPr>
        <w:ind w:right="2099"/>
        <w:spacing w:after="0" w:line="273"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SUPPLEMENT OR THE ACCOMPANYING PROSPECTUS. ANY REPRESENTATION TO THE CONTRARY IS A CRIMINAL OFFENSE.</w:t>
      </w:r>
    </w:p>
    <w:p>
      <w:pPr>
        <w:spacing w:after="0" w:line="200" w:lineRule="exact"/>
        <w:rPr>
          <w:sz w:val="24"/>
          <w:szCs w:val="24"/>
          <w:color w:val="auto"/>
        </w:rPr>
      </w:pPr>
    </w:p>
    <w:p>
      <w:pPr>
        <w:spacing w:after="0" w:line="38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4"/>
          <w:szCs w:val="24"/>
          <w:color w:val="auto"/>
        </w:rPr>
      </w:pPr>
    </w:p>
    <w:p>
      <w:pPr>
        <w:ind w:left="1160" w:right="3039"/>
        <w:spacing w:after="0" w:line="235" w:lineRule="auto"/>
        <w:rPr>
          <w:sz w:val="20"/>
          <w:szCs w:val="20"/>
          <w:color w:val="auto"/>
        </w:rPr>
      </w:pPr>
      <w:r>
        <w:rPr>
          <w:rFonts w:ascii="Courier New" w:cs="Courier New" w:eastAsia="Courier New" w:hAnsi="Courier New"/>
          <w:sz w:val="18"/>
          <w:szCs w:val="18"/>
          <w:color w:val="auto"/>
        </w:rPr>
        <w:t>PRICE TO UNDERWRITING PROCEEDS TO PUBLIC DISCOUNT (1) TRUST (2)</w:t>
      </w: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rPr>
              <w:t>Per Share</w:t>
            </w:r>
          </w:p>
        </w:tc>
        <w:tc>
          <w:tcPr>
            <w:tcW w:w="1900" w:type="dxa"/>
            <w:vAlign w:val="bottom"/>
          </w:tcPr>
          <w:p>
            <w:pPr>
              <w:ind w:left="100"/>
              <w:spacing w:after="0"/>
              <w:rPr>
                <w:sz w:val="20"/>
                <w:szCs w:val="20"/>
                <w:color w:val="auto"/>
              </w:rPr>
            </w:pPr>
            <w:r>
              <w:rPr>
                <w:rFonts w:ascii="Courier New" w:cs="Courier New" w:eastAsia="Courier New" w:hAnsi="Courier New"/>
                <w:sz w:val="18"/>
                <w:szCs w:val="18"/>
                <w:color w:val="auto"/>
              </w:rPr>
              <w:t>$22.00</w:t>
            </w:r>
          </w:p>
        </w:tc>
        <w:tc>
          <w:tcPr>
            <w:tcW w:w="2260" w:type="dxa"/>
            <w:vAlign w:val="bottom"/>
          </w:tcPr>
          <w:p>
            <w:pPr>
              <w:ind w:left="620"/>
              <w:spacing w:after="0"/>
              <w:rPr>
                <w:sz w:val="20"/>
                <w:szCs w:val="20"/>
                <w:color w:val="auto"/>
              </w:rPr>
            </w:pPr>
            <w:r>
              <w:rPr>
                <w:rFonts w:ascii="Courier New" w:cs="Courier New" w:eastAsia="Courier New" w:hAnsi="Courier New"/>
                <w:sz w:val="18"/>
                <w:szCs w:val="18"/>
                <w:color w:val="auto"/>
              </w:rPr>
              <w:t>$0.33</w:t>
            </w:r>
          </w:p>
        </w:tc>
        <w:tc>
          <w:tcPr>
            <w:tcW w:w="2160" w:type="dxa"/>
            <w:vAlign w:val="bottom"/>
          </w:tcPr>
          <w:p>
            <w:pPr>
              <w:ind w:left="800"/>
              <w:spacing w:after="0"/>
              <w:rPr>
                <w:sz w:val="20"/>
                <w:szCs w:val="20"/>
                <w:color w:val="auto"/>
              </w:rPr>
            </w:pPr>
            <w:r>
              <w:rPr>
                <w:rFonts w:ascii="Courier New" w:cs="Courier New" w:eastAsia="Courier New" w:hAnsi="Courier New"/>
                <w:sz w:val="18"/>
                <w:szCs w:val="18"/>
                <w:color w:val="auto"/>
              </w:rPr>
              <w:t>$21.67</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w:t>
            </w:r>
          </w:p>
        </w:tc>
        <w:tc>
          <w:tcPr>
            <w:tcW w:w="1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$40,000,004</w:t>
            </w:r>
          </w:p>
        </w:tc>
        <w:tc>
          <w:tcPr>
            <w:tcW w:w="22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$600,000</w:t>
            </w:r>
          </w:p>
        </w:tc>
        <w:tc>
          <w:tcPr>
            <w:tcW w:w="216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$39,400,004</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72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(1)The Trust has agreed to indemnify the Underwriter against certain liabilities, including liabilities under the Securities Act of 1933, as amended. See "Underwriting."</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(2)Before deducting expenses payable by the Trust estimated at $60,000.</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Shares offered by this Prospectus Supplement are being offered by the Underwriter, subject to prior sale, when, as and if delivered to and accepted by the Underwriter, and subject to approval of certain legal matters by Brown &amp; Wood, counsel for the Underwriter, and certain other conditions. It is expected that delivery of the Shares will be made against payment therefor in immediately available funds on or about May 24, 1996 at the offices of J.P. Morgan Securities Inc., 60 Wall Street, New York, New York 10260.</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J.P. MORGAN &amp; CO.</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May 21, 1996</w:t>
      </w:r>
    </w:p>
    <w:p>
      <w:pPr>
        <w:sectPr>
          <w:pgSz w:w="11900" w:h="16838" w:orient="portrait"/>
          <w:cols w:equalWidth="0" w:num="1">
            <w:col w:w="10219"/>
          </w:cols>
          <w:pgMar w:left="240" w:top="447" w:right="1440" w:bottom="1440" w:gutter="0" w:footer="0" w:header="0"/>
        </w:sectPr>
      </w:pPr>
    </w:p>
    <w:bookmarkStart w:id="1" w:name="page2"/>
    <w:bookmarkEnd w:id="1"/>
    <w:p>
      <w:pPr>
        <w:ind w:right="1999"/>
        <w:spacing w:after="0" w:line="237" w:lineRule="auto"/>
        <w:rPr>
          <w:sz w:val="20"/>
          <w:szCs w:val="20"/>
          <w:color w:val="auto"/>
        </w:rPr>
      </w:pPr>
      <w:r>
        <w:rPr>
          <w:rFonts w:ascii="Courier New" w:cs="Courier New" w:eastAsia="Courier New" w:hAnsi="Courier New"/>
          <w:sz w:val="18"/>
          <w:szCs w:val="18"/>
          <w:color w:val="auto"/>
        </w:rPr>
        <w:t>IN CONNECTION WITH THIS OFFERING, THE UNDERWRITER MAY OVER-ALLOT OR EFFECT TRANSACTIONS WHICH STABILIZE OR MAINTAIN THE MARKET PRICE OF THE SHARES OF THE TRUST AT A LEVEL ABOVE THAT WHICH MIGHT OTHERWISE PREVAIL IN THE OPEN MARKET. SUCH TRANSACTIONS MAY BE EFFECTED ON THE NEW YORK STOCK EXCHANGE OR OTHERWISE. SUCH STABILIZING, IF COMMENCED, MAY BE DISCONTINUED AT ANY TIME.</w:t>
      </w: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No person has been authorized in connection with the offering made hereby to give any information or to make any representation not contained in this Prospectus Supplement or the Prospectus and, if given or made, such information or representation must not be relied upon as having been authorized by the Trust or the Underwriter. This Prospectus Supplement and the Prospectus do not constitute an offer to sell or a solicitation of an offer to buy any of the Shares offered hereby to any person or by anyone in any jurisdiction in which it is unlawful to make such offer or solicitation. Neither the delivery of this Prospectus Supplement and Prospectus nor any sale made hereunder shall, under any circumstances, create any implication that the information contained herein is correct as of any date subsequent to the date hereof.</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TABLE OF</w:t>
            </w:r>
          </w:p>
        </w:tc>
        <w:tc>
          <w:tcPr>
            <w:tcW w:w="1060" w:type="dxa"/>
            <w:vAlign w:val="bottom"/>
          </w:tcPr>
          <w:p>
            <w:pPr>
              <w:spacing w:after="0"/>
              <w:rPr>
                <w:sz w:val="20"/>
                <w:szCs w:val="20"/>
                <w:color w:val="auto"/>
              </w:rPr>
            </w:pPr>
            <w:r>
              <w:rPr>
                <w:rFonts w:ascii="Courier New" w:cs="Courier New" w:eastAsia="Courier New" w:hAnsi="Courier New"/>
                <w:sz w:val="18"/>
                <w:szCs w:val="18"/>
                <w:color w:val="auto"/>
              </w:rPr>
              <w:t>CONTENTS</w:t>
            </w:r>
          </w:p>
        </w:tc>
      </w:tr>
      <w:tr>
        <w:trPr>
          <w:trHeight w:val="405"/>
        </w:trPr>
        <w:tc>
          <w:tcPr>
            <w:tcW w:w="306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PROSPECTUS SUPPLEMENT</w:t>
            </w:r>
          </w:p>
        </w:tc>
      </w:tr>
      <w:tr>
        <w:trPr>
          <w:trHeight w:val="810"/>
        </w:trPr>
        <w:tc>
          <w:tcPr>
            <w:tcW w:w="30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06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80"/>
              </w:rPr>
              <w:t>The Trust .........................</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S-3</w:t>
            </w:r>
          </w:p>
        </w:tc>
        <w:tc>
          <w:tcPr>
            <w:tcW w:w="106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Use of Proceeds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Price Range of the Shares and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9"/>
              </w:rPr>
              <w:t>Distributions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Underwriting ......................</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S-4</w:t>
            </w:r>
          </w:p>
        </w:tc>
        <w:tc>
          <w:tcPr>
            <w:tcW w:w="106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222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PROSPECTUS</w:t>
            </w:r>
          </w:p>
        </w:tc>
      </w:tr>
      <w:tr>
        <w:trPr>
          <w:trHeight w:val="810"/>
        </w:trPr>
        <w:tc>
          <w:tcPr>
            <w:tcW w:w="30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c>
          <w:tcPr>
            <w:tcW w:w="1060" w:type="dxa"/>
            <w:vAlign w:val="bottom"/>
          </w:tcPr>
          <w:p>
            <w:pPr>
              <w:spacing w:after="0"/>
              <w:rPr>
                <w:sz w:val="24"/>
                <w:szCs w:val="24"/>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w w:val="80"/>
              </w:rPr>
              <w:t>Available Information .............</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24"/>
                <w:szCs w:val="24"/>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Incorporation of Certain Documents</w:t>
            </w: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9"/>
              </w:rPr>
              <w:t>by Reference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The Trust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Use of Proceeds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Ratios of Earnings to Fixed</w:t>
            </w:r>
          </w:p>
        </w:tc>
        <w:tc>
          <w:tcPr>
            <w:tcW w:w="11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9"/>
              </w:rPr>
              <w:t>Charges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w:t>
            </w:r>
          </w:p>
        </w:tc>
        <w:tc>
          <w:tcPr>
            <w:tcW w:w="106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Description of Debt Securities ....   4</w:t>
            </w:r>
          </w:p>
        </w:tc>
        <w:tc>
          <w:tcPr>
            <w:tcW w:w="1060" w:type="dxa"/>
            <w:vAlign w:val="bottom"/>
          </w:tcPr>
          <w:p>
            <w:pPr>
              <w:spacing w:after="0"/>
              <w:rPr>
                <w:sz w:val="17"/>
                <w:szCs w:val="17"/>
                <w:color w:val="auto"/>
              </w:rPr>
            </w:pP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Description of Preferred Shares ...  15</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Description of Common Shares</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21</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Plan of Distribution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Legal Opinions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106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80"/>
              </w:rPr>
              <w:t>Experts ...........................</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106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222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2"/>
              </w:rPr>
              <w:t>S-2</w:t>
            </w:r>
          </w:p>
        </w:tc>
      </w:tr>
    </w:tbl>
    <w:p>
      <w:pPr>
        <w:sectPr>
          <w:pgSz w:w="11900" w:h="16838" w:orient="portrait"/>
          <w:cols w:equalWidth="0" w:num="1">
            <w:col w:w="10219"/>
          </w:cols>
          <w:pgMar w:left="240" w:top="723" w:right="1440" w:bottom="1440" w:gutter="0" w:footer="0" w:header="0"/>
        </w:sectPr>
      </w:pPr>
    </w:p>
    <w:bookmarkStart w:id="2" w:name="page3"/>
    <w:bookmarkEnd w:id="2"/>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retail properties, principally community and neighborhood shopping centers. Founded in 1962, the Trust is a self-administered real estate investment trust that manages, leases and supervises renovation of its properties. At May 21, 1996, the Trust owned 73 retail properties. At March 31, 1996, the occupancy rate of the core retail portfolio (which excludes properties acquired in the previous twelve months and centers under redevelopment) was 95%. Including all retail properties owned at March 31, 1996, the occupancy rate was 95%.</w:t>
      </w:r>
    </w:p>
    <w:p>
      <w:pPr>
        <w:spacing w:after="0" w:line="21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Trust intends to continue its acquisition of retail properties, both shopping center and main street retail buildings, and redevelopment activities in 1996. Acquisitions are targeted for the Trust's core major metropolitan markets of New York/New Jersey, Philadelphia, Baltimore/Washington, D.C., Chicago, Illinois, and Boston, Massachusetts. In addition, the Trust is also pursuing site acquisitions in its core markets to permit the Trust to develop new shopping centers. The Trust, a District of Columbia business trust of unlimited duration, maintains its offices at 4800 Hampden Lane, Bethesda, Maryland 20814 (telephone 301/652-3360).</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The net proceeds to the Trust from the sale of the Shares offered hereby, are estimated to be $39,340,000. The Trust intends to use the proceeds to repay debt, principally the Trust's revolving credit facilities.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PRICE RANGE OF THE SHARES AND DISTRIBUTIONS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Trust's Shares are listed on the New York Stock Exchange under the symbol "FRT." The following table sets forth the high and low sale prices of the Shares for the periods indicated and the distributions made per Share in such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348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DISTRIBUTIONS</w:t>
            </w:r>
          </w:p>
        </w:tc>
      </w:tr>
      <w:tr>
        <w:trPr>
          <w:trHeight w:val="203"/>
        </w:trPr>
        <w:tc>
          <w:tcPr>
            <w:tcW w:w="3900" w:type="dxa"/>
            <w:vAlign w:val="bottom"/>
          </w:tcPr>
          <w:p>
            <w:pPr>
              <w:spacing w:after="0"/>
              <w:rPr>
                <w:sz w:val="17"/>
                <w:szCs w:val="17"/>
                <w:color w:val="auto"/>
              </w:rPr>
            </w:pPr>
          </w:p>
        </w:tc>
        <w:tc>
          <w:tcPr>
            <w:tcW w:w="1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HIGH</w:t>
            </w: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42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MADE</w:t>
            </w:r>
          </w:p>
        </w:tc>
      </w:tr>
      <w:tr>
        <w:trPr>
          <w:trHeight w:val="203"/>
        </w:trPr>
        <w:tc>
          <w:tcPr>
            <w:tcW w:w="3900" w:type="dxa"/>
            <w:vAlign w:val="bottom"/>
          </w:tcPr>
          <w:p>
            <w:pPr>
              <w:spacing w:after="0"/>
              <w:rPr>
                <w:sz w:val="17"/>
                <w:szCs w:val="17"/>
                <w:color w:val="auto"/>
              </w:rPr>
            </w:pP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1st Quarter</w:t>
            </w:r>
          </w:p>
        </w:tc>
        <w:tc>
          <w:tcPr>
            <w:tcW w:w="10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$29 1/2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.390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2nd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7/8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3rd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4th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3/4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5/8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1.565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1st Quarter</w:t>
            </w:r>
          </w:p>
        </w:tc>
        <w:tc>
          <w:tcPr>
            <w:tcW w:w="5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83"/>
              </w:rPr>
              <w:t>22</w:t>
            </w:r>
          </w:p>
        </w:tc>
        <w:tc>
          <w:tcPr>
            <w:tcW w:w="480" w:type="dxa"/>
            <w:vAlign w:val="bottom"/>
          </w:tcPr>
          <w:p>
            <w:pPr>
              <w:spacing w:after="0"/>
              <w:rPr>
                <w:sz w:val="17"/>
                <w:szCs w:val="17"/>
                <w:color w:val="auto"/>
              </w:rPr>
            </w:pP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2nd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3/4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3rd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1/8</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4th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1.595</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1st Quarter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1/4</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2nd Quarter (through May 21, 1996)</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w:t>
            </w:r>
          </w:p>
        </w:tc>
        <w:tc>
          <w:tcPr>
            <w:tcW w:w="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5/8</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1/2</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.410</w:t>
            </w:r>
          </w:p>
        </w:tc>
      </w:tr>
    </w:tbl>
    <w:p>
      <w:pPr>
        <w:spacing w:after="0" w:line="200" w:lineRule="exact"/>
        <w:rPr>
          <w:sz w:val="20"/>
          <w:szCs w:val="20"/>
          <w:color w:val="auto"/>
        </w:rPr>
      </w:pP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last reported sale price of the Shares on the New York Stock Exchange on May 21, 1996 was $21 1/8 per Share. As of December 31, 1995, there were 5,342 registered holders of Shares.</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S-3</w:t>
      </w:r>
    </w:p>
    <w:p>
      <w:pPr>
        <w:sectPr>
          <w:pgSz w:w="11900" w:h="16838" w:orient="portrait"/>
          <w:cols w:equalWidth="0" w:num="1">
            <w:col w:w="10219"/>
          </w:cols>
          <w:pgMar w:left="240" w:top="717" w:right="1440" w:bottom="144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The Trust has made 134 consecutive quarterly distributions and has increased its distribution rate every year for each of the last 28 years. The current indicated annual distribution rate is $1.64 per Share. The Trust's ability to make distributions depends on a number of factors, including its net cash provided by operating activities, capital commitments and debt repayment schedules.</w:t>
      </w:r>
    </w:p>
    <w:p>
      <w:pPr>
        <w:spacing w:after="0" w:line="210"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For federal income tax purposes, distributions made to shareholders may consist of ordinary income, capital gains distributions, non-taxable return of capital or a combination thereof. Distributions that exceed the Trust's current and accumulated earnings and profits constitute a return of capital and reduce the shareholder's basis in his Shares. To the extent that a distribution exceeds both current and accumulated earnings and profits and the shareholder's basis in his Shares, it will generally be treated as gain from the sale or exchange of that shareholder's Shares. If the Trust designates certain distributions as capital gains distributions in accordance with Section 857(b)(3)(B) and (C) of the Internal Revenue Code of 1986, as amended (the "Code"), such distributions will be taxable as long-term capital gains to the shareholder, regardless of the length of time the shareholder has held his Shares. Under Section 291 of the Code, however, a corporate shareholder may be required to treat up to 20% of a capital gains distribution as ordinary income. Any loss upon the sale or exchange of Shares held for six months or less will be treated as long-term capital loss to the extent of any capital gains distributions received by the shareholder. The Trust annually notifies shareholders as to the taxability of distributions made during the preceding year. Since 1991, cash distributions per Share made to shareholders have been taxable as set forth below.</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17"/>
                <w:szCs w:val="17"/>
                <w:color w:val="auto"/>
              </w:rPr>
            </w:pPr>
          </w:p>
        </w:tc>
        <w:tc>
          <w:tcPr>
            <w:tcW w:w="3960" w:type="dxa"/>
            <w:vAlign w:val="bottom"/>
            <w:gridSpan w:val="5"/>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2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2260" w:type="dxa"/>
            <w:vAlign w:val="bottom"/>
          </w:tcPr>
          <w:p>
            <w:pPr>
              <w:spacing w:after="0"/>
              <w:rPr>
                <w:sz w:val="17"/>
                <w:szCs w:val="17"/>
                <w:color w:val="auto"/>
              </w:rPr>
            </w:pPr>
          </w:p>
        </w:tc>
        <w:tc>
          <w:tcPr>
            <w:tcW w:w="39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Ordinary income</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.83</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.610</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$1.095</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 .815</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$1.165</w:t>
            </w:r>
          </w:p>
        </w:tc>
      </w:tr>
      <w:tr>
        <w:trPr>
          <w:trHeight w:val="203"/>
        </w:trPr>
        <w:tc>
          <w:tcPr>
            <w:tcW w:w="2260" w:type="dxa"/>
            <w:vAlign w:val="bottom"/>
          </w:tcPr>
          <w:p>
            <w:pPr>
              <w:spacing w:after="0" w:line="203" w:lineRule="exact"/>
              <w:rPr>
                <w:sz w:val="20"/>
                <w:szCs w:val="20"/>
                <w:color w:val="auto"/>
              </w:rPr>
            </w:pPr>
            <w:r>
              <w:rPr>
                <w:rFonts w:ascii="Courier New" w:cs="Courier New" w:eastAsia="Courier New" w:hAnsi="Courier New"/>
                <w:sz w:val="18"/>
                <w:szCs w:val="18"/>
                <w:color w:val="auto"/>
              </w:rPr>
              <w:t>Return of capital</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.915</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w:t>
            </w:r>
          </w:p>
        </w:tc>
      </w:tr>
    </w:tbl>
    <w:p>
      <w:pPr>
        <w:ind w:left="4020" w:hanging="641"/>
        <w:spacing w:after="0" w:line="238" w:lineRule="auto"/>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 ------</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distributions made  $1.49 $1.525 $1.545 $1.565 $1.595</w:t>
      </w:r>
    </w:p>
    <w:p>
      <w:pPr>
        <w:jc w:val="center"/>
        <w:ind w:right="-20"/>
        <w:spacing w:after="0"/>
        <w:rPr>
          <w:sz w:val="20"/>
          <w:szCs w:val="20"/>
          <w:color w:val="auto"/>
        </w:rPr>
      </w:pPr>
      <w:r>
        <w:rPr>
          <w:rFonts w:ascii="Courier New" w:cs="Courier New" w:eastAsia="Courier New" w:hAnsi="Courier New"/>
          <w:sz w:val="18"/>
          <w:szCs w:val="18"/>
          <w:color w:val="auto"/>
        </w:rPr>
        <w:t>===== ====== ====== ====== ======</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Trust offers a dividend reinvestment plan which allows its shareholders to automatically reinvest distributions, as well as make voluntary cash payments towards the purchase of additional Shares.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UNDERWRITING</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Under the terms and subject to the conditions contained in an Underwriting Agreement dated the date hereof (the "Underwriting Agreement"), the Underwriter, J.P. Morgan Securities Inc., has agreed to purchase, and the Trust has agreed to sell, all of the Shares. The Underwriting Agreement provides that the obligations of the Underwriter to pay for and accept delivery of the Shares offered hereby are subject to the approval of certain legal matters by its counsel and to certain other conditions. The Underwriter is committed to take and pay for all of the Shares offered hereby if any are taken.</w:t>
      </w:r>
    </w:p>
    <w:p>
      <w:pPr>
        <w:spacing w:after="0" w:line="186"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In the Underwriting Agreement, the Trust has agreed to indemnify the Underwriter against certain liabilities, including liabilities under the Securities Act of 1933, as amended, or to contribute to payments the Underwriter may be required to make in respect thereof.</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S-4</w:t>
      </w:r>
    </w:p>
    <w:p>
      <w:pPr>
        <w:sectPr>
          <w:pgSz w:w="11900" w:h="16838" w:orient="portrait"/>
          <w:cols w:equalWidth="0" w:num="1">
            <w:col w:w="10219"/>
          </w:cols>
          <w:pgMar w:left="240" w:top="723" w:right="1440" w:bottom="1440" w:gutter="0" w:footer="0" w:header="0"/>
        </w:sectPr>
      </w:pPr>
    </w:p>
    <w:bookmarkStart w:id="4" w:name="page5"/>
    <w:bookmarkEnd w:id="4"/>
    <w:p>
      <w:pPr>
        <w:jc w:val="center"/>
        <w:ind w:right="1999"/>
        <w:spacing w:after="0"/>
        <w:rPr>
          <w:sz w:val="20"/>
          <w:szCs w:val="20"/>
          <w:color w:val="auto"/>
        </w:rPr>
      </w:pPr>
      <w:r>
        <w:rPr>
          <w:rFonts w:ascii="Courier New" w:cs="Courier New" w:eastAsia="Courier New" w:hAnsi="Courier New"/>
          <w:sz w:val="18"/>
          <w:szCs w:val="18"/>
          <w:color w:val="auto"/>
        </w:rPr>
        <w:t>[FEDERAL REALTY INVESTMENT TRUST LOGO]</w:t>
      </w:r>
    </w:p>
    <w:p>
      <w:pPr>
        <w:jc w:val="center"/>
        <w:ind w:right="1999"/>
        <w:spacing w:after="0" w:line="238" w:lineRule="auto"/>
        <w:rPr>
          <w:sz w:val="20"/>
          <w:szCs w:val="20"/>
          <w:color w:val="auto"/>
        </w:rPr>
      </w:pPr>
      <w:r>
        <w:rPr>
          <w:rFonts w:ascii="Courier New" w:cs="Courier New" w:eastAsia="Courier New" w:hAnsi="Courier New"/>
          <w:sz w:val="18"/>
          <w:szCs w:val="18"/>
          <w:color w:val="auto"/>
        </w:rPr>
        <w:t>$480,000,000</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DEBT SECURITIES, PREFERRED SHARES AND COMMON SHARES</w:t>
      </w:r>
    </w:p>
    <w:p>
      <w:pPr>
        <w:spacing w:after="0" w:line="207"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Federal Realty Investment Trust (the "Trust") may from time to time offer in one or more series (i) its unsecured debt securities (the "Debt Securities"),</w:t>
      </w:r>
    </w:p>
    <w:p>
      <w:pPr>
        <w:ind w:left="540" w:hanging="532"/>
        <w:spacing w:after="0" w:line="233"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preferred shares (the "Preferred Shares"), and (iii) its common</w:t>
      </w:r>
    </w:p>
    <w:p>
      <w:pPr>
        <w:spacing w:after="0" w:line="4" w:lineRule="exact"/>
        <w:rPr>
          <w:rFonts w:ascii="Courier New" w:cs="Courier New" w:eastAsia="Courier New" w:hAnsi="Courier New"/>
          <w:sz w:val="18"/>
          <w:szCs w:val="18"/>
          <w:color w:val="auto"/>
        </w:rPr>
      </w:pPr>
    </w:p>
    <w:p>
      <w:pPr>
        <w:ind w:right="209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shares, no par value (the "Common Shares"), with an aggregate public offering price of up to $480,000,000 (or its equivalent based on the exchange rate at the time of sale) in amounts, at prices and on terms to be determined at the time of offering. The Debt Securities, Preferred Shares, and Common Shares (collectively, the "Securities") may be offered, separately or together, in separate series in amounts, at prices and on terms to be set forth in a supplement to this Prospectus (a "Prospectus Supplement").</w:t>
      </w:r>
    </w:p>
    <w:p>
      <w:pPr>
        <w:spacing w:after="0" w:line="188"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Debt Securities will be direct unsecured obligations of the Trust and may be either senior Debt Securities ("Senior Securities") or subordinated Debt Securities ("Subordinated Securities"). The Senior Securities will rank equally with all other unsecured and unsubordinated indebtedness of the Trust. The Subordinated Securities will be subordinated to all existing and future Senior Debt of the Trust, as defined. See "Description of Debt Securities."</w:t>
      </w:r>
    </w:p>
    <w:p>
      <w:pPr>
        <w:spacing w:after="0" w:line="186"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specific terms of the Securities in respect of which this Prospectus is being delivered will be set forth in the applicable Prospectus Supplement and will include, where applicable: (i) in the case of Debt Securities, the specific title, aggregate principal amount, currency, form (which may be registered or bearer, or certificated or global), authorized denominations, maturity, rate (or manner of calculation thereof) and time of payment of interest, terms for redemption at the option of the Trust or repayment at the option of the Holder, terms for sinking fund payments, terms for conversion into Preferred Shares or Common Shares, covenants and the initial public offering price; (ii) in the case of Preferred Shares, the specific title and stated value, any dividend, liquidation, redemption, conversion, voting and other rights, and the initial public offering price; and (iii) in the case of Common Shares, the initial public offering price. In addition, such specific terms may include limitations on direct or beneficial ownership and restrictions on transfer of the Securities, in each case as may be appropriate to preserve the status of the Trust as a real estate investment trust ("REIT") for federal income tax purposes.</w:t>
      </w:r>
    </w:p>
    <w:p>
      <w:pPr>
        <w:spacing w:after="0" w:line="209"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will also contain information, where applicable, about certain United States federal income tax considerations relating to, and any listing on a securities exchange of, the Securities covered by such Prospectus Supplement.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Securities may be offered directly, through agents designated from time to time by the Trust, or to or through underwriters or dealers. If any agents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"Plan of Distribution." No Securities may be sold without delivery of the applicable Prospectus Supplement describing the method and terms of the offering of such series of Securities.</w:t>
      </w: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center"/>
        <w:ind w:right="1999"/>
        <w:spacing w:after="0" w:line="273" w:lineRule="auto"/>
        <w:rPr>
          <w:sz w:val="20"/>
          <w:szCs w:val="20"/>
          <w:color w:val="auto"/>
        </w:rPr>
      </w:pPr>
      <w:r>
        <w:rPr>
          <w:rFonts w:ascii="Courier New" w:cs="Courier New" w:eastAsia="Courier New" w:hAnsi="Courier New"/>
          <w:sz w:val="16"/>
          <w:szCs w:val="16"/>
          <w:color w:val="auto"/>
        </w:rPr>
        <w:t>THESE  SECURITIES HAVE  NOT BEEN  APPROVED  OR DISAPPROVED  BY THE  SECURITIES AND EXCHANGE  COMMISSION  OR ANY  STATE  SECURITIES COMMISSION  NOR  HAS THE SECURITIES  AND  EXCHANGE  COMMISSION  OR ANY  STATE  SECURITIES  COMMISSION PASSED   UPON  THE   ACCURACY  OR   ADEQUACY  OF   THIS  PROSPECTUS.   ANY REPRESENTATION  TO  THE  CONTRARY  IS  A  CRIMINAL  OFFENSE.</w:t>
      </w:r>
    </w:p>
    <w:p>
      <w:pPr>
        <w:spacing w:after="0" w:line="179"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20" w:right="2099" w:firstLine="105"/>
        <w:spacing w:after="0" w:line="290" w:lineRule="auto"/>
        <w:rPr>
          <w:sz w:val="20"/>
          <w:szCs w:val="20"/>
          <w:color w:val="auto"/>
        </w:rPr>
      </w:pPr>
      <w:r>
        <w:rPr>
          <w:rFonts w:ascii="Courier New" w:cs="Courier New" w:eastAsia="Courier New" w:hAnsi="Courier New"/>
          <w:sz w:val="16"/>
          <w:szCs w:val="16"/>
          <w:color w:val="auto"/>
        </w:rPr>
        <w:t>THE ATTORNEY GENERAL OF THE STATE OF NEW YORK HAS NOT PASSED ON OR ENDORSED THE MERITS OF THIS OFFERING. ANY REPRESENTATION TO THE CONTRARY IS UNLAWFUL.</w:t>
      </w:r>
    </w:p>
    <w:p>
      <w:pPr>
        <w:spacing w:after="0" w:line="16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The date of this Prospectus is November 7, 1995.</w:t>
      </w:r>
    </w:p>
    <w:p>
      <w:pPr>
        <w:sectPr>
          <w:pgSz w:w="11900" w:h="16838" w:orient="portrait"/>
          <w:cols w:equalWidth="0" w:num="1">
            <w:col w:w="10219"/>
          </w:cols>
          <w:pgMar w:left="240" w:top="919" w:right="1440" w:bottom="767" w:gutter="0" w:footer="0" w:header="0"/>
        </w:sectPr>
      </w:pPr>
    </w:p>
    <w:bookmarkStart w:id="5" w:name="page6"/>
    <w:bookmarkEnd w:id="5"/>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is subject to the informational requirements of the Securities Exchange Act of 1934, as amended (the "Exchange Act"), and, in accordance therewith, files reports and other information with the Securities and Exchange Commission (the "Commission"). Such reports, proxy statements and other information can be inspected and copied at the Public Reference Section maintained by the Commission at Room 1024, 450 Fifth Street, N.W., Washington, D.C. 20549; Midwest Regional Office, 500 West Madison Street, Suite 1400, Chicago, Illinois 60661; and Northeast Regional Office, 7 World Trade Center, New York, New York 10048. Such reports, proxy statements and other information concerning the Trust can also be inspected at the office of the New York Stock Exchange, 20 Broad Street, New York, New York 10005.</w:t>
      </w:r>
    </w:p>
    <w:p>
      <w:pPr>
        <w:spacing w:after="0" w:line="216"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will provide without charge to each person to whom a copy of this Prospectus is delivered, upon their written or oral request, a copy of any or all of the documents incorporated herein by reference (other than exhibits to such documents). Written requests for such copies should be addressed to Kathy Klein, Vice President, Corporate Communications, Federal Realty Investment Trust, 4800 Hampden Lane, Bethesda, Maryland 20814 (telephone 301/652-3360).</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filed with the Commission a registration statement on Form S-3 (the "Registration Statement") under the Securities Act of 1933, as amended (the "Securities Act"), with respect to the Securities offered hereby. For further information with respect to the Trust and the Securities offered hereby, reference is made to the Registration Statement and exhibits thereto. Statements contained in this Prospectus as to the contents of any contract or other documents are not necessarily complete, and in each instance, reference is made to the copy of such contract or documents filed as an exhibit to the Registration Statement, each such statement being qualified in all respects by such reference.</w:t>
      </w:r>
    </w:p>
    <w:p>
      <w:pPr>
        <w:spacing w:after="0" w:line="2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7" w:lineRule="exact"/>
        <w:rPr>
          <w:sz w:val="20"/>
          <w:szCs w:val="20"/>
          <w:color w:val="auto"/>
        </w:rPr>
      </w:pPr>
    </w:p>
    <w:p>
      <w:pPr>
        <w:ind w:right="2619" w:firstLine="211"/>
        <w:spacing w:after="0" w:line="290" w:lineRule="auto"/>
        <w:rPr>
          <w:sz w:val="20"/>
          <w:szCs w:val="20"/>
          <w:color w:val="auto"/>
        </w:rPr>
      </w:pPr>
      <w:r>
        <w:rPr>
          <w:rFonts w:ascii="Courier New" w:cs="Courier New" w:eastAsia="Courier New" w:hAnsi="Courier New"/>
          <w:sz w:val="16"/>
          <w:szCs w:val="16"/>
          <w:color w:val="auto"/>
        </w:rPr>
        <w:t>The following documents filed by the Trust with the Commission are incorporated in this Prospectus by reference and are made a part hereof:</w:t>
      </w:r>
    </w:p>
    <w:p>
      <w:pPr>
        <w:spacing w:after="0" w:line="170" w:lineRule="exact"/>
        <w:rPr>
          <w:sz w:val="20"/>
          <w:szCs w:val="20"/>
          <w:color w:val="auto"/>
        </w:rPr>
      </w:pPr>
    </w:p>
    <w:p>
      <w:pPr>
        <w:ind w:left="220" w:right="25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Annual Report on Form 10-K, as amended, for the fiscal year ended December 31, 1994.</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74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Quarterly Reports on Form 10-Q for the quarters ended March 31, 1995 and June 30, 1995.</w:t>
      </w:r>
    </w:p>
    <w:p>
      <w:pPr>
        <w:spacing w:after="0" w:line="208" w:lineRule="exact"/>
        <w:rPr>
          <w:rFonts w:ascii="Courier New" w:cs="Courier New" w:eastAsia="Courier New" w:hAnsi="Courier New"/>
          <w:sz w:val="18"/>
          <w:szCs w:val="18"/>
          <w:color w:val="auto"/>
        </w:rPr>
      </w:pPr>
    </w:p>
    <w:p>
      <w:pPr>
        <w:ind w:left="220" w:right="2319" w:firstLine="209"/>
        <w:spacing w:after="0" w:line="290" w:lineRule="auto"/>
        <w:tabs>
          <w:tab w:leader="none" w:pos="74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Trust's Current Reports on Form 8-K filed with the Commission on March 31, 1995, May 26, 1995, August 16, 1995 and September 22, 1995.</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document filed subsequent to the date of this Prospectus pursuant to Section 13(a), 13(c), 14 or 15(d) of the Exchange Act and prior to termination of the offering of all Securities to which this Prospectus relates shall be deemed to be incorporated by reference in this Prospectus and shall be part hereof from the date of filing of such document.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statement contained in a document incorporated or deemed to be incorporated by reference herein shall be deemed to be modified or superseded for purposes of this Prospectus to the extent that a statement herein, in any accompanying Prospectus Supplement relating to a specific offering of Securities or in any other subsequently filed document that is also incorporated or deemed to be incorporated by reference herein, modifies or supersedes such statement. Any such statement so modified or superseded shall not be deemed, except as so modified or superseded, to constitute a part of this Prospectus or any accompanying Prospectus Supplement. Subject to the foregoing, all information appearing in this Prospectus and each accompanying Prospectus Supplement is qualified in its entirety by the information appearing in the documents incorporated by reference.</w:t>
      </w:r>
    </w:p>
    <w:p>
      <w:pPr>
        <w:spacing w:after="0" w:line="200" w:lineRule="exact"/>
        <w:rPr>
          <w:sz w:val="20"/>
          <w:szCs w:val="20"/>
          <w:color w:val="auto"/>
        </w:rPr>
      </w:pPr>
    </w:p>
    <w:p>
      <w:pPr>
        <w:spacing w:after="0" w:line="3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17" w:right="1440" w:bottom="1440" w:gutter="0" w:footer="0" w:header="0"/>
        </w:sectPr>
      </w:pPr>
    </w:p>
    <w:bookmarkStart w:id="6" w:name="page7"/>
    <w:bookmarkEnd w:id="6"/>
    <w:p>
      <w:pPr>
        <w:ind w:left="3700"/>
        <w:spacing w:after="0"/>
        <w:rPr>
          <w:sz w:val="20"/>
          <w:szCs w:val="20"/>
          <w:color w:val="auto"/>
        </w:rPr>
      </w:pPr>
      <w:r>
        <w:rPr>
          <w:rFonts w:ascii="Courier New" w:cs="Courier New" w:eastAsia="Courier New" w:hAnsi="Courier New"/>
          <w:sz w:val="18"/>
          <w:szCs w:val="18"/>
          <w:color w:val="auto"/>
        </w:rPr>
        <w:t>THE TRUST</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Federal Realty Investment Trust (the "Trust") is an owner, operator and redeveloper of community and neighborhood shopping centers and retail buildings. Founded in 1962, the Trust is a self-administered real estate investment trust ("REIT") that manages, leases and supervises renovation of its properties. At October 6, 1995, the Trust owned 53 community and neighborhood shopping centers, one apartment complex and 14 retail buildings. The shopping center portfolio has approximately 11.7 million rentable square feet and 1,600 tenants. At June 30, 1995, the occupancy rate of the shopping center portfolio was 94%.</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Trust's properties are located in thirteen states with approximately 72% of the Trust's rental income for the six months ended June 30, 1995 generated by the properties located in three major metropolitan areas: New York/New Jersey, Philadelphia and Baltimore/Washington, D.C. The Trust's properties are located in well established, densely populated communities with attractive retailing demographics and limited opportunities for new competing developments. The typical Trust property is located on a major traffic artery, with good visibility and access.</w:t>
      </w:r>
    </w:p>
    <w:p>
      <w:pPr>
        <w:spacing w:after="0" w:line="212"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The Trust's strategy is to acquire older, well-located properties and to enhance their operating performance through a program of renovation, expansion, re-configuration, re-leasing and re-merchandising. The Trust's core focus is on community and neighborhood shopping centers that are anchored by supermarkets, drug stores or high volume, value oriented retailers that provide consumer necessities. The Trust's shopping center leases typically are structured to include minimum rents and percentage rents based on tenants' sales volumes and reimbursement of operating and real estate tax expenses.</w:t>
      </w:r>
    </w:p>
    <w:p>
      <w:pPr>
        <w:spacing w:after="0" w:line="18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Beginning in late 1994, the Trust expanded its focus to include retail buildings in densely developed urban and suburban areas ("main street retail"), in order to capitalize on the demand by retailers for space in these areas. To date, the Trust has purchased fourteen such main street retail properties, for a total price of $46.7 million.</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addition to the acquisition of the main street retail properties, since the beginning of 1993, the Trust has purchased 13 shopping centers and two properties abutting properties it already owned for a total initial investment of $210.9 million.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intends to continue its acquisition and redevelopment activities. Acquisitions are being considered primarily in the Trust's core major metropolitan markets of New York/New Jersey, Philadelphia and Baltimore/Washington, D.C. as well as the Chicago, Illinois and Boston, Massachusetts markets. In addition, the Trust is seeking to acquire additional retail buildings in densely developed urban and suburban areas and is also pursuing site acquisitions in its core markets to permit the Trust to develop new shopping centers.</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continually evaluates its properties for renovation, re-tenanting and expansion opportunities. Similarly, the Trust regularly reviews its portfolio and from time to time considers selling certain of its properties. The Trust's operating results are affected by general economic and real estate conditions, including conditions specific to the markets where the Trust's properties are located.</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Trust has made 132 consecutive quarterly distributions and has increased its distribution rate for each of the last 28 years. This is the longest record of annual distribution increases in the REIT industry. The current annual indicated distribution rate is $1.64 per share.</w:t>
      </w:r>
    </w:p>
    <w:p>
      <w:pPr>
        <w:spacing w:after="0" w:line="207"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The Trust, a District of Columbia business trust of unlimited duration, maintains its offices at 4800 Hampden Lane, Bethesda, Maryland 20814 (telephone 301/652-3360).</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7" w:name="page8"/>
    <w:bookmarkEnd w:id="7"/>
    <w:p>
      <w:pPr>
        <w:jc w:val="center"/>
        <w:ind w:right="2100"/>
        <w:spacing w:after="0"/>
        <w:rPr>
          <w:sz w:val="20"/>
          <w:szCs w:val="20"/>
          <w:color w:val="auto"/>
        </w:rPr>
      </w:pPr>
      <w:r>
        <w:rPr>
          <w:rFonts w:ascii="Courier New" w:cs="Courier New" w:eastAsia="Courier New" w:hAnsi="Courier New"/>
          <w:sz w:val="18"/>
          <w:szCs w:val="18"/>
          <w:color w:val="auto"/>
        </w:rPr>
        <w:t>USE OF PROCEEDS</w:t>
      </w:r>
    </w:p>
    <w:p>
      <w:pPr>
        <w:spacing w:after="0" w:line="207"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Unless otherwise specified in the applicable Prospectus Supplement for any offering of Securities, the Trust intends to use the majority of the net proceeds from the sale of Securities offered by the Trust to repay debt (including repayments of amounts drawn on lines of credit for property acquisitions), make improvements to properties, acquire additional properties and for working capital.</w:t>
      </w:r>
    </w:p>
    <w:p>
      <w:pPr>
        <w:spacing w:after="0" w:line="204" w:lineRule="exact"/>
        <w:rPr>
          <w:sz w:val="20"/>
          <w:szCs w:val="20"/>
          <w:color w:val="auto"/>
        </w:rPr>
      </w:pPr>
    </w:p>
    <w:p>
      <w:pPr>
        <w:jc w:val="center"/>
        <w:ind w:right="2100"/>
        <w:spacing w:after="0"/>
        <w:rPr>
          <w:sz w:val="20"/>
          <w:szCs w:val="20"/>
          <w:color w:val="auto"/>
        </w:rPr>
      </w:pPr>
      <w:r>
        <w:rPr>
          <w:rFonts w:ascii="Courier New" w:cs="Courier New" w:eastAsia="Courier New" w:hAnsi="Courier New"/>
          <w:sz w:val="18"/>
          <w:szCs w:val="18"/>
          <w:color w:val="auto"/>
        </w:rPr>
        <w:t>RATIOS OF EARNINGS TO FIXED CHARGES</w:t>
      </w:r>
    </w:p>
    <w:p>
      <w:pPr>
        <w:spacing w:after="0" w:line="207" w:lineRule="exact"/>
        <w:rPr>
          <w:sz w:val="20"/>
          <w:szCs w:val="20"/>
          <w:color w:val="auto"/>
        </w:rPr>
      </w:pPr>
    </w:p>
    <w:p>
      <w:pPr>
        <w:ind w:right="2420" w:firstLine="211"/>
        <w:spacing w:after="0" w:line="235" w:lineRule="auto"/>
        <w:rPr>
          <w:sz w:val="20"/>
          <w:szCs w:val="20"/>
          <w:color w:val="auto"/>
        </w:rPr>
      </w:pPr>
      <w:r>
        <w:rPr>
          <w:rFonts w:ascii="Courier New" w:cs="Courier New" w:eastAsia="Courier New" w:hAnsi="Courier New"/>
          <w:sz w:val="18"/>
          <w:szCs w:val="18"/>
          <w:color w:val="auto"/>
        </w:rPr>
        <w:t>The following table sets forth the Trust's consolidated ratios of earnings to fixed charges for the periods shown: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1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SIX</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MONTHS</w:t>
            </w:r>
          </w:p>
        </w:tc>
      </w:tr>
      <w:tr>
        <w:trPr>
          <w:trHeight w:val="203"/>
        </w:trPr>
        <w:tc>
          <w:tcPr>
            <w:tcW w:w="1040" w:type="dxa"/>
            <w:vAlign w:val="bottom"/>
          </w:tcPr>
          <w:p>
            <w:pPr>
              <w:spacing w:after="0"/>
              <w:rPr>
                <w:sz w:val="17"/>
                <w:szCs w:val="17"/>
                <w:color w:val="auto"/>
              </w:rPr>
            </w:pPr>
          </w:p>
        </w:tc>
        <w:tc>
          <w:tcPr>
            <w:tcW w:w="2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YEARS ENDED DECEMBER 31,</w:t>
            </w: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160" w:type="dxa"/>
            <w:vAlign w:val="bottom"/>
            <w:gridSpan w:val="2"/>
          </w:tcPr>
          <w:p>
            <w:pPr>
              <w:spacing w:after="0"/>
              <w:rPr>
                <w:sz w:val="20"/>
                <w:szCs w:val="20"/>
                <w:color w:val="auto"/>
              </w:rPr>
            </w:pPr>
            <w:r>
              <w:rPr>
                <w:rFonts w:ascii="Courier New" w:cs="Courier New" w:eastAsia="Courier New" w:hAnsi="Courier New"/>
                <w:sz w:val="8"/>
                <w:szCs w:val="8"/>
                <w:color w:val="auto"/>
                <w:w w:val="75"/>
              </w:rPr>
              <w:t>-----------------------------------------------------------</w:t>
            </w:r>
          </w:p>
        </w:tc>
        <w:tc>
          <w:tcPr>
            <w:tcW w:w="16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1990</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1992</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1993</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1994</w:t>
            </w:r>
          </w:p>
        </w:tc>
        <w:tc>
          <w:tcPr>
            <w:tcW w:w="20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10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040" w:type="dxa"/>
            <w:vAlign w:val="bottom"/>
          </w:tcPr>
          <w:p>
            <w:pPr>
              <w:spacing w:after="0"/>
              <w:rPr>
                <w:sz w:val="20"/>
                <w:szCs w:val="20"/>
                <w:color w:val="auto"/>
              </w:rPr>
            </w:pPr>
            <w:r>
              <w:rPr>
                <w:rFonts w:ascii="Courier New" w:cs="Courier New" w:eastAsia="Courier New" w:hAnsi="Courier New"/>
                <w:sz w:val="18"/>
                <w:szCs w:val="18"/>
                <w:color w:val="auto"/>
              </w:rPr>
              <w:t>1.06X</w:t>
            </w:r>
          </w:p>
        </w:tc>
        <w:tc>
          <w:tcPr>
            <w:tcW w:w="1120" w:type="dxa"/>
            <w:vAlign w:val="bottom"/>
          </w:tcPr>
          <w:p>
            <w:pPr>
              <w:ind w:left="120"/>
              <w:spacing w:after="0"/>
              <w:rPr>
                <w:sz w:val="20"/>
                <w:szCs w:val="20"/>
                <w:color w:val="auto"/>
              </w:rPr>
            </w:pPr>
            <w:r>
              <w:rPr>
                <w:rFonts w:ascii="Courier New" w:cs="Courier New" w:eastAsia="Courier New" w:hAnsi="Courier New"/>
                <w:sz w:val="18"/>
                <w:szCs w:val="18"/>
                <w:color w:val="auto"/>
              </w:rPr>
              <w:t>1.09X</w:t>
            </w:r>
          </w:p>
        </w:tc>
        <w:tc>
          <w:tcPr>
            <w:tcW w:w="1680" w:type="dxa"/>
            <w:vAlign w:val="bottom"/>
          </w:tcPr>
          <w:p>
            <w:pPr>
              <w:ind w:left="460"/>
              <w:spacing w:after="0"/>
              <w:rPr>
                <w:sz w:val="20"/>
                <w:szCs w:val="20"/>
                <w:color w:val="auto"/>
              </w:rPr>
            </w:pPr>
            <w:r>
              <w:rPr>
                <w:rFonts w:ascii="Courier New" w:cs="Courier New" w:eastAsia="Courier New" w:hAnsi="Courier New"/>
                <w:sz w:val="18"/>
                <w:szCs w:val="18"/>
                <w:color w:val="auto"/>
              </w:rPr>
              <w:t>1.19X</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1.50X</w:t>
            </w:r>
          </w:p>
        </w:tc>
        <w:tc>
          <w:tcPr>
            <w:tcW w:w="1480" w:type="dxa"/>
            <w:vAlign w:val="bottom"/>
          </w:tcPr>
          <w:p>
            <w:pPr>
              <w:ind w:left="480"/>
              <w:spacing w:after="0"/>
              <w:rPr>
                <w:sz w:val="20"/>
                <w:szCs w:val="20"/>
                <w:color w:val="auto"/>
              </w:rPr>
            </w:pPr>
            <w:r>
              <w:rPr>
                <w:rFonts w:ascii="Courier New" w:cs="Courier New" w:eastAsia="Courier New" w:hAnsi="Courier New"/>
                <w:sz w:val="18"/>
                <w:szCs w:val="18"/>
                <w:color w:val="auto"/>
              </w:rPr>
              <w:t>1.61X</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1.56X</w:t>
            </w:r>
          </w:p>
        </w:tc>
        <w:tc>
          <w:tcPr>
            <w:tcW w:w="20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1.61X</w:t>
            </w:r>
          </w:p>
        </w:tc>
      </w:tr>
    </w:tbl>
    <w:p>
      <w:pPr>
        <w:spacing w:after="0" w:line="200" w:lineRule="exact"/>
        <w:rPr>
          <w:sz w:val="20"/>
          <w:szCs w:val="20"/>
          <w:color w:val="auto"/>
        </w:rPr>
      </w:pPr>
    </w:p>
    <w:p>
      <w:pPr>
        <w:spacing w:after="0" w:line="209" w:lineRule="exact"/>
        <w:rPr>
          <w:sz w:val="20"/>
          <w:szCs w:val="20"/>
          <w:color w:val="auto"/>
        </w:rPr>
      </w:pPr>
    </w:p>
    <w:p>
      <w:pPr>
        <w:ind w:right="2320" w:firstLine="211"/>
        <w:spacing w:after="0" w:line="237" w:lineRule="auto"/>
        <w:rPr>
          <w:sz w:val="20"/>
          <w:szCs w:val="20"/>
          <w:color w:val="auto"/>
        </w:rPr>
      </w:pPr>
      <w:r>
        <w:rPr>
          <w:rFonts w:ascii="Courier New" w:cs="Courier New" w:eastAsia="Courier New" w:hAnsi="Courier New"/>
          <w:sz w:val="18"/>
          <w:szCs w:val="18"/>
          <w:color w:val="auto"/>
        </w:rPr>
        <w:t>The ratios of earnings to fixed charges were computed by dividing earnings by fixed charges. For this purpose, earnings consist of income before gain on sale of real estate and extraordinary items and fixed charges. Fixed charges consist of interest expense (including interest costs capitalized) and the portion of rent expense representing an interest factor. To date, the Trust has not issued any Preferred Shares; therefore, the ratios of earnings to combined fixed charges and preferred share dividends are unchanged from the ratios presented in this section.</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DEBT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220" w:firstLine="211"/>
        <w:spacing w:after="0" w:line="269" w:lineRule="auto"/>
        <w:rPr>
          <w:sz w:val="20"/>
          <w:szCs w:val="20"/>
          <w:color w:val="auto"/>
        </w:rPr>
      </w:pPr>
      <w:r>
        <w:rPr>
          <w:rFonts w:ascii="Courier New" w:cs="Courier New" w:eastAsia="Courier New" w:hAnsi="Courier New"/>
          <w:sz w:val="16"/>
          <w:szCs w:val="16"/>
          <w:color w:val="auto"/>
        </w:rPr>
        <w:t>The Senior Securities are to be issued under an indenture dated as of December 1, 1993, as supplemented from time to time (the "Senior Indenture"), between the Trust and Signet Trust Company, Trustee, and the Subordinated Securities are to be issued under an indenture dated as of December 1, 1993, as supplemented from time to time (the "Subordinated Indenture"), between the Trust and First Union National Bank of North Carolina, Trustee. The term "Trustee" as used herein shall refer to either Signet Trust Company or First Union National Bank of North Carolina as appropriate for Senior Securities or Subordinated Securities. The forms of the Senior Indenture and the Subordinated Indenture (being sometimes referred to herein collectively as the "Indentures" and individually as an "Indenture") are filed as exhibits to the registration statement. The Indentures are subject to and governed by the Trust Indenture Act of 1939, as amended (the "TIA"). The statements made under this heading relating to the Debt Securities and the Indentures are summaries of the provisions thereof and do not purport to be complete and are qualified in their entirety by reference to the Indentures and such Debt Securities. Parenthetical references below are to the Indentures and capitalized terms used but not defined herein shall have the respective meanings set forth in the Indentures.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2220" w:firstLine="211"/>
        <w:spacing w:after="0" w:line="237" w:lineRule="auto"/>
        <w:rPr>
          <w:sz w:val="20"/>
          <w:szCs w:val="20"/>
          <w:color w:val="auto"/>
        </w:rPr>
      </w:pPr>
      <w:r>
        <w:rPr>
          <w:rFonts w:ascii="Courier New" w:cs="Courier New" w:eastAsia="Courier New" w:hAnsi="Courier New"/>
          <w:sz w:val="18"/>
          <w:szCs w:val="18"/>
          <w:color w:val="auto"/>
        </w:rPr>
        <w:t>The Debt Securities will be direct, unsecured obligations of the Trust. The indebtedness represented by the Senior Securities will rank equally with all other unsecured and unsubordinated indebtedness of the Trust. The indebtedness represented by the Subordinated Securities will be subordinated in right of payment to the prior payment in full of the Senior Debt of the Trust as described under "Subordination."</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440"/>
          </w:cols>
          <w:pgMar w:left="240" w:top="717" w:right="1219" w:bottom="1440" w:gutter="0" w:footer="0" w:header="0"/>
        </w:sectPr>
      </w:pPr>
    </w:p>
    <w:bookmarkStart w:id="8" w:name="page9"/>
    <w:bookmarkEnd w:id="8"/>
    <w:p>
      <w:pPr>
        <w:ind w:right="1999" w:firstLine="211"/>
        <w:spacing w:after="0" w:line="237" w:lineRule="auto"/>
        <w:rPr>
          <w:sz w:val="20"/>
          <w:szCs w:val="20"/>
          <w:color w:val="auto"/>
        </w:rPr>
      </w:pPr>
      <w:r>
        <w:rPr>
          <w:rFonts w:ascii="Courier New" w:cs="Courier New" w:eastAsia="Courier New" w:hAnsi="Courier New"/>
          <w:sz w:val="18"/>
          <w:szCs w:val="18"/>
          <w:color w:val="auto"/>
        </w:rPr>
        <w:t>Each Indenture provides that the Debt Securities may be issued without limit as to aggregate principal amount, in one or more series, in each case as established from time to time in or pursuant to authority granted by a resolution of the Board of Trustees of the Trust or as established in one or more indentures supplemental to such Indenture. All Debt Securities of one series need not be issued at the same time and, unless otherwise provided, a series may be reopened, without the consent of the Holders of the Debt Securities of such series, for issuances of additional Debt Securities of such series (Section 301 of each Indenture).</w:t>
      </w:r>
    </w:p>
    <w:p>
      <w:pPr>
        <w:spacing w:after="0" w:line="214"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there may be more than one Trustee thereunder, each with respect to one or more series of Debt Securities. Any Trustee under either Indenture may resign or be removed with respect to one or more series of Debt Securities, and a successor Trustee may be appointed to act with respect to such series (Section 608 of each Indenture). In the event that two or more persons are acting as Trustee with respect to different series of Debt Securities, each such Trustee shall be a Trustee of a trust under the applicable Indenture separate and apart from the trust administered by any other Trustee (Section 609 of each Indenture), and, except as otherwise indicated herein, any action described herein to be taken by each Trustee may be taken by each such Trustee with respect to, and only with respect to, the one or more series of Debt Securities for which it is Trustee under the applicable Indenture.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Reference is made to the Prospectus Supplement relating to the series of</w:t>
      </w:r>
    </w:p>
    <w:p>
      <w:pPr>
        <w:spacing w:after="0" w:line="238" w:lineRule="auto"/>
        <w:rPr>
          <w:sz w:val="20"/>
          <w:szCs w:val="20"/>
          <w:color w:val="auto"/>
        </w:rPr>
      </w:pPr>
      <w:r>
        <w:rPr>
          <w:rFonts w:ascii="Courier New" w:cs="Courier New" w:eastAsia="Courier New" w:hAnsi="Courier New"/>
          <w:sz w:val="18"/>
          <w:szCs w:val="18"/>
          <w:color w:val="auto"/>
        </w:rPr>
        <w:t>Debt Securities being offered for the specific terms thereof, including:</w:t>
      </w:r>
    </w:p>
    <w:p>
      <w:pPr>
        <w:spacing w:after="0" w:line="207" w:lineRule="exact"/>
        <w:rPr>
          <w:sz w:val="20"/>
          <w:szCs w:val="20"/>
          <w:color w:val="auto"/>
        </w:rPr>
      </w:pPr>
    </w:p>
    <w:p>
      <w:pPr>
        <w:ind w:left="220" w:right="2319" w:firstLine="315"/>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of such Debt Securities and whether such Debt Securities are Senior Securities or Subordinated Securities;</w:t>
      </w:r>
    </w:p>
    <w:p>
      <w:pPr>
        <w:spacing w:after="0" w:line="208"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aggregate principal amount of such Debt Securities and any limit on such aggregate principal amount;</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percentage of the principal amount at which such Debt Securities will be issued and, if other than the principal amount thereof, the portion of the principal amount thereof payable upon declaration of acceleration of the maturity thereof, or (if applicable) the portion of the principal amount of such Debt Securities that is convertible into Common Shares or Preferred Shares, or the method by which any such portion shall be determined;</w:t>
      </w:r>
    </w:p>
    <w:p>
      <w:pPr>
        <w:spacing w:after="0" w:line="211" w:lineRule="exact"/>
        <w:rPr>
          <w:rFonts w:ascii="Courier New" w:cs="Courier New" w:eastAsia="Courier New" w:hAnsi="Courier New"/>
          <w:sz w:val="18"/>
          <w:szCs w:val="18"/>
          <w:color w:val="auto"/>
        </w:rPr>
      </w:pPr>
    </w:p>
    <w:p>
      <w:pPr>
        <w:ind w:left="220" w:right="231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convertible, in connection with the preservation of the Trust's status as a REIT, any applicable limitations on the ownership or transferability of the Common Shares or Preferred Shares into which such Debt Securities are convertible;</w:t>
      </w:r>
    </w:p>
    <w:p>
      <w:pPr>
        <w:spacing w:after="0" w:line="207" w:lineRule="exact"/>
        <w:rPr>
          <w:rFonts w:ascii="Courier New" w:cs="Courier New" w:eastAsia="Courier New" w:hAnsi="Courier New"/>
          <w:sz w:val="18"/>
          <w:szCs w:val="18"/>
          <w:color w:val="auto"/>
        </w:rPr>
      </w:pPr>
    </w:p>
    <w:p>
      <w:pPr>
        <w:ind w:left="220" w:right="2099" w:firstLine="315"/>
        <w:spacing w:after="0" w:line="235"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on which the principal of such Debt Securities will be payable;</w:t>
      </w:r>
    </w:p>
    <w:p>
      <w:pPr>
        <w:spacing w:after="0" w:line="208" w:lineRule="exact"/>
        <w:rPr>
          <w:rFonts w:ascii="Courier New" w:cs="Courier New" w:eastAsia="Courier New" w:hAnsi="Courier New"/>
          <w:sz w:val="18"/>
          <w:szCs w:val="18"/>
          <w:color w:val="auto"/>
        </w:rPr>
      </w:pPr>
    </w:p>
    <w:p>
      <w:pPr>
        <w:jc w:val="both"/>
        <w:ind w:left="220" w:right="2099" w:firstLine="315"/>
        <w:spacing w:after="0" w:line="236"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rate or rates (which may be fixed or variable), or the method by which such rate or rates shall be determined, at which such Debt Securities will bear interest, if any;</w:t>
      </w:r>
    </w:p>
    <w:p>
      <w:pPr>
        <w:spacing w:after="0" w:line="208" w:lineRule="exact"/>
        <w:rPr>
          <w:rFonts w:ascii="Courier New" w:cs="Courier New" w:eastAsia="Courier New" w:hAnsi="Courier New"/>
          <w:sz w:val="18"/>
          <w:szCs w:val="18"/>
          <w:color w:val="auto"/>
        </w:rPr>
      </w:pPr>
    </w:p>
    <w:p>
      <w:pPr>
        <w:ind w:left="220" w:right="209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or dates, or the method for determining such date or dates, from which any such interest will accrue, the Interest Payment Dates on which any such interest will be payable, the Regular Record Dates for such Interest Payment Dates, or the method by which such Dates shall be determined, the Persons to whom such interest shall be payable, and the basis upon which interest shall be calculated if other than that of a 360-day year of twelve 30-day months;</w:t>
      </w:r>
    </w:p>
    <w:p>
      <w:pPr>
        <w:spacing w:after="0" w:line="211" w:lineRule="exact"/>
        <w:rPr>
          <w:rFonts w:ascii="Courier New" w:cs="Courier New" w:eastAsia="Courier New" w:hAnsi="Courier New"/>
          <w:sz w:val="18"/>
          <w:szCs w:val="18"/>
          <w:color w:val="auto"/>
        </w:rPr>
      </w:pPr>
    </w:p>
    <w:p>
      <w:pPr>
        <w:ind w:left="220" w:right="2099" w:firstLine="315"/>
        <w:spacing w:after="0" w:line="273" w:lineRule="auto"/>
        <w:tabs>
          <w:tab w:leader="none" w:pos="957"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place or places where the principal of (and premium, if any) and interest, if any, on such Debt Securities will be payable, where such Debt Securities may be surrendered for conversion or registration of transfer or exchange and where notices or demands to or upon the Trust in respect of such Debt Securities and the applicable Indenture may be served;</w:t>
      </w:r>
    </w:p>
    <w:p>
      <w:pPr>
        <w:spacing w:after="0" w:line="184" w:lineRule="exact"/>
        <w:rPr>
          <w:rFonts w:ascii="Courier New" w:cs="Courier New" w:eastAsia="Courier New" w:hAnsi="Courier New"/>
          <w:sz w:val="16"/>
          <w:szCs w:val="16"/>
          <w:color w:val="auto"/>
        </w:rPr>
      </w:pPr>
    </w:p>
    <w:p>
      <w:pPr>
        <w:ind w:left="220" w:right="2099" w:firstLine="315"/>
        <w:spacing w:after="0" w:line="237" w:lineRule="auto"/>
        <w:tabs>
          <w:tab w:leader="none" w:pos="95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period or periods within which, the price or prices at which and the other terms and conditions upon which such Debt Securities may be redeemed, as a whole or in part, at the option of the Trust, if the Trust is to have such an option;</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767" w:gutter="0" w:footer="0" w:header="0"/>
        </w:sectPr>
      </w:pPr>
    </w:p>
    <w:bookmarkStart w:id="9" w:name="page10"/>
    <w:bookmarkEnd w:id="9"/>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if any, of the Trust to redeem, repay or purchase such Debt Securities pursuant to any sinking fund or analogous provision or at the option of a Holder thereof, and the period or periods within which, the price or prices at which and the other terms and conditions upon which such Debt Securities will be redeemed, repaid or purchased, as a whole or in part, pursuant to such obligation;</w:t>
      </w:r>
    </w:p>
    <w:p>
      <w:pPr>
        <w:spacing w:after="0" w:line="209"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other than U.S. dollars, the currency or currencies in which such Debt Securities are denominated and payable, which may be a foreign currency or units of two or more foreign currencies or a composite currency or currencies, and the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the amount of payments of principal of (and premium, if any) or interest, if any, on such Debt Securities may be determined with reference to an index, formula or other method (which index, formula or method may, but need not be, based on a currency, currencies, currency unit or units or composite currency or currencies) and the manner in which such amounts shall be determined;</w:t>
      </w:r>
    </w:p>
    <w:p>
      <w:pPr>
        <w:spacing w:after="0" w:line="209" w:lineRule="exact"/>
        <w:rPr>
          <w:rFonts w:ascii="Courier New" w:cs="Courier New" w:eastAsia="Courier New" w:hAnsi="Courier New"/>
          <w:sz w:val="18"/>
          <w:szCs w:val="18"/>
          <w:color w:val="auto"/>
        </w:rPr>
      </w:pPr>
    </w:p>
    <w:p>
      <w:pPr>
        <w:ind w:left="220" w:right="2099" w:firstLine="209"/>
        <w:spacing w:after="0" w:line="236"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additions to, modifications of or deletions from the terms of such Debt Securities with respect to the Events of Default or covenants set forth in the applicable Indenture;</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issued in certificated or book-entry form;</w:t>
      </w:r>
    </w:p>
    <w:p>
      <w:pPr>
        <w:spacing w:after="0" w:line="208"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such Debt Securities will be in registered or bearer form and, if in registered form, the denominations thereof if other than $1,000 and any integral multiple thereof and, if in bearer form, the denominations thereof and terms and conditions relating thereto;</w:t>
      </w:r>
    </w:p>
    <w:p>
      <w:pPr>
        <w:spacing w:after="0" w:line="207"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applicability, if any, of the defeasance and covenant defeasance provisions of Article XIV of the applicable Indenture;</w:t>
      </w:r>
    </w:p>
    <w:p>
      <w:pPr>
        <w:spacing w:after="0" w:line="202"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if any, upon which such Debt Securities may be</w:t>
      </w:r>
    </w:p>
    <w:p>
      <w:pPr>
        <w:spacing w:after="0" w:line="4" w:lineRule="exact"/>
        <w:rPr>
          <w:rFonts w:ascii="Courier New" w:cs="Courier New" w:eastAsia="Courier New" w:hAnsi="Courier New"/>
          <w:sz w:val="18"/>
          <w:szCs w:val="18"/>
          <w:color w:val="auto"/>
        </w:rPr>
      </w:pPr>
    </w:p>
    <w:p>
      <w:pPr>
        <w:ind w:left="2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into Common Shares or Preferred Shares of the Trust and the terms and conditions upon which such conversion will be effected, including, without limitation, the initial conversion price or rate and the conversion period;</w:t>
      </w:r>
    </w:p>
    <w:p>
      <w:pPr>
        <w:spacing w:after="0" w:line="207" w:lineRule="exact"/>
        <w:rPr>
          <w:rFonts w:ascii="Courier New" w:cs="Courier New" w:eastAsia="Courier New" w:hAnsi="Courier New"/>
          <w:sz w:val="18"/>
          <w:szCs w:val="18"/>
          <w:color w:val="auto"/>
        </w:rPr>
      </w:pPr>
    </w:p>
    <w:p>
      <w:pPr>
        <w:ind w:left="220" w:right="2099" w:firstLine="209"/>
        <w:spacing w:after="0" w:line="237" w:lineRule="auto"/>
        <w:tabs>
          <w:tab w:leader="none" w:pos="9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whether and under what circumstances the Trust will pay Additional Amounts as contemplated in the applicable Indenture on such Debt Securities in respect of any tax, assessment or governmental charge and, if so, whether the Trust will have the option to redeem such Debt Securities in lieu of making such payment; and</w:t>
      </w:r>
    </w:p>
    <w:p>
      <w:pPr>
        <w:spacing w:after="0" w:line="208" w:lineRule="exact"/>
        <w:rPr>
          <w:rFonts w:ascii="Courier New" w:cs="Courier New" w:eastAsia="Courier New" w:hAnsi="Courier New"/>
          <w:sz w:val="18"/>
          <w:szCs w:val="18"/>
          <w:color w:val="auto"/>
        </w:rPr>
      </w:pPr>
    </w:p>
    <w:p>
      <w:pPr>
        <w:ind w:left="220" w:right="2419" w:firstLine="209"/>
        <w:spacing w:after="0" w:line="290" w:lineRule="auto"/>
        <w:tabs>
          <w:tab w:leader="none" w:pos="957"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terms of such Debt Securities not inconsistent with the provisions of the applicable Indenture (Section 301 of each Indenture).</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may provide for less than the entire principal amount thereof to be payable upon declaration of acceleration of the maturity thereof ("Original Issue Discount Securities") (Section 502 of each Indenture). Special U.S. federal income tax, accounting and other considerations applicable to Original Issue Discount Securities will be described in the applicable Prospectus Supplement.</w:t>
      </w:r>
    </w:p>
    <w:p>
      <w:pPr>
        <w:spacing w:after="0" w:line="210"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Except as may be set forth in any Prospectus Supplement, the Debt Securities will not contain any provisions that would limit the ability of the Trust to incur indebtedness or that would afford Holders of Debt Securities protection in the event of a highly leveraged or similar transaction involving the Trust or in the event of a change of control. Restrictions on ownership and transfers of the Trust's Common Shares and Preferred Shares are designed to preserve its status as a REIT and, therefore, may act to prevent or hinder a change of control. See "Description of Common Shares" and "Description of Preferred Shares." Reference is made to the applicable Prospectus Supplement for information with respect to any deletions from, modifications of, or additions to, the Events of Default or covenants of the Trust that are described below, including any addition of a covenant or other provision providing event risk or similar protection.</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DENOMINATIONS, INTEREST, REGISTRATION AND TRANSFER</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Unless otherwise described in the applicable Prospectus Supplement, the Debt Securities of any series will be issuable in denominations of $1,000 and integral multiples thereof (Section 302 of each Indenture).</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Unless otherwise specified in the applicable Prospectus Supplement, the principal of (and applicable premium, if any) and interest on any series of Debt Securities will be payable at the corporate trust office of the Trustee, initially located at Signet Trust Company, 7 St. Paul Street, 2nd Floor, Baltimore, Maryland 21202 in the case of the Senior Securities and First Union National Bank of North Carolina, 230 S. Tryon Street, 8th Floor, Charlotte, North Carolina 28288 in the case of the Subordinated Securities, provided that, at the option of the Trust, payment of interest may be made by check mailed to the address of the Person entitled thereto as it appears in the Security Register or by wire transfer of funds to such Person at an account maintained within the United States (Sections 301, 305, 306, 307, and 1002 of each Indenture).</w:t>
      </w:r>
    </w:p>
    <w:p>
      <w:pPr>
        <w:spacing w:after="0" w:line="207"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Any interest not punctually paid or duly provided for on any Interest Payment Date with respect to a Debt Security ("Defaulted Interest") will forthwith cease to be payable to the Holder on the applicable Regular Record Date and may either be paid to the Person in whose name such Debt Security is registered at the close of business on a special record date (the "Special Record Date") for the payment of such Defaulted Interest to be fixed by the applicable Trustee, notice whereof shall be given to each Holder of such Debt Security not less than 10 days prior to such Special Record Date, or may be paid at any time in any other lawful manner, all as more completely described in the applicable Indenture (Section 307 of each Indenture).</w:t>
      </w:r>
    </w:p>
    <w:p>
      <w:pPr>
        <w:spacing w:after="0" w:line="18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Subject to certain limitations imposed upon Debt Securities issued in book-entry form, the Debt Securities of any series will be exchangeable for other Debt Securities of the same series and of a like aggregate principal amount and tenor of different authorized denominations upon surrender of such Debt Securities at the corporate trust office of the applicable Trustee referred to above. In addition, subject to certain limitations imposed upon Debt Securities issued in book-entry form, the Debt Securities of any series may be surrendered for conversion or registration of transfer thereof at the corporate trust office of the applicable Trustee referred to above. Every Debt Security surrendered for conversion, registration of transfer or exchange shall be duly endorsed or accompanied by a written instrument of transfer. No service charge will be made for any registration of transfer or exchange of any Debt Securities, but the Trust may require payment of a sum sufficient to cover any tax or other governmental charge payable in connection therewith (Section 305 of each Indenture). If the applicable Prospectus Supplement refers to any transfer agent (in addition to the applicable Trustee) initially designated by the Trust with respect to any series of Debt Securities, the Trust may at any time rescind the designation of any such transfer agent or approve a change in the location through which any such transfer agent acts, except that the Trust will be required to maintain a transfer agent in each Place of Payment for such series. The Trust may at any time designate additional transfer agents with respect to any series of Debt Securities (Section 1002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Neither the Trust nor either Trustee shall be required to (i) issue, register the transfer of or exchange Debt Securities of any series during a period beginning at the opening of business 15 days before any selection of Debt Securities of that series to be redeemed and ending at the close of business on the day of mailing of the relevant notice of redemption; (ii) register the transfer of or exchange any Debt Security, or portion thereof, called for redemption, except the unredeemed portion of any Debt Security being redeemed in part; or (iii) issue, register the transfer of or exchange any Debt Security that has been surrendered for repayment at the option of the Holder, except the portion, if any, of such Debt Security not to be so repaid (Section 305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MERGER, CONSOLIDATION OR SALE</w:t>
      </w:r>
    </w:p>
    <w:p>
      <w:pPr>
        <w:spacing w:after="0" w:line="207" w:lineRule="exact"/>
        <w:rPr>
          <w:sz w:val="20"/>
          <w:szCs w:val="20"/>
          <w:color w:val="auto"/>
        </w:rPr>
      </w:pPr>
    </w:p>
    <w:p>
      <w:pPr>
        <w:ind w:right="1999" w:firstLine="211"/>
        <w:spacing w:after="0" w:line="272" w:lineRule="auto"/>
        <w:rPr>
          <w:sz w:val="20"/>
          <w:szCs w:val="20"/>
          <w:color w:val="auto"/>
        </w:rPr>
      </w:pPr>
      <w:r>
        <w:rPr>
          <w:rFonts w:ascii="Courier New" w:cs="Courier New" w:eastAsia="Courier New" w:hAnsi="Courier New"/>
          <w:sz w:val="16"/>
          <w:szCs w:val="16"/>
          <w:color w:val="auto"/>
        </w:rPr>
        <w:t>The Trust may consolidate with, or sell, lease or convey all or substantially all of its assets to, or merge with or into, any other corporation or trust or entity provided that (a) either the Trust shall be the continuing corporation, or the successor corporation (if other than the Trust) formed by or resulting from any such consolidation or merger or which shall have received the transfer of such assets shall expressly assume payment</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17" w:right="1440" w:bottom="159" w:gutter="0" w:footer="0" w:header="0"/>
        </w:sectPr>
      </w:pPr>
    </w:p>
    <w:bookmarkStart w:id="11" w:name="page12"/>
    <w:bookmarkEnd w:id="11"/>
    <w:p>
      <w:pPr>
        <w:ind w:right="1999"/>
        <w:spacing w:after="0" w:line="237" w:lineRule="auto"/>
        <w:rPr>
          <w:sz w:val="20"/>
          <w:szCs w:val="20"/>
          <w:color w:val="auto"/>
        </w:rPr>
      </w:pPr>
      <w:r>
        <w:rPr>
          <w:rFonts w:ascii="Courier New" w:cs="Courier New" w:eastAsia="Courier New" w:hAnsi="Courier New"/>
          <w:sz w:val="18"/>
          <w:szCs w:val="18"/>
          <w:color w:val="auto"/>
        </w:rPr>
        <w:t>of the principal of (and premium, if any) and interest on all of the Debt Securities and the due and punctual performance and observance of all of the covenants and conditions contained in each Indenture; (b) immediately after giving effect to such transaction and treating any indebtedness that becomes an obligation of the Trust or any Subsidiary as a result thereof as having been incurred by the Trust or such Subsidiary at the time of such transaction, no Event of Default under the Indenture, and no event which, after notice or the lapse of time, or both, would become such an Event of Default, shall have occurred and be continuing; and (c) an officers' certificate and legal opinion covering such conditions shall be delivered to each Trustee (Sections 801 and 803 of each Indenture).</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CERTAIN COVENANTS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Existence. Except as permitted under "Merger, Consolidation or Sale," the Trust will do or cause to be done all things necessary to preserve and keep in full force and effect its corporate existence, rights (charter and statutory) and franchises; provided, however, that the Trust shall not be required to preserve any right or franchise if it determines that the preservation thereof is no longer desirable in the conduct of its business (Section 1004 of each Indenture).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Maintenance of Properties. The Trust will cause all of its material properties used or useful in the conduct of its business or the business of any Subsidiary to be maintained and kept in good condition, repair and working order and supplied with all necessary equipment and will cause to be made all necessary repairs, renewals, replacements, betterments and improvements thereof, all as in the judgment of the Trust may be necessary so that the business carried on in connection therewith may be properly and advantageously conducted at all times (Section 1005 of each Indenture).</w:t>
      </w:r>
    </w:p>
    <w:p>
      <w:pPr>
        <w:spacing w:after="0" w:line="212"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Insurance. The Trust will, and will cause each of its Subsidiaries to, keep all of its insurable properties insured against loss or damage at least equal to their then full insurable value with insurers of recognized responsibility and having a rating of at least A-:XII in Best's Key Rating Guide (Section 1006 of each Indenture).</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Payment of Taxes and Other Claims. The Trust will pay or discharge or cause to be paid or discharged, before the same shall become delinquent, (i) all taxes, assessments and governmental charges levied or imposed upon it or any Subsidiary or upon the income, profits or property of the Trust or any Subsidiary, and (ii) all lawful claims for labor, materials and supplies which, if unpaid, might by law become a lien upon the property of the Trust or any Subsidiary; provided, however, that the Trust shall not be required to pay or discharge or cause to be paid or discharged any such tax, assessment, charge or claim whose amount, applicability or validity is being contested in good faith (Section 1007 of each Indenture).</w:t>
      </w:r>
    </w:p>
    <w:p>
      <w:pPr>
        <w:spacing w:after="0" w:line="215"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Provision of Financial Information. Whether or not the Trust is subject to Section 13 or 15(d) of the Exchange Act, the Trust will within 15 days of each of the respective dates by which the Trust would have been required to file annual reports, quarterly reports and other documents with the Commission if the Trust were so subject (i) transmit by mail to all Holders of Debt Securities, as their names and addresses appear in the Security Register, without cost to such Holders copies of the annual reports, quarterly reports and other documents that the Trust would have been required to file with the Commission pursuant to Section 13 or 15(d) of the Exchange Act if the Trust were subject to such Sections, (ii) file with the applicable Trustee copies of the annual reports, quarterly reports and other documents that the Trust would have been required to file with the Commission pursuant to Section 13 or 15(d) of the Exchange Act if the Trust were subject to such Sections and (iii) promptly upon written request and payment of the reasonable cost of duplication and delivery, supply copies of such documents to any prospective Holder (Section 1008 of each Indenture).</w:t>
      </w:r>
    </w:p>
    <w:p>
      <w:pPr>
        <w:spacing w:after="0" w:line="208" w:lineRule="exact"/>
        <w:rPr>
          <w:sz w:val="20"/>
          <w:szCs w:val="20"/>
          <w:color w:val="auto"/>
        </w:rPr>
      </w:pPr>
    </w:p>
    <w:p>
      <w:pPr>
        <w:jc w:val="both"/>
        <w:ind w:right="2099" w:firstLine="211"/>
        <w:spacing w:after="0" w:line="236" w:lineRule="auto"/>
        <w:rPr>
          <w:sz w:val="20"/>
          <w:szCs w:val="20"/>
          <w:color w:val="auto"/>
        </w:rPr>
      </w:pPr>
      <w:r>
        <w:rPr>
          <w:rFonts w:ascii="Courier New" w:cs="Courier New" w:eastAsia="Courier New" w:hAnsi="Courier New"/>
          <w:sz w:val="18"/>
          <w:szCs w:val="18"/>
          <w:color w:val="auto"/>
        </w:rPr>
        <w:t>Additional Covenants. Any additional covenants of the Trust with respect to any series of Debt Securities will be set forth in the Prospectus Supplement relating thereto.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EVENTS OF DEFAULT, NOTICE AND WAIVER</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the following events are "Events of Default" with respect to any series of Debt Securities issued thereunder: (a) default for 30 days in the payment of any installment of interest on any Debt Security of such series; (b) default in the payment of the principal of (or premium, if any, on) any Debt Security of such series at its Maturity; (c) default in making any sinking fund payment as required for any Debt Security of such series; (d) default in the performance or breach of any other covenant or warranty of the Trust contained in the Indenture (other than a covenant added to the Indenture solely for the benefit of a series of Debt Securities issued thereunder other than such series), continued for 60 days after written notice as provided in the applicable Indenture; (e) a default under any bond, debenture, note or other evidence of indebtedness for money borrowed by the Trust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the Trust (including such leases but not including such indebtedness or obligations for which recourse is limited to property purchased) in an aggregate principal amount in excess of $5,000,000 by the Trust, whether such indebtedness now exists or shall hereafter be created which default shall have resulted in such indebtedness becoming or being declared due and payable prior to the date on which it would otherwise have become due and payable or such obligations being accelerated, without such acceleration having been rescinded or annulled; (f) certain events of bankruptcy, insolvency or reorganization, or court appointment of a receiver, liquidator or trustee of the Trust or any Significant Subsidiary or either of its properties; and (g) any other Event of Default provided with respect to a particular series of Debt Securities (Section 501 of each Indenture). The term "Significant Subsidiary" means each significant subsidiary (as defined in Regulation S-X promulgated under the Securities Act) of the Trust.</w:t>
      </w:r>
    </w:p>
    <w:p>
      <w:pPr>
        <w:spacing w:after="0" w:line="200" w:lineRule="exact"/>
        <w:rPr>
          <w:sz w:val="20"/>
          <w:szCs w:val="20"/>
          <w:color w:val="auto"/>
        </w:rPr>
      </w:pPr>
    </w:p>
    <w:p>
      <w:pPr>
        <w:spacing w:after="0" w:line="39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an Event of Default under either Indenture with respect to Debt Securities of any series at the time Outstanding occurs and is continuing, then in every such case the applicable Trustee or the Holders of not less than 25% in principal amount of the Outstanding Debt Securities of that series may declare the principal amount (or, if the Debt Securities of that series are Original Issue Discount Securities or Indexed Securities, such portion of the principal amount as may be specified in the terms thereof) of all the Debt Securities of that series to be due and payable immediately by written notice thereof to the Trust (and to the applicable Trustee if given by the Holders). However, at any time after such a declaration of acceleration with respect to Debt Securities of such series (or of all Debt Securities then Outstanding under either Indenture, as the case may be) has been made, but before a judgment or decree for payment of the money due has been obtained by the applicable Trustee, the Holders of not less than a majority in principal amount of Outstanding Debt Securities of such series (or of all Debt Securities then Outstanding under the applicable Indenture, as the case may be) may rescind and annul such declaration and its consequences if (a) the Trust shall have deposited with the applicable Trustee all required payments of the principal of (and premium, if any) and interest on the Debt Securities of such series (or of all Debt Securities then Outstanding under the applicable Indenture, as the case may be), plus certain fees, expenses, disbursements and advances of the applicable Trustee and (b) all Events of Default, other than the non-payment of accelerated principal (or specified portion thereof), with respect to Debt Securities of such series (or of all Debt Securities then Outstanding under the applicable Indenture, as the case may be) have been cured or waived as provided in each Indenture (Section 502 of each Indenture). Each Indenture also provides that the Holders of not less than a majority in principal amount of the Outstanding Debt Securities of any series (or of all Debt Securities then Outstanding under the applicable Indenture, as the case may be) may waive any past default with respect to such series and its consequences, except a default (x) in the payment of the principal of (or premium, if any) or interest on any Debt Security of such series or (y) in respect of a covenant or provision contained in the applicable Indenture that cannot be modified or amended without the consent of the Holder of each Outstanding Debt Security affected thereby (Section 513 of each Indenture).</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Each Trustee is required to give notice to the Holders of Debt Securities within 90 days of a default under the applicable Indenture unless such default shall have been cured or waived; provided, however, that such Trustee may withhold notice to the Holders of any series of Debt Securities of any default with respect</w:t>
      </w:r>
    </w:p>
    <w:p>
      <w:pPr>
        <w:sectPr>
          <w:pgSz w:w="11900" w:h="16838" w:orient="portrait"/>
          <w:cols w:equalWidth="0" w:num="1">
            <w:col w:w="10219"/>
          </w:cols>
          <w:pgMar w:left="240" w:top="717" w:right="1440" w:bottom="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019"/>
          </w:cols>
          <w:pgMar w:left="1440" w:top="344" w:right="1440" w:bottom="1440" w:gutter="0" w:footer="0" w:header="0"/>
        </w:sectPr>
      </w:pPr>
    </w:p>
    <w:bookmarkStart w:id="14" w:name="page15"/>
    <w:bookmarkEnd w:id="14"/>
    <w:p>
      <w:pPr>
        <w:ind w:right="2419"/>
        <w:spacing w:after="0" w:line="237" w:lineRule="auto"/>
        <w:rPr>
          <w:sz w:val="20"/>
          <w:szCs w:val="20"/>
          <w:color w:val="auto"/>
        </w:rPr>
      </w:pPr>
      <w:r>
        <w:rPr>
          <w:rFonts w:ascii="Courier New" w:cs="Courier New" w:eastAsia="Courier New" w:hAnsi="Courier New"/>
          <w:sz w:val="18"/>
          <w:szCs w:val="18"/>
          <w:color w:val="auto"/>
        </w:rPr>
        <w:t>to such series (except a default in the payment of the principal of (or premium, if any) or interest on any Debt Security of such series or in the payment of any sinking fund installment in respect of any Debt Security of such series) if the Responsible Officers of such Trustee consider such withholding to be in the interest of such Holders (Section 601 of each Indenture).</w:t>
      </w:r>
    </w:p>
    <w:p>
      <w:pPr>
        <w:spacing w:after="0" w:line="210"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provides that no Holders of Debt Securities of any series may institute any proceedings, judicial or otherwise, with respect to such Indenture or for any remedy thereunder, except in the case of failure of the applicable Trustee, for 60 days, to act after it has received a written request to institute proceedings in respect of an Event of Default from the Holders of not less than 25% in principal amount of the Outstanding Debt Securities of such series, as well as an offer of indemnity reasonably satisfactory to it (Section 507 of each Indenture). This provision will not prevent, however, any Holder of Debt Securities from instituting suit for the enforcement of payment of the principal of (and premium, if any) and interest on such Debt Securities at the respective due dates thereof (Section 508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Subject to provisions in each Indenture relating to its duties in case of default, neither Trustee is under an obligation to exercise any of its rights or powers under such Indenture at the request or direction of any Holders of any series of Debt Securities then Outstanding under such Indenture, unless such Holders shall have offered to the Trustee thereunder reasonable security or indemnity (Section 602 of each Indenture). The Holders of not less than a majority in principal amount of the Outstanding Debt Securities of any series (or of all Debt Securities then Outstanding under each Indenture, as the case may be) shall have the right to direct the time, method and place of conducting any proceeding for any remedy available to the applicable Trustee, or of exercising any trust or power conferred upon such Trustee. However, each Trustee may refuse to follow any direction which is in conflict with any law or the applicable Indenture, which may involve such Trustee in personal liability or which may be unduly prejudicial to the Holders of Debt Securities of such series not joining therein (Section 512 of each Indenture).</w:t>
      </w:r>
    </w:p>
    <w:p>
      <w:pPr>
        <w:spacing w:after="0" w:line="38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Within 120 days after the close of each fiscal year, the Trust must deliver to each Trustee a certificate, signed by one of several specified officers, stating whether or not such officer has knowledge of any default under the applicable Indenture and, if so, specifying each such default and the nature and status thereof (Section 1009 of each Indenture).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MODIFICATION OF THE INDENTURES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Modifications and amendments of either Indenture may be made only with the consent of the Holders of not less than a majority in principal amount of all Outstanding Debt Securities issued under such Indenture which are affected by such modification or amendment; provided, however, that no such modification or amendment may, without the consent of the Holder of each such Debt Security affected thereby, (a) change the Stated Maturity of the principal of, or any installment of interest (or premium, if any) on, any such Debt Security; (b) reduce the principal amount of, or the rate or amount of interest on, or any premium payable on redemption of, any such Debt Security, or reduce the amount of principal of an Original Issue Discount Security that would be due and payable upon declaration of acceleration of the maturity thereof or would be provable in bankruptcy, or adversely affect any right of repayment of the Holder of any such Debt Security; (c) change the Place of Payment, or the coin or currency, for payment of principal of, premium, if any, or interest on any such Debt Security; (d) impair the right to institute suit for the enforcement of any payment on or with respect to any such Debt Security; (e) reduce the above-stated percentage of Outstanding Debt Securities of any series necessary to modify or amend the applicable Indenture, to waive compliance with certain provisions thereof or certain defaults and consequences thereunder or to reduce the quorum or voting requirements set forth in the applicable Indenture; or (f) modify any of the foregoing provisions or any of the provisions relating to the waiver of certain past defaults or certain covenants, except to increase the required percentage to effect such action or to provide that certain other provisions may not be modified or waived without the consent of the Holder of such Debt Security (Section 902 of each Indenture).</w:t>
      </w:r>
    </w:p>
    <w:p>
      <w:pPr>
        <w:spacing w:after="0" w:line="200" w:lineRule="exact"/>
        <w:rPr>
          <w:sz w:val="20"/>
          <w:szCs w:val="20"/>
          <w:color w:val="auto"/>
        </w:rPr>
      </w:pPr>
    </w:p>
    <w:p>
      <w:pPr>
        <w:spacing w:after="0" w:line="38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970" w:gutter="0" w:footer="0" w:header="0"/>
        </w:sectPr>
      </w:pPr>
    </w:p>
    <w:bookmarkStart w:id="15" w:name="page16"/>
    <w:bookmarkEnd w:id="15"/>
    <w:p>
      <w:pPr>
        <w:ind w:right="1999" w:firstLine="211"/>
        <w:spacing w:after="0" w:line="237" w:lineRule="auto"/>
        <w:rPr>
          <w:sz w:val="20"/>
          <w:szCs w:val="20"/>
          <w:color w:val="auto"/>
        </w:rPr>
      </w:pPr>
      <w:r>
        <w:rPr>
          <w:rFonts w:ascii="Courier New" w:cs="Courier New" w:eastAsia="Courier New" w:hAnsi="Courier New"/>
          <w:sz w:val="18"/>
          <w:szCs w:val="18"/>
          <w:color w:val="auto"/>
        </w:rPr>
        <w:t>The Holders of not less than a majority in principal amount of Outstanding Debt Securities issued under either Indenture have the right to waive compliance by the Trust with certain covenants in such Indenture (Section 1011 of each Indenture).</w:t>
      </w:r>
    </w:p>
    <w:p>
      <w:pPr>
        <w:spacing w:after="0" w:line="207" w:lineRule="exact"/>
        <w:rPr>
          <w:sz w:val="20"/>
          <w:szCs w:val="20"/>
          <w:color w:val="auto"/>
        </w:rPr>
      </w:pPr>
    </w:p>
    <w:p>
      <w:pPr>
        <w:ind w:right="2319" w:firstLine="211"/>
        <w:spacing w:after="0" w:line="268" w:lineRule="auto"/>
        <w:rPr>
          <w:sz w:val="20"/>
          <w:szCs w:val="20"/>
          <w:color w:val="auto"/>
        </w:rPr>
      </w:pPr>
      <w:r>
        <w:rPr>
          <w:rFonts w:ascii="Courier New" w:cs="Courier New" w:eastAsia="Courier New" w:hAnsi="Courier New"/>
          <w:sz w:val="16"/>
          <w:szCs w:val="16"/>
          <w:color w:val="auto"/>
        </w:rPr>
        <w:t>Modifications and amendments of either Indenture may be made by the Trust and the respective Trustee thereunder without the consent of any Holder of Debt Securities for any of the following purposes: (i) to evidence the succession of another Person to the Trust as obligor under such Indenture;</w:t>
      </w:r>
    </w:p>
    <w:p>
      <w:pPr>
        <w:spacing w:after="0" w:line="1" w:lineRule="exact"/>
        <w:rPr>
          <w:sz w:val="20"/>
          <w:szCs w:val="20"/>
          <w:color w:val="auto"/>
        </w:rPr>
      </w:pPr>
    </w:p>
    <w:p>
      <w:pPr>
        <w:ind w:right="1999" w:firstLine="8"/>
        <w:spacing w:after="0" w:line="269" w:lineRule="auto"/>
        <w:tabs>
          <w:tab w:leader="none" w:pos="527"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add to the covenants of the Trust for the benefit of the Holders of all or any series of Debt Securities or to surrender any right or power conferred upon the Trust in such Indenture; (iii) to add Events of Default for the benefit of the Holders of all or any series of Debt Securities; (iv) to add or change any provisions of either Indenture to facilitate the issuance of, or to liberalize certain terms of, Debt Securities in bearer form, or to permit or facilitate the issuance of Debt Securities in uncertificated form, provided that such action shall not adversely affect the interests of the Holders of the Debt Securities of any series in any material respect; (v) to change or eliminate any provisions of either Indenture, provided that any such change or elimination shall become effective only when there are no Debt Securities Outstanding of any series created prior thereto which are entitled to the benefit of such provision; (vi) to secure the Debt Securities; (vii) to establish the form or terms of Debt Securities of any series, including the provisions and procedures, if applicable, for the conversion of such Debt Securities into Common Shares or Preferred Shares of the Trust; (viii) to provide for the acceptance of appointment by a successor Trustee or facilitate the administration of the trusts under either Indenture by more than one Trustee; (ix) to cure any ambiguity, defect or inconsistency in either Indenture, provided that such action shall not adversely affect the interests of Holders of Debt Securities of any series issued under such Indenture; or</w:t>
      </w:r>
    </w:p>
    <w:p>
      <w:pPr>
        <w:spacing w:after="0" w:line="191" w:lineRule="exact"/>
        <w:rPr>
          <w:rFonts w:ascii="Courier New" w:cs="Courier New" w:eastAsia="Courier New" w:hAnsi="Courier New"/>
          <w:sz w:val="16"/>
          <w:szCs w:val="16"/>
          <w:color w:val="auto"/>
        </w:rPr>
      </w:pPr>
    </w:p>
    <w:p>
      <w:pPr>
        <w:ind w:right="1999" w:firstLine="8"/>
        <w:spacing w:after="0" w:line="237" w:lineRule="auto"/>
        <w:tabs>
          <w:tab w:leader="none" w:pos="42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supplement any of the provisions of either Indenture to the extent necessary to permit or facilitate defeasance and discharge of any series of such Debt Securities, provided that such action shall not adversely affect the interests of the Holders of the Debt Securities of any series (Section 901 of each Indenture).</w:t>
      </w:r>
    </w:p>
    <w:p>
      <w:pPr>
        <w:spacing w:after="0" w:line="209"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Each Indenture provides that in determining whether the Holders of the requisite principal amount of Outstanding Debt Securities of a series have given any request, demand, authorization, direction, notice, consent or waiver thereunder or whether a quorum is present at a meeting of Holders of Debt Securities, (i) the principal amount of an Original Issue Discount Security that shall be deemed to be outstanding shall be the amount of the principal thereof that would be due and payable as of the date of such determination upon declaration of acceleration of the maturity thereof, (ii) the principal amount of a Debt Security denominated in a Foreign Currency that shall be deemed outstanding shall be the U.S. dollar equivalent, determined on the issue date for such Debt Security, of the principal amount (or, in the case of an Original Issue Discount Security, the U.S. dollar equivalent on the issue date of such Debt Security of the amount determined as provided in (i) above),</w:t>
      </w:r>
    </w:p>
    <w:p>
      <w:pPr>
        <w:spacing w:after="0" w:line="187" w:lineRule="exact"/>
        <w:rPr>
          <w:sz w:val="20"/>
          <w:szCs w:val="20"/>
          <w:color w:val="auto"/>
        </w:rPr>
      </w:pPr>
    </w:p>
    <w:p>
      <w:pPr>
        <w:ind w:right="2099" w:firstLine="8"/>
        <w:spacing w:after="0" w:line="237" w:lineRule="auto"/>
        <w:tabs>
          <w:tab w:leader="none" w:pos="632"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amount of an Indexed Security that shall be deemed outstanding shall be the principal face amount of such Indexed Security at original issuance, unless otherwise provided with respect to such Indexed Security pursuant to Section 301 of each Indenture, and (iv) Debt Securities owned by the Trust or any other obligor upon the Debt Securities or any Affiliate of the Trust or of such other obligor shall be disregarded (Section 101 of each Indenture).</w:t>
      </w:r>
    </w:p>
    <w:p>
      <w:pPr>
        <w:spacing w:after="0" w:line="211"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Each Indenture contains provisions for convening meetings of the Holders of Debt Securities of a series (Section 1501 of each Indenture). A meeting may be called at any time by the applicable Trustee, and also, upon request, by the Trust or the Holders of at least 10% in principal amount of the Outstanding Debt Securities of such series, in any such case upon notice given as provided in the Indenture (Section 1502 of each Indenture). Except for any consent that must be given by the Holder of each Debt Security affected by certain modifications and amendments of either Indenture, any resolution presented at a meeting or adjourned meeting duly reconvened at which a quorum is present may be adopted by the affirmative vote of the Holders of a majority in principal amount of the Outstanding Debt Securities of that series; provided, however, that, except as referred to above, any resolution with respect to any request, demand, authorization, direction, notice, consent, waiver or other action that may be made, given or taken by the Holders of a specified percentage, which is less than a majority, in principal amount of the Outstanding Debt Securities of a series may be adopted at a meeting or adjourned meeting duly reconvened at which a quorum is present by the affirmative vote of the Holders of such</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0" w:gutter="0" w:footer="0" w:header="0"/>
        </w:sectPr>
      </w:pPr>
    </w:p>
    <w:bookmarkStart w:id="16" w:name="page17"/>
    <w:bookmarkEnd w:id="16"/>
    <w:p>
      <w:pPr>
        <w:ind w:right="1999"/>
        <w:spacing w:after="0" w:line="238" w:lineRule="auto"/>
        <w:rPr>
          <w:sz w:val="20"/>
          <w:szCs w:val="20"/>
          <w:color w:val="auto"/>
        </w:rPr>
      </w:pPr>
      <w:r>
        <w:rPr>
          <w:rFonts w:ascii="Courier New" w:cs="Courier New" w:eastAsia="Courier New" w:hAnsi="Courier New"/>
          <w:sz w:val="18"/>
          <w:szCs w:val="18"/>
          <w:color w:val="auto"/>
        </w:rPr>
        <w:t>specified percentage in principal amount of the Outstanding Debt Securities of that series. Any resolution passed or decision taken at any meeting of Holders of Debt Securities of any series duly held in accordance with either Indenture will be binding on all Holders of Debt Securities of that series. The quorum at any meeting called to adopt a resolution, and at any reconvened meeting, will be Persons holding or representing a majority in principal amount of the Outstanding Debt Securities of a series; provided, however, that if any action is to be taken at such meeting with respect to a consent or waiver which may be given by the Holders of not less than a specified percentage in principal amount of the Outstanding Debt Securities of a series, the Persons holding or representing such specified percentage in principal amount of the Outstanding Debt Securities of such series will constitute a quorum (Section 1504 of each Indenture).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Notwithstanding the foregoing provisions, if any action is to be taken at a meeting of Holders of Debt Securities of any series with respect to any request, demand, authorization, direction, notice, consent, waiver or other action that either Indenture expressly provides may be made, given or taken by the Holders of a specified percentage in principal amount of all Outstanding Debt Securities affected thereby, or of the Holders of such series and one or more additional series: (i) there shall be no minimum quorum requirement for such meeting and (ii) 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 (Section 1504 of each Indenture).</w:t>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SUBORDINATION</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Upon any distribution to creditors of the Trust in a liquidation, dissolution or reorganization, the payment of the principal of and interest on the Subordinated Securities will be subordinated to the extent provided in the Subordinated Indenture in right of payment to the prior payment in full of all Senior Debt (Sections 1601 and 1602 of the Subordinated Indenture), but the obligation of the Trust to make payment of the principal and interest on the Subordinated Securities will not otherwise be affected (Section 1608 of the Subordinated Indenture). No payment of principal or interest may be made on the Subordinated Securities at any time if a default on Senior Debt exists that permits the holders of such Senior Debt to accelerate its maturity and the default is the subject of judicial proceedings or the Trust receives notice of the default (Section 1603 of the Subordinated Indenture). After all Senior Debt is paid in full and until the Subordinated Securities are paid in full, holders will be subrogated to the rights of holders of Senior Debt to the extent that distributions otherwise payable to holders have been applied to the payment of Senior Debt (Section 1607 of the Subordinated Indenture). By reason of such subordination, in the event of a distribution of assets upon insolvency, certain general creditors of the Trust may recover more, ratably, than holders of the Subordinated Securities.</w:t>
      </w:r>
    </w:p>
    <w:p>
      <w:pPr>
        <w:spacing w:after="0" w:line="395"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Senior Debt is defined in the Subordinated Indenture as the principal of and interest on, or substantially similar payments to be made by the Trust in respect of, the following, whether outstanding at the date of execution of the Subordinated Indenture or thereafter incurred, created or assumed:</w:t>
      </w:r>
    </w:p>
    <w:p>
      <w:pPr>
        <w:spacing w:after="0" w:line="5" w:lineRule="exact"/>
        <w:rPr>
          <w:sz w:val="20"/>
          <w:szCs w:val="20"/>
          <w:color w:val="auto"/>
        </w:rPr>
      </w:pPr>
    </w:p>
    <w:p>
      <w:pPr>
        <w:ind w:right="1999" w:firstLine="8"/>
        <w:spacing w:after="0" w:line="237"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indebtedness of the Trust for money borrowed or represented by purchase-money obligations, (b) indebtedness of the Trust evidenced by notes, debentures, or bonds, or other securities issued under the provisions of an indenture, fiscal agency agreement or other instrument, (c) obligations of the Trust as lessee under leases of property either made as part of any sale and leaseback transaction to which the Trust is a party or otherwise,</w:t>
      </w:r>
    </w:p>
    <w:p>
      <w:pPr>
        <w:spacing w:after="0" w:line="7"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partnerships and joint ventures which is included in the consolidated financial statements of the Trust, (e) indebtedness, obligations and liabilities of others in respect of which the Trust is liable contingently or otherwise to pay or advance money or property or as guarantor, endorser or otherwise or which the Trust has agreed to purchase or otherwise acquire, and</w:t>
      </w:r>
    </w:p>
    <w:p>
      <w:pPr>
        <w:ind w:right="2099" w:firstLine="8"/>
        <w:spacing w:after="0" w:line="237" w:lineRule="auto"/>
        <w:tabs>
          <w:tab w:leader="none" w:pos="421"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binding commitment of the Trust to fund any real estate investment or to fund any investment in any entity making such real estate investment, in each case other than (1) any such indebtedness, obligation or liability referred to in clauses (a) through (f) above as to which, in the instrument creating or evidencing the same or pursuant to which the same is outstanding, it is provided that such indebtedness,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23" w:right="1440" w:bottom="767" w:gutter="0" w:footer="0" w:header="0"/>
        </w:sectPr>
      </w:pPr>
    </w:p>
    <w:bookmarkStart w:id="17" w:name="page18"/>
    <w:bookmarkEnd w:id="17"/>
    <w:p>
      <w:pPr>
        <w:ind w:right="2099"/>
        <w:spacing w:after="0" w:line="268" w:lineRule="auto"/>
        <w:rPr>
          <w:sz w:val="20"/>
          <w:szCs w:val="20"/>
          <w:color w:val="auto"/>
        </w:rPr>
      </w:pPr>
      <w:r>
        <w:rPr>
          <w:rFonts w:ascii="Courier New" w:cs="Courier New" w:eastAsia="Courier New" w:hAnsi="Courier New"/>
          <w:sz w:val="16"/>
          <w:szCs w:val="16"/>
          <w:color w:val="auto"/>
        </w:rPr>
        <w:t>obligation or liability is not superior in right of payment to the Subordinated Securities or ranks pari passu with the Subordinated Securities,</w:t>
      </w:r>
    </w:p>
    <w:p>
      <w:pPr>
        <w:ind w:right="2099" w:firstLine="8"/>
        <w:spacing w:after="0" w:line="237" w:lineRule="auto"/>
        <w:tabs>
          <w:tab w:leader="none" w:pos="421"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such indebtedness, obligation or liability which is subordinated to indebtedness of the Trust to substantially the same extent as or to a greater extent than the Subordinated Securities are subordinated, and (3) the Subordinated Securities (Section 101 of the Subordinated Indenture). At June 30, 1995, Senior Debt aggregated approximately $365 million. There are no restrictions in the Subordinated Indenture upon the creation of additional Senior Debt.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DISCHARGE, DEFEASANCE AND COVENANT DEFEASANCE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Under each Indenture, the Trust may discharge certain obligations to Holders of any series of Debt Securities issued thereunder that have not already been delivered to the applicable Trustee for cancellation and that either have become due and payable or will become due and payable within one year (or scheduled for redemption within one year) by irrevocably depositing with the applicable Trustee, in trust, funds in such currency or currencies, currency unit or units or composite currency or currencies in which such Debt Securities are payable in an amount sufficient to pay the entire indebtedness on such Debt Securities in respect of principal (and premium, if any) and interest to the date of such deposit (if such Debt Securities have become due and payable) or to the Stated Maturity or Redemption Date, as the case may be (Section 401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Each Indenture provides that, if the provisions of Article Fourteen thereof are made applicable to the Debt Securities of or within any series pursuant to Section 301 of such Indenture, the Trust may elect either (a) to defease and be discharged from any and all obligations with respect to such Debt Securities (except for the obligation to pay Additional Amounts, if any, upon the occurrence of certain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and to hold moneys for payment in trust) ("defeasance") (Section 1402 of each Indenture) or (b) to be released from its obligations with respect to such Debt Securities under Sections 1004 to 1008, inclusive, of each Indenture (being the restrictions described under "Certain Covenants") or, if provided pursuant to Section 301 of each Indenture, its obligations with respect to any other covenant, and any omission to comply with such obligations shall not constitute a default or an Event of Default with respect to such Debt Securities ("covenant defeasance") (Section 1403 of each Indenture), in either case upon the irrevocable deposit by the Trust with the applicable Trustee, in trust, of an amount, in such currency or currencies, currency unit or units or composite currency or currencies in which such Debt Securities are payable at Stated Maturity, or Government Obligations (as defined below), or both, applicable to such Debt Securities which through the scheduled payment of principal and interest in accordance with their terms will provide money in an amount sufficient to pay the principal of (and premium, if any) and interest on such Debt Securities, and any mandatory sinking fund or analogous payments thereon, on the scheduled due dates therefor (Section 1404 of each Indenture).</w:t>
      </w:r>
    </w:p>
    <w:p>
      <w:pPr>
        <w:spacing w:after="0" w:line="200" w:lineRule="exact"/>
        <w:rPr>
          <w:sz w:val="20"/>
          <w:szCs w:val="20"/>
          <w:color w:val="auto"/>
        </w:rPr>
      </w:pPr>
    </w:p>
    <w:p>
      <w:pPr>
        <w:spacing w:after="0" w:line="393"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Such a trust may only be established if, among other things, the Trust has delivered to the applicable Trustee an Opinion of Counsel (as specified in each Indenture) to the effect that the Holders of such Debt Securities will not recognize income, gain or loss for U.S. federal income tax purposes as a result of such defeasance or covenant defeasance and will be subject to U.S. federal income tax on the same amounts, in the same manner and at the same times as would have been the case if such defeasance or covenant defeasance had not occurred, and such Opinion of Counsel, in the case of defeasance, must refer to and be based upon a ruling of the Internal Revenue Service or a change in applicable U. S. federal income tax law occurring after the date of the Indenture (Section 1404 of each Indenture).</w:t>
      </w:r>
    </w:p>
    <w:p>
      <w:pPr>
        <w:spacing w:after="0" w:line="21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"Government Obligations" means securities which are (i) direct obligations of the United States of America or the government which issued the Foreign Currency in which the Debt Securities of a particular series are payable, for the payment of which its full faith and credit is pledged or (ii) obligations of a Person controlled or supervised by and acting as an agency or instrumentality of the United States of America or such government which issued the Foreign Currency in which the Debt Securities of such series are payable, the payment of which</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362" w:gutter="0" w:footer="0" w:header="0"/>
        </w:sectPr>
      </w:pPr>
    </w:p>
    <w:bookmarkStart w:id="18" w:name="page19"/>
    <w:bookmarkEnd w:id="18"/>
    <w:p>
      <w:pPr>
        <w:ind w:right="1999"/>
        <w:spacing w:after="0" w:line="238" w:lineRule="auto"/>
        <w:rPr>
          <w:sz w:val="20"/>
          <w:szCs w:val="20"/>
          <w:color w:val="auto"/>
        </w:rPr>
      </w:pPr>
      <w:r>
        <w:rPr>
          <w:rFonts w:ascii="Courier New" w:cs="Courier New" w:eastAsia="Courier New" w:hAnsi="Courier New"/>
          <w:sz w:val="18"/>
          <w:szCs w:val="18"/>
          <w:color w:val="auto"/>
        </w:rPr>
        <w:t>is unconditionally guaranteed as a full faith and credit obligation by the United States of America or such other government, which, in either case,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provided that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 (Section 101 of each Indenture).</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otherwise provided in the applicable Prospectus Supplement, if after the Trust has deposited funds and/or Government Obligations to effect defeasance or covenant defeasance with respect to Debt Securities of any series, (a) the Holder of a Debt Security of such series is entitled to, and does, elect pursuant to Section 301 of either Indenture or the terms of such Debt Security to receive payment in a currency, currency unit or composite currency other than that in which such deposit has been made in respect of such Debt Security, or (b) a Conversion Event (as defined below) occurs in respect of the currency, currency unit or composite currency in which such deposit has been made, the indebtedness represented by such Debt Security shall be deemed to have been, and will be, fully discharged and satisfied through the payment of the principal of (and premium, if any)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 (Section 1405 of each Indenture). "Conversion Event" means the cessation of use of (i) a currency, currency unit or composite currency both by the government of the country which issued such currency and for the settlement of transactions by a central bank or other public institutions of or within the international banking community, (ii) the ECU both within the European Monetary System and for the settlement of transactions by public institutions of or within the European Communities or</w:t>
      </w:r>
    </w:p>
    <w:p>
      <w:pPr>
        <w:spacing w:after="0" w:line="393" w:lineRule="exact"/>
        <w:rPr>
          <w:sz w:val="20"/>
          <w:szCs w:val="20"/>
          <w:color w:val="auto"/>
        </w:rPr>
      </w:pPr>
    </w:p>
    <w:p>
      <w:pPr>
        <w:ind w:right="1999" w:firstLine="8"/>
        <w:spacing w:after="0" w:line="237" w:lineRule="auto"/>
        <w:tabs>
          <w:tab w:leader="none" w:pos="63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currency unit or composite currency other than the ECU for the purposes for which it was established. Unless otherwise provided in the applicable Prospectus Supplement, all payments of principal of (and premium, if any) and interest on any Debt Security that is payable in a Foreign Currency that ceases to be used by its government of issuance shall be made in U.S. dollars (Section 101 of each Indenture).</w:t>
      </w:r>
    </w:p>
    <w:p>
      <w:pPr>
        <w:spacing w:after="0" w:line="210"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In the event the Trust effects covenant defeasance with respect to any Debt Securities and such Debt Securities are declared due and payable because of the occurrence of any Event of Default other than the Event of Default described in clause (d) under "Events of Default, Notice and Waiver" with respect to Sections 1004 to 1008, inclusive, of each Indenture (which Sections would no longer be applicable to such Debt Securities) or described in clause</w:t>
      </w:r>
    </w:p>
    <w:p>
      <w:pPr>
        <w:spacing w:after="0" w:line="1" w:lineRule="exact"/>
        <w:rPr>
          <w:sz w:val="20"/>
          <w:szCs w:val="20"/>
          <w:color w:val="auto"/>
        </w:rPr>
      </w:pPr>
    </w:p>
    <w:p>
      <w:pPr>
        <w:ind w:right="1999" w:firstLine="8"/>
        <w:spacing w:after="0" w:line="237" w:lineRule="auto"/>
        <w:tabs>
          <w:tab w:leader="none" w:pos="421"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 "Events of Default, Notice and Waiver" with respect to any other covenant as to which there has been covenant defeasance,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the Trust would remain liable to make payment of such amounts due at the time of acceleration.</w:t>
      </w:r>
    </w:p>
    <w:p>
      <w:pPr>
        <w:spacing w:after="0" w:line="21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the Debt Securities are convertible into Common Shares or Preferred Shares will be set forth in the applicable Prospectus Supplement relating thereto. Such terms will include whether such Debt Securities are convertible into Common Shares or Preferred Shares, the conversion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564"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price (or manner of calculation thereof), the conversion period, provisions as to whether conversion will be at the option of the Holders or the Trust, the events requiring an adjustment of the conversion price and provisions affecting conversion in the event of the redemption of such Debt Securities.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GLOBAL SECURITIES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Debt Securities of a series may be issued in whole or in part in the form of one or more global securities (the "Global Securities") that will be deposited with, or on behalf of, a depositary (the "Depositary") identified in the applicable Prospectus Supplement relating to such series. Global Securities may be issued in either registered or bearer form and in either temporary or permanent form. The specific terms of the depositary arrangement with respect to a series of Debt Securities will be described in the applicable Prospectus Supplement relating to such series.</w:t>
      </w:r>
    </w:p>
    <w:p>
      <w:pPr>
        <w:spacing w:after="0" w:line="207"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DESCRIPTION OF PREFERRED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419" w:firstLine="211"/>
        <w:spacing w:after="0" w:line="290" w:lineRule="auto"/>
        <w:rPr>
          <w:sz w:val="20"/>
          <w:szCs w:val="20"/>
          <w:color w:val="auto"/>
        </w:rPr>
      </w:pPr>
      <w:r>
        <w:rPr>
          <w:rFonts w:ascii="Courier New" w:cs="Courier New" w:eastAsia="Courier New" w:hAnsi="Courier New"/>
          <w:sz w:val="16"/>
          <w:szCs w:val="16"/>
          <w:color w:val="auto"/>
        </w:rPr>
        <w:t>The Trust is authorized to issue an unlimited number of preferred shares (the "Preferred Shares") of which no Preferred Shares are outstanding.</w:t>
      </w:r>
    </w:p>
    <w:p>
      <w:pPr>
        <w:spacing w:after="0" w:line="17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following description of the Preferred Shares sets forth certain general terms and provisions of the Preferred Shares to which any Prospectus Supplement may relate. The statements below describing the Preferred Shares are in all respects subject to and qualified in their entirety by reference to the applicable provisions of the Trust's Third Amended and Restated Declaration of Trust (the "Declaration of Trust") and Bylaws and applicable statement of designations (the "Statement of Designations").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TERMS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Subject to the limitations prescribed by the Declaration of Trust, the Board of Trustees is authorized to fix the number of shares constituting each series of Preferred Shares and the designations and powers, preferences and relative, participating, optional or other special rights and qualifications, limitations or restrictions thereof, including such provisions as may be desired concerning voting, redemption, dividends, dissolution or the distribution of assets, conversion or exchange, and such other subjects or matters as may be fixed by resolution of the Board of Trustees. The Preferred Shares will, when issued, be fully paid and nonassessable by the Trust (except as described under "Shareholder Liability" below) and will have no preemptive rights.</w:t>
      </w:r>
    </w:p>
    <w:p>
      <w:pPr>
        <w:spacing w:after="0" w:line="216"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Reference is made to the Prospectus Supplement relating to the Preferred Shares offered thereby for specific terms, including:</w:t>
      </w:r>
    </w:p>
    <w:p>
      <w:pPr>
        <w:spacing w:after="0" w:line="203" w:lineRule="exact"/>
        <w:rPr>
          <w:sz w:val="20"/>
          <w:szCs w:val="20"/>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title and stated value of such Preferred Shares;</w:t>
      </w:r>
    </w:p>
    <w:p>
      <w:pPr>
        <w:spacing w:after="0" w:line="206" w:lineRule="exact"/>
        <w:rPr>
          <w:rFonts w:ascii="Courier New" w:cs="Courier New" w:eastAsia="Courier New" w:hAnsi="Courier New"/>
          <w:sz w:val="18"/>
          <w:szCs w:val="18"/>
          <w:color w:val="auto"/>
        </w:rPr>
      </w:pPr>
    </w:p>
    <w:p>
      <w:pPr>
        <w:ind w:left="220" w:right="2739" w:firstLine="209"/>
        <w:spacing w:after="0" w:line="290" w:lineRule="auto"/>
        <w:tabs>
          <w:tab w:leader="none" w:pos="852"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Preferred Shares offered, the liquidation preference per share and the offering price of such Preferred Shares;</w:t>
      </w:r>
    </w:p>
    <w:p>
      <w:pPr>
        <w:spacing w:after="0" w:line="169" w:lineRule="exact"/>
        <w:rPr>
          <w:rFonts w:ascii="Courier New" w:cs="Courier New" w:eastAsia="Courier New" w:hAnsi="Courier New"/>
          <w:sz w:val="16"/>
          <w:szCs w:val="16"/>
          <w:color w:val="auto"/>
        </w:rPr>
      </w:pPr>
    </w:p>
    <w:p>
      <w:pPr>
        <w:ind w:left="220" w:right="231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dividend rate(s), period(s) and/or payment date(s) or method(s) of calculation thereof applicable to such Preferred Shares;</w:t>
      </w:r>
    </w:p>
    <w:p>
      <w:pPr>
        <w:spacing w:after="0" w:line="208" w:lineRule="exact"/>
        <w:rPr>
          <w:rFonts w:ascii="Courier New" w:cs="Courier New" w:eastAsia="Courier New" w:hAnsi="Courier New"/>
          <w:sz w:val="18"/>
          <w:szCs w:val="18"/>
          <w:color w:val="auto"/>
        </w:rPr>
      </w:pPr>
    </w:p>
    <w:p>
      <w:pPr>
        <w:ind w:left="220" w:right="303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from which dividends on such Preferred Shares shall accumulate, if applicable;</w:t>
      </w:r>
    </w:p>
    <w:p>
      <w:pPr>
        <w:spacing w:after="0" w:line="208" w:lineRule="exact"/>
        <w:rPr>
          <w:rFonts w:ascii="Courier New" w:cs="Courier New" w:eastAsia="Courier New" w:hAnsi="Courier New"/>
          <w:sz w:val="18"/>
          <w:szCs w:val="18"/>
          <w:color w:val="auto"/>
        </w:rPr>
      </w:pPr>
    </w:p>
    <w:p>
      <w:pPr>
        <w:ind w:left="220" w:right="261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procedures for any auction and remarketing, if any, for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a sinking fund, if any, for such Preferred Shares;</w:t>
      </w:r>
    </w:p>
    <w:p>
      <w:pPr>
        <w:spacing w:after="0" w:line="206" w:lineRule="exact"/>
        <w:rPr>
          <w:rFonts w:ascii="Courier New" w:cs="Courier New" w:eastAsia="Courier New" w:hAnsi="Courier New"/>
          <w:sz w:val="18"/>
          <w:szCs w:val="18"/>
          <w:color w:val="auto"/>
        </w:rPr>
      </w:pPr>
    </w:p>
    <w:p>
      <w:pPr>
        <w:ind w:left="220" w:right="2839" w:firstLine="209"/>
        <w:spacing w:after="0" w:line="235"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 for redemption, if applicable, of such Preferred Shares;</w:t>
      </w:r>
    </w:p>
    <w:p>
      <w:pPr>
        <w:spacing w:after="0" w:line="202" w:lineRule="exact"/>
        <w:rPr>
          <w:rFonts w:ascii="Courier New" w:cs="Courier New" w:eastAsia="Courier New" w:hAnsi="Courier New"/>
          <w:sz w:val="18"/>
          <w:szCs w:val="18"/>
          <w:color w:val="auto"/>
        </w:rPr>
      </w:pPr>
    </w:p>
    <w:p>
      <w:pPr>
        <w:ind w:left="860" w:hanging="431"/>
        <w:spacing w:after="0"/>
        <w:tabs>
          <w:tab w:leader="none" w:pos="8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listing of such Preferred Shares on any securities exchange;</w:t>
      </w:r>
    </w:p>
    <w:p>
      <w:pPr>
        <w:spacing w:after="0" w:line="206" w:lineRule="exact"/>
        <w:rPr>
          <w:rFonts w:ascii="Courier New" w:cs="Courier New" w:eastAsia="Courier New" w:hAnsi="Courier New"/>
          <w:sz w:val="18"/>
          <w:szCs w:val="18"/>
          <w:color w:val="auto"/>
        </w:rPr>
      </w:pPr>
    </w:p>
    <w:p>
      <w:pPr>
        <w:ind w:left="220" w:right="2319" w:firstLine="209"/>
        <w:spacing w:after="0" w:line="236" w:lineRule="auto"/>
        <w:tabs>
          <w:tab w:leader="none" w:pos="8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terms and conditions, if applicable, upon which such Preferred Shares will be convertible into Common Shares of the Trust, including the conversion price (or manner of calculation thereof);</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564" w:gutter="0" w:footer="0" w:header="0"/>
        </w:sectPr>
      </w:pPr>
    </w:p>
    <w:bookmarkStart w:id="20" w:name="page21"/>
    <w:bookmarkEnd w:id="20"/>
    <w:p>
      <w:pPr>
        <w:ind w:left="220" w:right="2839" w:firstLine="209"/>
        <w:spacing w:after="0" w:line="235"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specific terms, preferences, rights, limitations or restrictions of such Preferred Shares;</w:t>
      </w:r>
    </w:p>
    <w:p>
      <w:pPr>
        <w:spacing w:after="0" w:line="208" w:lineRule="exact"/>
        <w:rPr>
          <w:rFonts w:ascii="Courier New" w:cs="Courier New" w:eastAsia="Courier New" w:hAnsi="Courier New"/>
          <w:sz w:val="18"/>
          <w:szCs w:val="18"/>
          <w:color w:val="auto"/>
        </w:rPr>
      </w:pPr>
    </w:p>
    <w:p>
      <w:pPr>
        <w:ind w:left="220" w:right="2099" w:firstLine="209"/>
        <w:spacing w:after="0" w:line="235"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discussion of federal income tax considerations applicable to such Preferred Shares;</w:t>
      </w:r>
    </w:p>
    <w:p>
      <w:pPr>
        <w:spacing w:after="0" w:line="208" w:lineRule="exact"/>
        <w:rPr>
          <w:rFonts w:ascii="Courier New" w:cs="Courier New" w:eastAsia="Courier New" w:hAnsi="Courier New"/>
          <w:sz w:val="18"/>
          <w:szCs w:val="18"/>
          <w:color w:val="auto"/>
        </w:rPr>
      </w:pPr>
    </w:p>
    <w:p>
      <w:pPr>
        <w:ind w:left="220" w:right="2199" w:firstLine="209"/>
        <w:spacing w:after="0" w:line="236"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relative ranking and preferences of such Preferred Shares as to dividend rights and rights upon liquidation, dissolution or winding up of the affairs of the Trust;</w:t>
      </w:r>
    </w:p>
    <w:p>
      <w:pPr>
        <w:spacing w:after="0" w:line="203" w:lineRule="exact"/>
        <w:rPr>
          <w:rFonts w:ascii="Courier New" w:cs="Courier New" w:eastAsia="Courier New" w:hAnsi="Courier New"/>
          <w:sz w:val="18"/>
          <w:szCs w:val="18"/>
          <w:color w:val="auto"/>
        </w:rPr>
      </w:pPr>
    </w:p>
    <w:p>
      <w:pPr>
        <w:ind w:left="960" w:hanging="531"/>
        <w:spacing w:after="0"/>
        <w:tabs>
          <w:tab w:leader="none" w:pos="9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issuance of any series of Preferred Shares</w:t>
      </w:r>
    </w:p>
    <w:p>
      <w:pPr>
        <w:spacing w:after="0" w:line="4" w:lineRule="exact"/>
        <w:rPr>
          <w:rFonts w:ascii="Courier New" w:cs="Courier New" w:eastAsia="Courier New" w:hAnsi="Courier New"/>
          <w:sz w:val="18"/>
          <w:szCs w:val="18"/>
          <w:color w:val="auto"/>
        </w:rPr>
      </w:pPr>
    </w:p>
    <w:p>
      <w:pPr>
        <w:ind w:left="220"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ranking senior to or on a parity with such series of Preferred Shares as to dividend rights and rights upon liquidation, dissolution or winding up of the affairs of the Trust; and</w:t>
      </w:r>
    </w:p>
    <w:p>
      <w:pPr>
        <w:spacing w:after="0" w:line="208" w:lineRule="exact"/>
        <w:rPr>
          <w:rFonts w:ascii="Courier New" w:cs="Courier New" w:eastAsia="Courier New" w:hAnsi="Courier New"/>
          <w:sz w:val="18"/>
          <w:szCs w:val="18"/>
          <w:color w:val="auto"/>
        </w:rPr>
      </w:pPr>
    </w:p>
    <w:p>
      <w:pPr>
        <w:jc w:val="both"/>
        <w:ind w:left="220" w:right="2319" w:firstLine="209"/>
        <w:spacing w:after="0" w:line="236" w:lineRule="auto"/>
        <w:tabs>
          <w:tab w:leader="none" w:pos="95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limitations on direct or beneficial ownership and restrictions on transfer, in each case as may be appropriate to preserve the status of the Trust as a REIT.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RANK</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Prospectus Supplement, the Preferred Shares will, with respect to dividend rights and rights upon liquidation, dissolution or winding up of the Trust, rank (i) senior to all classes or series of Common Shares or other capital shares of the Trust, and to all equity securities ranking junior to such Preferred Shares; (ii) on a parity with all equity securities issued by the Trust the terms of which specifically provide that such equity securities rank on a parity with the Preferred Shares; and (iii) junior to all equity securities issued by the Trust the terms of which specifically provide that such equity securities rank senior to the Preferred Shares. The term "equity securities" does not include convertible debt securities.</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DIVIDENDS</w:t>
      </w:r>
    </w:p>
    <w:p>
      <w:pPr>
        <w:spacing w:after="0" w:line="207" w:lineRule="exact"/>
        <w:rPr>
          <w:sz w:val="20"/>
          <w:szCs w:val="20"/>
          <w:color w:val="auto"/>
        </w:rPr>
      </w:pPr>
    </w:p>
    <w:p>
      <w:pPr>
        <w:jc w:val="both"/>
        <w:ind w:right="2099" w:firstLine="211"/>
        <w:spacing w:after="0" w:line="268" w:lineRule="auto"/>
        <w:rPr>
          <w:sz w:val="20"/>
          <w:szCs w:val="20"/>
          <w:color w:val="auto"/>
        </w:rPr>
      </w:pPr>
      <w:r>
        <w:rPr>
          <w:rFonts w:ascii="Courier New" w:cs="Courier New" w:eastAsia="Courier New" w:hAnsi="Courier New"/>
          <w:sz w:val="16"/>
          <w:szCs w:val="16"/>
          <w:color w:val="auto"/>
        </w:rPr>
        <w:t>Holders of the Preferred Shares of each series will be entitled to receive, when, as and if declared by the Board of Trustees of the Trust, out of assets of the Trust legally available for payment, cash dividends at such rates and on such dates as will be set forth in the applicable Prospectus Supplement.</w:t>
      </w:r>
    </w:p>
    <w:p>
      <w:pPr>
        <w:spacing w:after="0" w:line="1"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Each such dividend shall be payable to holders of record as they appear on the share transfer books of the Trust on such record dates as shall be fixed by the Board of Trustees of the Trust.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Dividends on any series of the Preferred Shares may be cumulative or non-cumulative, as provided in the applicable Prospectus Supplement. Dividends, if cumulative, will be cumulative from and after the date set forth in the applicable Prospectus Supplement. If the Board of Trustees of the Trust fails to declare a dividend payable on a dividend payment date on any series of the Preferred Shares for which dividends are noncumulative, then the holders of such series of the Preferred Shares will have no right to receive a dividend in respect of the dividend period ending on such dividend payment date, and the Trust will have no obligation to pay the dividend accrued for such period, whether or not dividends on such series are declared payable on any future dividend payment date.</w:t>
      </w:r>
    </w:p>
    <w:p>
      <w:pPr>
        <w:spacing w:after="0" w:line="216"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If Preferred Shares of any series are outstanding, no dividends will be declared or paid or set apart for payment on the Preferred Shares of the Trust of any other series ranking, as to dividends, on a parity with or junior to the Preferred Shares of such series for any period unless (i) if such series of Preferred Shares has a cumulative dividend, full cumulative dividends have been or contemporaneously are declared and paid or declared and a sum sufficient for the payment thereof set apart for such payment on the Preferred Shares of such series for all past dividend periods and the then current dividend period or (ii) if such series of Preferred Shares does not have a cumulative dividend, full dividends for the then current dividend period have been or contemporaneously are declared and paid or declared and a sum sufficient for the payment thereof set apart for such payment on the Preferred Shares of such series. When dividends are not paid in full (or a sum sufficient for such full payment is not so set apart) upon Preferred Shares of any series and the shares of any other series of Preferred Shares ranking on a parity as to dividends with the Preferred Shares of such series, all dividends declared upon Preferred Shares of such series and any other series of Preferred Shares ranking on a parity as to dividends with such Preferred Shares shall be declared pro rata so that the amount of dividends declared per</w:t>
      </w:r>
    </w:p>
    <w:p>
      <w:pPr>
        <w:spacing w:after="0" w:line="38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59" w:gutter="0" w:footer="0" w:header="0"/>
        </w:sectPr>
      </w:pPr>
    </w:p>
    <w:bookmarkStart w:id="21" w:name="page22"/>
    <w:bookmarkEnd w:id="21"/>
    <w:p>
      <w:pPr>
        <w:ind w:right="1999"/>
        <w:spacing w:after="0" w:line="237" w:lineRule="auto"/>
        <w:rPr>
          <w:sz w:val="20"/>
          <w:szCs w:val="20"/>
          <w:color w:val="auto"/>
        </w:rPr>
      </w:pPr>
      <w:r>
        <w:rPr>
          <w:rFonts w:ascii="Courier New" w:cs="Courier New" w:eastAsia="Courier New" w:hAnsi="Courier New"/>
          <w:sz w:val="18"/>
          <w:szCs w:val="18"/>
          <w:color w:val="auto"/>
        </w:rPr>
        <w:t>Preferred Share of such series and such other series of Preferred Shares shall in all cases bear to each other the same ratio that accrued dividends per share on the Preferred Shares of such series (which shall not include any accumulation in respect of unpaid dividends for prior dividend periods if such Preferred Shares do not have a cumulative dividend) and such other series of Preferred Shares bear to each other. No interest, or sum of money in lieu of interest, shall be payable in respect of any dividend payment or payments on Preferred Shares of such series which may be in arrears.</w:t>
      </w:r>
    </w:p>
    <w:p>
      <w:pPr>
        <w:spacing w:after="0" w:line="212"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Except as provided in the immediately preceding paragraph, unless (i) if such series of Preferred Shares has a cumulative dividend, full cumulative dividends on the Preferred Shares of such series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such series have been or contemporaneously are declared and paid or declared and a sum sufficient for the payment thereof set apart for payment for the then current dividend period, no dividends (other than in Common Shares or other capital shares ranking junior to the Preferred Shares of such series as to dividends and upon liquidation) shall be declared or paid or set aside for payment or other distribution shall be declared or made upon the Common Shares, or any other capital shares of the Trust ranking junior to or on a parity with the Preferred Shares of such series as to dividends or upon liquidation, nor shall any Common Shares, or any other capital shares of the Trust ranking junior to or on a parity with the Preferred Shares of such series as to dividends or upon liquidation be redeemed, purchased or otherwise acquired for any consideration (or any moneys be paid to or made available for a sinking fund for the redemption of any such shares) by the Trust (except by conversion into or exchange for other capital shares of the Trust ranking junior to the Preferred Shares of such series as to dividends and upon liquidation).</w:t>
      </w:r>
    </w:p>
    <w:p>
      <w:pPr>
        <w:spacing w:after="0" w:line="211" w:lineRule="exact"/>
        <w:rPr>
          <w:sz w:val="20"/>
          <w:szCs w:val="20"/>
          <w:color w:val="auto"/>
        </w:rPr>
      </w:pPr>
    </w:p>
    <w:p>
      <w:pPr>
        <w:jc w:val="both"/>
        <w:ind w:right="2319" w:firstLine="211"/>
        <w:spacing w:after="0" w:line="236" w:lineRule="auto"/>
        <w:rPr>
          <w:sz w:val="20"/>
          <w:szCs w:val="20"/>
          <w:color w:val="auto"/>
        </w:rPr>
      </w:pPr>
      <w:r>
        <w:rPr>
          <w:rFonts w:ascii="Courier New" w:cs="Courier New" w:eastAsia="Courier New" w:hAnsi="Courier New"/>
          <w:sz w:val="18"/>
          <w:szCs w:val="18"/>
          <w:color w:val="auto"/>
        </w:rPr>
        <w:t>Any dividend payment made on shares of a series of Preferred Shares shall first be credited against the earliest accrued but unpaid dividend due with respect to shares of such series which remains payable.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so provided in the applicable Prospectus Supplement, the Preferred Shares will be subject to mandatory redemption or redemption at the option of the Trust, as a whole or in part, in each case upon the terms, at the times and at the redemption prices set forth in such Prospectus Supplement.</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Prospectus Supplement relating to a series of Preferred Shares that is subject to mandatory redemption will specify the number of such Preferred Shares that shall be redeemed by the Trust in each year commencing after a date to be specified, at a redemption price per share to be specified, together with an amount equal to all accrued and unpaid dividends thereon (which shall not, if such Preferred Shares do not have a cumulative dividend, include any accumulation in respect of unpaid dividends for prior dividend periods) to the date of redemption. The redemption price may be payable in cash or other property, as specified in the applicable Prospectus Supplement. If the redemption price for Preferred Shares of any series is payable only from the net proceeds of the issuance of capital shares of the Trust, the terms of such Preferred Shares may provide that, if no such capital shares shall have been issued or to the extent the net proceeds from any issuance are insufficient to pay in full the aggregate redemption price then due, such Preferred Shares shall automatically and mandatorily be converted into the applicable capital shares of the Trust pursuant to conversion provisions specified in the applicable Prospectus Supplement.</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Notwithstanding the foregoing, unless (i) if such series of Preferred Shares has a cumulative dividend, full cumulative dividends on all shares of any series of Preferred Shares shall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no shares of any series of Preferred Shares shall be redeemed unless all outstanding</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362" w:gutter="0" w:footer="0" w:header="0"/>
        </w:sectPr>
      </w:pPr>
    </w:p>
    <w:bookmarkStart w:id="22" w:name="page23"/>
    <w:bookmarkEnd w:id="22"/>
    <w:p>
      <w:pPr>
        <w:ind w:right="1999"/>
        <w:spacing w:after="0" w:line="269" w:lineRule="auto"/>
        <w:rPr>
          <w:sz w:val="20"/>
          <w:szCs w:val="20"/>
          <w:color w:val="auto"/>
        </w:rPr>
      </w:pPr>
      <w:r>
        <w:rPr>
          <w:rFonts w:ascii="Courier New" w:cs="Courier New" w:eastAsia="Courier New" w:hAnsi="Courier New"/>
          <w:sz w:val="16"/>
          <w:szCs w:val="16"/>
          <w:color w:val="auto"/>
        </w:rPr>
        <w:t>Preferred Shares of such series are simultaneously redeemed;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 and, unless (i) if such series of Preferred Shares has a cumulative dividend, full cumulative dividends on all outstanding shares of any series of Preferred Shares have been or contemporaneously are declared and paid or declared and a sum sufficient for the payment thereof set apart for payment for all past dividend periods and the then current dividend period and (ii) if such series of Preferred Shares does not have a cumulative dividend, full dividends on the Preferred Shares of any series have been or contemporaneously are declared and paid or declared and a sum sufficient for the payment thereof set apart for payment for the then current dividend period, the Trust shall not purchase or otherwise acquire directly or indirectly any Preferred Shares of such series (except by conversion into or exchange for capital shares of the Trust ranking junior to the Preferred Shares of such series as to dividends and upon liquidation); provided, however, that the foregoing shall not prevent the purchase or acquisition of Preferred Shares of such series to preserve the REIT status of the Trust or pursuant to a purchase or exchange offer made on the same terms to holders of all outstanding Preferred Shares of such series.</w:t>
      </w:r>
    </w:p>
    <w:p>
      <w:pPr>
        <w:spacing w:after="0" w:line="200" w:lineRule="exact"/>
        <w:rPr>
          <w:sz w:val="20"/>
          <w:szCs w:val="20"/>
          <w:color w:val="auto"/>
        </w:rPr>
      </w:pPr>
    </w:p>
    <w:p>
      <w:pPr>
        <w:spacing w:after="0" w:line="397"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If fewer than all of the outstanding shares of Preferred Shares of any series are to be redeemed, the number of shares to be redeemed will be determined by the Trust and such shares may be redeemed pro rata from the holders of record of such shares in proportion to the number of such shares held by such holders (with adjustments to avoid redemption of fractional shares) or by lot in a manner determined by the Trust.</w:t>
      </w:r>
    </w:p>
    <w:p>
      <w:pPr>
        <w:spacing w:after="0" w:line="210" w:lineRule="exact"/>
        <w:rPr>
          <w:sz w:val="20"/>
          <w:szCs w:val="20"/>
          <w:color w:val="auto"/>
        </w:rPr>
      </w:pPr>
    </w:p>
    <w:p>
      <w:pPr>
        <w:ind w:right="2099" w:firstLine="211"/>
        <w:spacing w:after="0" w:line="268" w:lineRule="auto"/>
        <w:rPr>
          <w:sz w:val="20"/>
          <w:szCs w:val="20"/>
          <w:color w:val="auto"/>
        </w:rPr>
      </w:pPr>
      <w:r>
        <w:rPr>
          <w:rFonts w:ascii="Courier New" w:cs="Courier New" w:eastAsia="Courier New" w:hAnsi="Courier New"/>
          <w:sz w:val="16"/>
          <w:szCs w:val="16"/>
          <w:color w:val="auto"/>
        </w:rPr>
        <w:t>Notice of redemption will be mailed at least 30 days but not more than 60 days before the redemption date to each holder of record of Preferred Shares of any series to be redeemed at the address shown on the share transfer books of the Trust. Each notice shall state: (i) the redemption date; (ii) the number of shares and series of the Preferred Shares to be redeemed; (iii) the redemption price; (iv) the place or places where certificates for such Preferred Shares are to be surrendered for payment of the redemption price;</w:t>
      </w:r>
    </w:p>
    <w:p>
      <w:pPr>
        <w:spacing w:after="0" w:line="1" w:lineRule="exact"/>
        <w:rPr>
          <w:sz w:val="20"/>
          <w:szCs w:val="20"/>
          <w:color w:val="auto"/>
        </w:rPr>
      </w:pPr>
    </w:p>
    <w:p>
      <w:pPr>
        <w:ind w:right="1999" w:firstLine="8"/>
        <w:spacing w:after="0" w:line="270"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dividends on the shares to be redeemed will cease to accrue on such redemption date; and (vi) the date upon which the holder's conversion rights, if any, as to such shares shall terminate. If fewer than all the Preferred Shares of any series are to be redeemed, the notice mailed to each such holder thereof shall also specify the number of Preferred Shares to be redeemed from each such holder. If notice of redemption of any Preferred Shares has been given and if the funds necessary for such redemption have been set aside by the Trust in trust for the benefit of the holders of any Preferred Shares so called for redemption, then from and after the redemption date dividends will cease to accrue on such Preferred Shares, and all rights of the holders of such shares will terminate, except the right to receive the redemption price.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LIQUIDATION PREFERENCE</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Upon any voluntary or involuntary liquidation, dissolution or winding up of the affairs of the Trust, then, before any distribution or payment shall be made to the holders of any Common Shares, excess shares or any other class or series of capital shares of the Trust ranking junior to the Preferred Shares in the distribution of assets upon any liquidation, dissolution or winding up of the Trust, the holders of each series of Preferred Shares shall be entitled to receive out of assets of the Trust legally available for distribution to shareholders liquidating distributions in the amount of the liquidation preference per share (set forth in the applicable Prospectus Supplement), plus an amount equal to all dividends accrued and unpaid thereon (which shall not include any accumulation in respect of unpaid dividends for prior dividend periods if such Preferred Shares do not have a cumulative dividend). After payment of the full amount of the liquidating distributions to which they are entitled, the holders of Preferred Shares will have no right or claim to any of the remaining assets of the Trust. In the event that, upon any such voluntary or involuntary liquidation, dissolution or winding up, the available assets of the Trust are insufficient to pay the amount of the liquidating distributions on all outstanding Preferred Shares and the corresponding amounts payable on all shares of other classes or series of capital shares of the Trust</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22" w:right="1440" w:bottom="970" w:gutter="0" w:footer="0" w:header="0"/>
        </w:sectPr>
      </w:pPr>
    </w:p>
    <w:bookmarkStart w:id="23" w:name="page24"/>
    <w:bookmarkEnd w:id="23"/>
    <w:p>
      <w:pPr>
        <w:ind w:right="1999"/>
        <w:spacing w:after="0" w:line="237" w:lineRule="auto"/>
        <w:rPr>
          <w:sz w:val="20"/>
          <w:szCs w:val="20"/>
          <w:color w:val="auto"/>
        </w:rPr>
      </w:pPr>
      <w:r>
        <w:rPr>
          <w:rFonts w:ascii="Courier New" w:cs="Courier New" w:eastAsia="Courier New" w:hAnsi="Courier New"/>
          <w:sz w:val="18"/>
          <w:szCs w:val="18"/>
          <w:color w:val="auto"/>
        </w:rPr>
        <w:t>ranking on a parity with the Preferred Shares in the distribution of assets, then the holders of the Preferred Shares and all other such classes or series of capital shares shall share ratably in any such distribution of assets in proportion to the full liquidating distributions to which they would otherwise be respectively entitled.</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If liquidating distributions shall have been made in full to all holders of Preferred Shares, the remaining assets of the Trust shall be distributed among the holders of any other classes or series of capital shares ranking junior to the Preferred Shares upon liquidation, dissolution or winding up, according to their respective rights and preferences and in each case according to their respective number of shares. For such purposes, the consolidation or merger of the Trust with or into any other corporation, trust or entity, or the sale, lease or conveyance of all or substantially all of the property or business of the Trust, shall not be deemed to constitute a liquidation, dissolution or winding up of the Trust.</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RIGHTS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Holders of the Preferred Shares will not have any voting rights, except as set forth below or as otherwise from time to time required by law or as indicated in the applicable Prospectus Supplement.</w:t>
      </w:r>
    </w:p>
    <w:p>
      <w:pPr>
        <w:spacing w:after="0" w:line="209" w:lineRule="exact"/>
        <w:rPr>
          <w:sz w:val="20"/>
          <w:szCs w:val="20"/>
          <w:color w:val="auto"/>
        </w:rPr>
      </w:pPr>
    </w:p>
    <w:p>
      <w:pPr>
        <w:ind w:right="2099" w:firstLine="211"/>
        <w:spacing w:after="0" w:line="270" w:lineRule="auto"/>
        <w:rPr>
          <w:sz w:val="20"/>
          <w:szCs w:val="20"/>
          <w:color w:val="auto"/>
        </w:rPr>
      </w:pPr>
      <w:r>
        <w:rPr>
          <w:rFonts w:ascii="Courier New" w:cs="Courier New" w:eastAsia="Courier New" w:hAnsi="Courier New"/>
          <w:sz w:val="16"/>
          <w:szCs w:val="16"/>
          <w:color w:val="auto"/>
        </w:rPr>
        <w:t>Whenever dividends on any Preferred Shares shall be in arrears for six consecutive quarterly periods, the holders of such Preferred Shares (voting separately as a class with all other series of Preferred Shares upon which like voting rights have been conferred and are exercisable) will be entitled to vote for the election of two additional Trustees of the Trust at the next annual meeting of shareholders and at each subsequent meeting until (i) if such series of Preferred Shares has a cumulative dividend, all dividends accumulated on such shares of Preferred Shares for the past dividend periods and the then current dividend period shall have been fully paid or declared and a sum sufficient for the payment thereof set aside for payment or (ii) if such series of Preferred Shares does not have a cumulative dividend, four consecutive quarterly dividends shall have been fully paid or declared and a sum sufficient for the payment thereof set aside for payment. In such case, the entire Board of Trustees of the Trust will be increased by two Trustees.</w:t>
      </w:r>
    </w:p>
    <w:p>
      <w:pPr>
        <w:spacing w:after="0" w:line="388"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Unless provided otherwise for any series of Preferred Shares, so long as any Preferred Shares remain outstanding, the Trust will not, without the affirmative vote or consent of the holders of at least two-thirds of the shares of each series of Preferred Shares outstanding at the time, given in person or by proxy, either in writing or at a meeting (such series voting separately as a class), (i) authorize or create, or increase the authorized or issued amount of, any class or series of capital shares ranking prior to such series of Preferred Shares with respect to payment of dividends or the distribution of assets upon liquidation, dissolution or winding up or reclassify any authorized capital shares of the Trust into any such shares, or create, authorize or issue any obligation or security convertible into or evidencing the right to purchase any such shares; or (ii) amend, alter or repeal the provisions of the Trust's Declaration of Trust or the Statement of Designations for such series of Preferred Shares, whether by merger, consolidation or otherwise (an "Event"), so as to materially and adversely affect any right, preference, privilege or voting power of such series of Preferred Shares or the holders thereof; provided, however, with respect to the occurrence of any of the Events set forth in (ii) above, so long as the Preferred Shares remain outstanding with the terms thereof materially unchanged, taking into account that upon the occurrence of an Event, the Trust may not be the surviving entity, the occurrence of any such Event shall not be deemed to materially and adversely affect such rights, preferences, privileges or voting power of holders of Preferred Shares and provided further that</w:t>
      </w:r>
    </w:p>
    <w:p>
      <w:pPr>
        <w:spacing w:after="0" w:line="393" w:lineRule="exact"/>
        <w:rPr>
          <w:sz w:val="20"/>
          <w:szCs w:val="20"/>
          <w:color w:val="auto"/>
        </w:rPr>
      </w:pPr>
    </w:p>
    <w:p>
      <w:pPr>
        <w:ind w:right="1999" w:firstLine="8"/>
        <w:spacing w:after="0" w:line="237" w:lineRule="auto"/>
        <w:tabs>
          <w:tab w:leader="none" w:pos="421"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increase in the amount of the authorized Preferred Shares or the creation or issuance of any other series of Preferred Shares, or (y) any increase in the amount of authorized shares of such series or any other series of Preferred Shares, in each case ranking on a parity with or junior to the Preferred Shares of such series with respect to payment of dividends or the distribution of assets upon liquidation, dissolution or winding up, shall not be deemed to materially and adversely affect such rights, preferences, privileges or voting powers.</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24" w:name="page25"/>
    <w:bookmarkEnd w:id="24"/>
    <w:p>
      <w:pPr>
        <w:ind w:right="1999" w:firstLine="211"/>
        <w:spacing w:after="0" w:line="237" w:lineRule="auto"/>
        <w:rPr>
          <w:sz w:val="20"/>
          <w:szCs w:val="20"/>
          <w:color w:val="auto"/>
        </w:rPr>
      </w:pPr>
      <w:r>
        <w:rPr>
          <w:rFonts w:ascii="Courier New" w:cs="Courier New" w:eastAsia="Courier New" w:hAnsi="Courier New"/>
          <w:sz w:val="18"/>
          <w:szCs w:val="18"/>
          <w:color w:val="auto"/>
        </w:rPr>
        <w:t>The foregoing voting provisions will not apply if, at or prior to the time when the act with respect to which such vote would otherwise be required shall be effected, all outstanding shares of such series of Preferred Shares shall have been redeemed or called for redemption and sufficient funds shall have been deposited in trust to effect such redemption.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RIGHTS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terms and conditions, if any, upon which any series of Preferred Shares are convertible into Common Shares will be set forth in the applicable Prospectus Supplement relating thereto. Such terms will include the number of Common Shares into which the Preferred Shares are convertible, the conversion price (or manner of calculation thereof), the conversion period, provisions as to whether conversion will be at the option of the holders of the Preferred Shares or the Trust, the events requiring an adjustment of the conversion price and provisions affecting conversion in the event of the redemption of such series of Preferred Shares.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As discussed below under "Description of Common Shares--Shareholder Liability," the Declaration of Trust provides that no shareholder, including holders of Preferred Shares, shall be personally liable for the acts and obligations of the Trust and that the funds and property of the Trust shall be solely liable for such acts or obligations. The Declaration of Trust provides that, to the extent practicable, each written instrument creating an obligation of the Trust shall contain a provision to that effect. The Declaration of Trust also provides that the Trust shall indemnify and hold harmless shareholders against all claims and liabilities and related reasonable expenses to which they may become subject by reason of their being or having been shareholders. In some jurisdictions, however, with respect to tort and contract claims where shareholder liability is not so negated, claims for taxes and certain statutory liability, shareholders may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RESTRICTIONS ON OWNERSHIP</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As discussed below under "Description of Common Shares--REIT Qualification," for the Trust to qualify as a REIT under the Internal Revenue Code of 1986, as amended (the "Code"), not more than 50% in value of its outstanding capital shares may be owned, directly or constructively, by five or fewer individuals (as defined in the Code to include certain entities) during the last half of a taxable year. To assist the Trust in meeting this requirement, the Trust may take certain other actions to limit the beneficial ownership, directly or indirectly, by a single person of more than 9.8% of the Trust's outstanding equity securities, including any Preferred Shares of the Trust. Therefore, the Statement of Designations for each series of Preferred Shares will contain certain provisions restricting the ownership and transfer of the Preferred Shares. The applicable Prospectus Supplement will specify any additional ownership limitation relating to a series of Preferred Shares.</w:t>
      </w:r>
    </w:p>
    <w:p>
      <w:pPr>
        <w:spacing w:after="0" w:line="38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723" w:right="1440" w:bottom="1440" w:gutter="0" w:footer="0" w:header="0"/>
        </w:sectPr>
      </w:pPr>
    </w:p>
    <w:bookmarkStart w:id="25" w:name="page26"/>
    <w:bookmarkEnd w:id="25"/>
    <w:p>
      <w:pPr>
        <w:ind w:left="2640"/>
        <w:spacing w:after="0"/>
        <w:rPr>
          <w:sz w:val="20"/>
          <w:szCs w:val="20"/>
          <w:color w:val="auto"/>
        </w:rPr>
      </w:pPr>
      <w:r>
        <w:rPr>
          <w:rFonts w:ascii="Courier New" w:cs="Courier New" w:eastAsia="Courier New" w:hAnsi="Courier New"/>
          <w:sz w:val="18"/>
          <w:szCs w:val="18"/>
          <w:color w:val="auto"/>
        </w:rPr>
        <w:t>DESCRIPTION OF COMMON SHARES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Common Shares are issued pursuant to the Declaration of Trust. The Common Shares (no par or stated value) are equal with respect to distribution and liquidation rights, are not convertible, have no preemptive rights to subscribe for additional Common Shares, are nonassessable (except as described under "Shareholder Liability" below) and are transferable in the same manner as shares of a corporation. Each shareholder is entitled to one vote in person or by proxy for each Common Share registered in his name and has the right to vote on the election or removal of Trustees, amendments to the Declaration of Trust, proposals to terminate, reorganize, merge or consolidate the Trust or to sell or dispose of substantially all of the Trust's property and with respect to certain business combinations. The Trust will have perpetual existence unless and until dissolved and terminated. Except with respect to the foregoing matters, no action taken by the shareholders at any meeting shall in any way bind the Trustees. The Common Shares offered by the Trust will be, when issued, fully paid and nonassessable (except as described under "Shareholder Liability" below).</w:t>
      </w:r>
    </w:p>
    <w:p>
      <w:pPr>
        <w:spacing w:after="0" w:line="208"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Without shareholder approval, the Trust may issue an unlimited number of securities, warrants, rights, or other options to purchase Common Shares and other securities convertible into Common Shares.</w:t>
      </w:r>
    </w:p>
    <w:p>
      <w:pPr>
        <w:spacing w:after="0" w:line="209"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Several provisions in the Declaration of Trust may have the effect of deterring a takeover of the Trust. These provisions (i) establish the percentage of outstanding Common Shares required to approve certain matters, including removal of a Trustee, amendment of any section of the Declaration of Trust that provides for a shareholder vote, the reorganization, merger, consolidation, sale or termination of the Trust and a sale of substantially all of the assets of the Trust, at 80% unless the matter to be acted upon is approved or recommended by the Board of Trustees in which event the percentage is 66 2/3%; (ii) restrict ownership of the Trust's outstanding capital shares by a single person to 9.8% of such capital shares unless otherwise approved by the Board of Trustees to assist in protecting and preserving the qualification of the Trust as a real estate investment trust under the Code; and (iii) include a "fair price" provision that would deter a "two-stage" takeover transaction by requiring an 80% vote of outstanding Common Shares for certain defined "business combinations" with shareholders owning more than 9.8% of Common Shares or their affiliates if the transaction is neither approved by the Board of Trustees nor meets certain price and procedural conditions.</w:t>
      </w:r>
    </w:p>
    <w:p>
      <w:pPr>
        <w:spacing w:after="0" w:line="396"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In addition, the Declaration of Trust includes provisions for (i) the classification of Trustees into three classes serving three year staggered terms and (ii) the authorization of Trustees to issue an unlimited number of Common Shares and to issue additional classes of equity securities in unlimited numbers with such rights, qualifications, limitations or restrictions as are stated in the Board of Trustees' resolution establishing such class of securities.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1989, the Trustees adopted a Shareholder Rights Plan (the "Plan"). Under the Plan, one right was issued for each outstanding Common Share and a right will be attached to each Share issued in the future. The rights authorize the holders to purchase Common Shares at a price below market upon the occurrence of certain events, including, unless approved by the Board of Trustees, acquisition by a person or group of certain levels of beneficial ownership of the Trust or a tender offer. The rights are redeemable by the Trust for $.01 and expire in 1999.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REIT QUALIFICATION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qualify for treatment as a real estate investment trust under Sections 856 to 860 of the Code. In general, a REIT that distributes to its shareholders at least 95% of its taxable income (other than net capital gain) for a taxable year and that meets certain other conditions will not be taxed on income (including net capital gain) distributed for that year. If the Trust fails to qualify as a REIT in any taxable year, it will be taxed as a corporation for that year on all its income, regardless of whether that income is distributed to shareholders, and its shareholders will be separately taxed on the amount of any such distributions.</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717" w:right="1440" w:bottom="564" w:gutter="0" w:footer="0" w:header="0"/>
        </w:sectPr>
      </w:pPr>
    </w:p>
    <w:bookmarkStart w:id="26" w:name="page27"/>
    <w:bookmarkEnd w:id="26"/>
    <w:p>
      <w:pPr>
        <w:ind w:right="2099"/>
        <w:spacing w:after="0" w:line="237" w:lineRule="auto"/>
        <w:rPr>
          <w:sz w:val="20"/>
          <w:szCs w:val="20"/>
          <w:color w:val="auto"/>
        </w:rPr>
      </w:pPr>
      <w:r>
        <w:rPr>
          <w:rFonts w:ascii="Courier New" w:cs="Courier New" w:eastAsia="Courier New" w:hAnsi="Courier New"/>
          <w:sz w:val="18"/>
          <w:szCs w:val="18"/>
          <w:color w:val="auto"/>
        </w:rPr>
        <w:t>Under such circumstances, the Trust also will be disqualified from being treated as a REIT for the ensuing four taxable years. Failure to qualify as a REIT could result in the Trust incurring indebtedness and perhaps liquidating investments in order to pay its taxes.</w:t>
      </w:r>
    </w:p>
    <w:p>
      <w:pPr>
        <w:spacing w:after="0" w:line="207"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Among the requirements which must be met in order for the Trust to qualify as a REIT is that not more than 50% in value of the outstanding capital shares, including in some circumstances capital shares into which outstanding securities (including the Securities) might be converted, may be owned actually or constructively by five or fewer individuals or certain other entities at any time during the last half of the Trust's taxable year. To assist the Trust in meeting this requirement, the Trust (a) by lot or other equitable means, may prevent the transfer of and/or may call for redemption a number of capital shares sufficient for the continued qualification of the Trust as a REIT and (b) may refuse to register the transfer of capital shares and may take certain other actions to limit the beneficial ownership, directly or indirectly, by a single person of more than 9.8% of the Trust's outstanding equity securities. Capital shares reserved for issuance upon conversion of any class of then outstanding convertible securities of the Trust may be considered outstanding capital shares for purposes of this provision if the effect thereof would be to cause a single person to own or to be deemed to own more than 9.8% of the Trust's outstanding capital shares. Without shareholder approval, the Trust may issue an unlimited number of securities, warrants, rights or other options to purchase Common Shares and other securities convertible into Common Shares.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FEDERAL INCOME TAX CONSIDERATIONS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In any year which the Trust qualifies to be taxed as a REIT, distributions made to its shareholders out of current or accumulated earnings and profits will be taxed to shareholders as ordinary income except that distributions of net capital gains designated by the Trust as capital gain dividends will be taxed as long-term capital gain income to the shareholders. To the extent that distributions exceed current or accumulated earnings and profits, they will constitute a return of capital, rather than dividend or capital gain income, and will reduce the basis for the shareholder's Common Shares with respect to which the distribution is paid or, to the extent that they exceed such basis, will be taxed in the same manner as gain from the sale of those Common Shares.</w:t>
      </w:r>
    </w:p>
    <w:p>
      <w:pPr>
        <w:spacing w:after="0" w:line="18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Investors are urged to consult their own tax advisors with respect to the appropriateness of an investment in the Common Shares and with respect to the tax consequences arising under the laws of any state, municipality or other taxing jurisdiction, as well as the Federal tax consequences resulting from such investor's own tax characteristics. Foreign investors should consult their own tax advisors concerning the tax consequences to them of an investment in the Trust, including the possibility of United States income tax withholding on Trust distributions.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SHAREHOLDER LIABILITY</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Declaration of Trust provides that no shareholder shall be personally liable in connection with the Trust's property or the affairs of the Trust. The Declaration of Trust further provides that the Trust shall indemnify and hold harmless shareholders against all claims and liabilities and related reasonable expenses to which they may become subject by reason of their being or having been shareholders. In addition, the Trust is required to, and as a matter of practice does, insert a clause in its contracts that provides that shareholders shall not be personally liable thereunder. However, in respect to tort claims and contract claims where shareholder liability is not so negated, claims for taxes and certain statutory liability, the shareholders may, in some jurisdictions, be personally liable to the extent that such claims are not satisfied by the Trust. The Trust carries public liability insurance that the Trustees consider adequate. Thus, any risk of personal liability to shareholders is limited to situations in which the Trust's assets plus its insurance coverage would be insufficient to satisfy the claims against the Trust and its shareholders.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REGISTRAR AND TRANSFER AGENT</w:t>
      </w:r>
    </w:p>
    <w:p>
      <w:pPr>
        <w:spacing w:after="0" w:line="207"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The Registrar and Transfer Agent for the Common Shares is American Stock Transfer &amp; Trust Company, New York, New York.</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767" w:gutter="0" w:footer="0" w:header="0"/>
        </w:sectPr>
      </w:pPr>
    </w:p>
    <w:bookmarkStart w:id="27" w:name="page28"/>
    <w:bookmarkEnd w:id="27"/>
    <w:p>
      <w:pPr>
        <w:jc w:val="center"/>
        <w:ind w:right="1999"/>
        <w:spacing w:after="0"/>
        <w:rPr>
          <w:sz w:val="20"/>
          <w:szCs w:val="20"/>
          <w:color w:val="auto"/>
        </w:rPr>
      </w:pPr>
      <w:r>
        <w:rPr>
          <w:rFonts w:ascii="Courier New" w:cs="Courier New" w:eastAsia="Courier New" w:hAnsi="Courier New"/>
          <w:sz w:val="18"/>
          <w:szCs w:val="18"/>
          <w:color w:val="auto"/>
        </w:rPr>
        <w:t>PLAN OF DISTRIBUTION</w:t>
      </w:r>
    </w:p>
    <w:p>
      <w:pPr>
        <w:spacing w:after="0" w:line="207" w:lineRule="exact"/>
        <w:rPr>
          <w:sz w:val="20"/>
          <w:szCs w:val="20"/>
          <w:color w:val="auto"/>
        </w:rPr>
      </w:pPr>
    </w:p>
    <w:p>
      <w:pPr>
        <w:ind w:right="2099" w:firstLine="211"/>
        <w:spacing w:after="0" w:line="235" w:lineRule="auto"/>
        <w:rPr>
          <w:sz w:val="20"/>
          <w:szCs w:val="20"/>
          <w:color w:val="auto"/>
        </w:rPr>
      </w:pPr>
      <w:r>
        <w:rPr>
          <w:rFonts w:ascii="Courier New" w:cs="Courier New" w:eastAsia="Courier New" w:hAnsi="Courier New"/>
          <w:sz w:val="18"/>
          <w:szCs w:val="18"/>
          <w:color w:val="auto"/>
        </w:rPr>
        <w:t>The Trust may sell Securities to or through underwriters, and also may sell Securities directly to other purchasers or through agents.</w:t>
      </w:r>
    </w:p>
    <w:p>
      <w:pPr>
        <w:spacing w:after="0" w:line="208"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In connection with the sale of Securities, underwriters may receive compensation from the Trust or from purchasers of Securities, for whom they may act as agents, in the form of discounts, concessions, or commissions. Underwriters may sell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Securities may be deemed to be underwriters, and any discounts or commissions they receive from the Trust, and any profit on the resale of Securities they realize may be deemed to be underwriting discounts and commissions under the Securities Act. Any such underwriter or agent will be identified, and any such compensation received from the Trust will be described, in the Prospectus Supplement.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Unless otherwise specified in the related Prospectus Supplement, each series of Securities will be a new issue with no established trading market, other than the Common Shares which are listed on the New York Stock Exchange. Any Common Shares sold pursuant to a Prospectus Supplement will be listed on such exchange, subject to official notice of issuance. The Trust may elect to list any series of Debt Securities or Preferred Shares on an exchange, but is not obligated to do so. It is possible that one or more underwriters may make a market in a series of Securities, but will not be obligated to do so and may discontinue any market making at any time without notice. Therefore, no assurance can be given as to the liquidity of the trading market for the Securities.</w:t>
      </w:r>
    </w:p>
    <w:p>
      <w:pPr>
        <w:spacing w:after="0" w:line="21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Under agreements the Trust may enter into, underwriters, dealers, and agents who participate in the distribution of Securities may be entitled to indemnification by the Trust against certain liabilities, including liabilities under the Securities Act.</w:t>
      </w:r>
    </w:p>
    <w:p>
      <w:pPr>
        <w:spacing w:after="0" w:line="207"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Underwriters, dealers and agents may engage in transactions with, or perform services for, or be customers of, the Trust in the ordinary course of business.</w:t>
      </w:r>
    </w:p>
    <w:p>
      <w:pPr>
        <w:spacing w:after="0" w:line="209"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If so indicated in the Prospectus Supplement, the Trust will authorize underwriters or other persons acting as the Trust's agents to solicit offers by certain institutions to purchase Securities from the Trust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the Trust. The obligations of any purchaser under any such contract will be subject to the condition that the purchase of the Securities shall not at the time of delivery be prohibited under the laws of the jurisdiction to which such purchaser is subject. The underwriters and such other agents will not have any responsibility in respect of the validity or performance of such contracts.</w:t>
      </w:r>
    </w:p>
    <w:p>
      <w:pPr>
        <w:spacing w:after="0" w:line="202"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LEGAL OPINIONS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legality of the Securities offered hereby is being passed upon for the Trust by Kirkpatrick &amp; Lockhart LLP, 1800 M Street, N.W., Washington, D.C. 20036. Certain REIT tax matters relating to the Trust are being passed upon by Goodwin, Procter &amp; Hoar, Exchange Place, Boston, Massachusetts 02109. Brown &amp; Wood, One World Trade Center, New York, New York 10048-0557 will act as counsel to any underwriters, dealers or agents.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717" w:right="1440" w:bottom="1440" w:gutter="0" w:footer="0" w:header="0"/>
        </w:sectPr>
      </w:pPr>
    </w:p>
    <w:bookmarkStart w:id="28" w:name="page29"/>
    <w:bookmarkEnd w:id="28"/>
    <w:p>
      <w:pPr>
        <w:ind w:left="3800"/>
        <w:spacing w:after="0"/>
        <w:rPr>
          <w:sz w:val="20"/>
          <w:szCs w:val="20"/>
          <w:color w:val="auto"/>
        </w:rPr>
      </w:pPr>
      <w:r>
        <w:rPr>
          <w:rFonts w:ascii="Courier New" w:cs="Courier New" w:eastAsia="Courier New" w:hAnsi="Courier New"/>
          <w:sz w:val="18"/>
          <w:szCs w:val="18"/>
          <w:color w:val="auto"/>
        </w:rPr>
        <w:t>EXPERTS</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Consolidated FInancial Statements and Schedules of the Trust as of December 31, 1994 and 1993 and for each of the years in the three year period ended December 31, 1994 incorporated herein by reference have been incorporated herein in reliance on the reports dated February 10, 1995 of Grant Thornton LLP, independent certified public accountants, also incorporated by reference herein, and upon the authority of said firm as experts in accounting and auditing.</w:t>
      </w:r>
    </w:p>
    <w:p>
      <w:pPr>
        <w:spacing w:after="0" w:line="211" w:lineRule="exact"/>
        <w:rPr>
          <w:sz w:val="20"/>
          <w:szCs w:val="20"/>
          <w:color w:val="auto"/>
        </w:rPr>
      </w:pPr>
    </w:p>
    <w:p>
      <w:pPr>
        <w:ind w:right="1999" w:firstLine="211"/>
        <w:spacing w:after="0" w:line="268" w:lineRule="auto"/>
        <w:rPr>
          <w:sz w:val="20"/>
          <w:szCs w:val="20"/>
          <w:color w:val="auto"/>
        </w:rPr>
      </w:pPr>
      <w:r>
        <w:rPr>
          <w:rFonts w:ascii="Courier New" w:cs="Courier New" w:eastAsia="Courier New" w:hAnsi="Courier New"/>
          <w:sz w:val="16"/>
          <w:szCs w:val="16"/>
          <w:color w:val="auto"/>
        </w:rPr>
        <w:t>With respect to the unaudited interim financial information included in the Trust's Quarterly Reports on Form 10-Q for the quarters ended March 31, 1995 and June 30, 1995 which are incorporated herein by reference, Grant Thornton LLP has applied limited procedures in accordance with professional standards for a review of such information. However, as stated in their reports dated May 5, 1995 and August 8, 1995 included in the Trust's Quarterly Reports on Form 10-Q for the quarters ended March 31, 1995 and June 30, 1995 and incorporated by reference herein, they did not audit and they do not express an opinion on that interim financial information. Accordingly, the degree of reliance on their reports on such information should be restricted in light of the limited nature of the review procedures applied. Grant Thornton LLP is not subject to the liability provisions of Section 11 of the Securities Act of</w:t>
      </w:r>
    </w:p>
    <w:p>
      <w:pPr>
        <w:spacing w:after="0" w:line="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1933 for their reports on the unaudited interim financial information because those reports are not "reports" or a "part" of the registration statement prepared or certified by an accountant within the meaning of Sections 7 and 11 of the Securities Act.</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Statement of Revenue and Certain Expenses of Sidcor Finley Associates for the year ended December 31, 1994, included in the Trust's Current Report on Form 8-K filed with the Commission on September 22, 1995, incorporated by reference herein, has been incorporated herein in reliance on the report dated June 13, 1995 of Warady &amp; Davis LLP, independent certified public accountants, also incorporated by reference herein, and upon the authority of said firm as experts in accounting and auditing.</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17" w:right="1440" w:bottom="1440" w:gutter="0" w:footer="0" w:header="0"/>
        </w:sectPr>
      </w:pPr>
    </w:p>
    <w:bookmarkStart w:id="29" w:name="page30"/>
    <w:bookmarkEnd w:id="29"/>
    <w:p>
      <w:pPr>
        <w:ind w:left="80"/>
        <w:spacing w:after="0"/>
        <w:rPr>
          <w:sz w:val="20"/>
          <w:szCs w:val="20"/>
          <w:color w:val="auto"/>
        </w:rPr>
      </w:pPr>
      <w:r>
        <w:rPr>
          <w:rFonts w:ascii="Courier New" w:cs="Courier New" w:eastAsia="Courier New" w:hAnsi="Courier New"/>
          <w:sz w:val="16"/>
          <w:szCs w:val="16"/>
          <w:color w:val="auto"/>
        </w:rPr>
        <w:t>[LOGO OF FEDERAL REALTY INVESTMENT TRUST APPEARS HERE]</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lowerRoman"/>
      <w:start w:val="2"/>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0"/>
    </w:lvl>
  </w:abstractNum>
  <w:abstractNum w:abstractNumId="5">
    <w:nsid w:val="66EF438D"/>
    <w:multiLevelType w:val="hybridMultilevel"/>
    <w:lvl w:ilvl="0">
      <w:lvlJc w:val="left"/>
      <w:lvlText w:val="(%1)"/>
      <w:numFmt w:val="lowerRoman"/>
      <w:start w:val="2"/>
    </w:lvl>
  </w:abstractNum>
  <w:abstractNum w:abstractNumId="6">
    <w:nsid w:val="140E0F76"/>
    <w:multiLevelType w:val="hybridMultilevel"/>
    <w:lvl w:ilvl="0">
      <w:lvlJc w:val="left"/>
      <w:lvlText w:val="(%1)"/>
      <w:numFmt w:val="lowerRoman"/>
      <w:start w:val="10"/>
    </w:lvl>
  </w:abstractNum>
  <w:abstractNum w:abstractNumId="7">
    <w:nsid w:val="3352255A"/>
    <w:multiLevelType w:val="hybridMultilevel"/>
    <w:lvl w:ilvl="0">
      <w:lvlJc w:val="left"/>
      <w:lvlText w:val="(%1)"/>
      <w:numFmt w:val="lowerRoman"/>
      <w:start w:val="3"/>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4"/>
    </w:lvl>
  </w:abstractNum>
  <w:abstractNum w:abstractNumId="10">
    <w:nsid w:val="7FDCC233"/>
    <w:multiLevelType w:val="hybridMultilevel"/>
    <w:lvl w:ilvl="0">
      <w:lvlJc w:val="left"/>
      <w:lvlText w:val="(%1)"/>
      <w:numFmt w:val="lowerLetter"/>
      <w:start w:val="6"/>
    </w:lvl>
  </w:abstractNum>
  <w:abstractNum w:abstractNumId="11">
    <w:nsid w:val="1BEFD79F"/>
    <w:multiLevelType w:val="hybridMultilevel"/>
    <w:lvl w:ilvl="0">
      <w:lvlJc w:val="left"/>
      <w:lvlText w:val="(%1)"/>
      <w:numFmt w:val="decimal"/>
      <w:start w:val="2"/>
    </w:lvl>
  </w:abstractNum>
  <w:abstractNum w:abstractNumId="12">
    <w:nsid w:val="41A7C4C9"/>
    <w:multiLevelType w:val="hybridMultilevel"/>
    <w:lvl w:ilvl="0">
      <w:lvlJc w:val="left"/>
      <w:lvlText w:val="(%1)"/>
      <w:numFmt w:val="lowerRoman"/>
      <w:start w:val="3"/>
    </w:lvl>
  </w:abstractNum>
  <w:abstractNum w:abstractNumId="13">
    <w:nsid w:val="6B68079A"/>
    <w:multiLevelType w:val="hybridMultilevel"/>
    <w:lvl w:ilvl="0">
      <w:lvlJc w:val="left"/>
      <w:lvlText w:val="(%1)"/>
      <w:numFmt w:val="lowerLetter"/>
      <w:start w:val="7"/>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0"/>
    </w:lvl>
  </w:abstractNum>
  <w:abstractNum w:abstractNumId="16">
    <w:nsid w:val="519B500D"/>
    <w:multiLevelType w:val="hybridMultilevel"/>
    <w:lvl w:ilvl="0">
      <w:lvlJc w:val="left"/>
      <w:lvlText w:val="(%1)"/>
      <w:numFmt w:val="lowerRoman"/>
      <w:start w:val="5"/>
    </w:lvl>
  </w:abstractNum>
  <w:abstractNum w:abstractNumId="17">
    <w:nsid w:val="431BD7B7"/>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2019-12-13T00:56:56Z</dcterms:created>
  <dcterms:modified xsi:type="dcterms:W3CDTF">2019-12-13T00:56:56Z</dcterms:modified>
</cp:coreProperties>
</file>