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April 17,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420"/>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8"/>
          <w:szCs w:val="18"/>
          <w:color w:val="auto"/>
        </w:rPr>
        <w:t>1-7533</w:t>
      </w:r>
      <w:r>
        <w:rPr>
          <w:sz w:val="20"/>
          <w:szCs w:val="20"/>
          <w:color w:val="auto"/>
        </w:rPr>
        <w:tab/>
      </w:r>
      <w:r>
        <w:rPr>
          <w:rFonts w:ascii="Courier New" w:cs="Courier New" w:eastAsia="Courier New" w:hAnsi="Courier New"/>
          <w:sz w:val="16"/>
          <w:szCs w:val="16"/>
          <w:color w:val="auto"/>
        </w:rPr>
        <w:t>52-0782497</w:t>
      </w: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2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of</w:t>
      </w:r>
    </w:p>
    <w:p>
      <w:pPr>
        <w:spacing w:after="0"/>
        <w:tabs>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8"/>
          <w:szCs w:val="18"/>
          <w:color w:val="auto"/>
        </w:rPr>
        <w:t>20852</w:t>
      </w:r>
    </w:p>
    <w:p>
      <w:pPr>
        <w:spacing w:after="0"/>
        <w:tabs>
          <w:tab w:leader="none" w:pos="7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301/998-8100</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1896"/>
        <w:spacing w:after="0" w:line="271" w:lineRule="auto"/>
        <w:rPr>
          <w:sz w:val="20"/>
          <w:szCs w:val="20"/>
          <w:color w:val="auto"/>
        </w:rPr>
      </w:pPr>
      <w:r>
        <w:rPr>
          <w:rFonts w:ascii="Courier New" w:cs="Courier New" w:eastAsia="Courier New" w:hAnsi="Courier New"/>
          <w:sz w:val="16"/>
          <w:szCs w:val="16"/>
          <w:color w:val="auto"/>
        </w:rPr>
        <w:t>Exhibits are filed herewith in connection with Federal Realty Investment Trust's final prospectus supplement dated April 17, 1997 to its final prospectus dated November 7, 1995 (Registration No. 33-63687) filed with the Securities and Exchange Commission on April 17, 1997 and relating to the Trust's Medium-Term Notes Due Nine Months or More from Date of Issue (the "Notes"). Attached as Exhibit 5 hereto is an opinion from Kirkpatrick &amp; Lockhart LLP regarding the legality of the Notes. The consent of Kirkpatrick &amp; Lockhart LLP to the inclusion of such opinion in this Form 8-K is included in the opinion.</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940" w:val="left"/>
          <w:tab w:leader="none" w:pos="1880" w:val="left"/>
        </w:tabs>
        <w:rPr>
          <w:sz w:val="20"/>
          <w:szCs w:val="20"/>
          <w:color w:val="auto"/>
        </w:rPr>
      </w:pPr>
      <w:r>
        <w:rPr>
          <w:rFonts w:ascii="Courier New" w:cs="Courier New" w:eastAsia="Courier New" w:hAnsi="Courier New"/>
          <w:sz w:val="18"/>
          <w:szCs w:val="18"/>
          <w:color w:val="auto"/>
        </w:rPr>
        <w:t>Exhibit</w:t>
        <w:tab/>
        <w:t>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ectPr>
          <w:pgSz w:w="11900" w:h="16838" w:orient="portrait"/>
          <w:cols w:equalWidth="0" w:num="1">
            <w:col w:w="10219"/>
          </w:cols>
          <w:pgMar w:left="240" w:top="447" w:right="1440" w:bottom="659" w:gutter="0" w:footer="0" w:header="0"/>
        </w:sectPr>
      </w:pPr>
    </w:p>
    <w:p>
      <w:pPr>
        <w:spacing w:after="0" w:line="207"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hereto duly authorized.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4"/>
          <w:szCs w:val="24"/>
          <w:color w:val="auto"/>
        </w:rPr>
      </w:pPr>
    </w:p>
    <w:p>
      <w:pPr>
        <w:sectPr>
          <w:pgSz w:w="11900" w:h="16838" w:orient="portrait"/>
          <w:cols w:equalWidth="0" w:num="2">
            <w:col w:w="5280" w:space="100"/>
            <w:col w:w="4839"/>
          </w:cols>
          <w:pgMar w:left="240" w:top="447" w:right="1440" w:bottom="659" w:gutter="0" w:footer="0" w:header="0"/>
          <w:type w:val="continuous"/>
        </w:sectPr>
      </w:pPr>
    </w:p>
    <w:p>
      <w:pPr>
        <w:spacing w:after="0" w:line="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 Cecily A. Ward</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Cecily A. Ward</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Controller (Principal Accounting Officer)</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17, 1997</w:t>
      </w:r>
    </w:p>
    <w:p>
      <w:pPr>
        <w:sectPr>
          <w:pgSz w:w="11900" w:h="16838" w:orient="portrait"/>
          <w:cols w:equalWidth="0" w:num="1">
            <w:col w:w="10219"/>
          </w:cols>
          <w:pgMar w:left="240" w:top="447" w:right="1440" w:bottom="659"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NO.</w:t>
      </w:r>
    </w:p>
    <w:p>
      <w:pPr>
        <w:spacing w:after="0" w:line="201" w:lineRule="exact"/>
        <w:rPr>
          <w:sz w:val="20"/>
          <w:szCs w:val="20"/>
          <w:color w:val="auto"/>
        </w:rPr>
      </w:pPr>
    </w:p>
    <w:p>
      <w:pPr>
        <w:ind w:left="1800" w:hanging="1055"/>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4"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Consent of Counsel (included in the opinion)</w:t>
      </w:r>
    </w:p>
    <w:p>
      <w:pPr>
        <w:sectPr>
          <w:pgSz w:w="11900" w:h="16838" w:orient="portrait"/>
          <w:cols w:equalWidth="0" w:num="1">
            <w:col w:w="10219"/>
          </w:cols>
          <w:pgMar w:left="240" w:top="919" w:right="1440" w:bottom="1440" w:gutter="0" w:footer="0" w:header="0"/>
        </w:sectPr>
      </w:pPr>
    </w:p>
    <w:bookmarkStart w:id="2" w:name="page3"/>
    <w:bookmarkEnd w:id="2"/>
    <w:p>
      <w:pPr>
        <w:spacing w:after="0"/>
        <w:tabs>
          <w:tab w:leader="none" w:pos="178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KIRKPATRICK &amp; LOCKHART LLP</w:t>
      </w:r>
    </w:p>
    <w:p>
      <w:pPr>
        <w:ind w:left="2640"/>
        <w:spacing w:after="0" w:line="238" w:lineRule="auto"/>
        <w:rPr>
          <w:sz w:val="20"/>
          <w:szCs w:val="20"/>
          <w:color w:val="auto"/>
        </w:rPr>
      </w:pPr>
      <w:r>
        <w:rPr>
          <w:rFonts w:ascii="Courier New" w:cs="Courier New" w:eastAsia="Courier New" w:hAnsi="Courier New"/>
          <w:sz w:val="18"/>
          <w:szCs w:val="18"/>
          <w:color w:val="auto"/>
        </w:rPr>
        <w:t>1800 Massachusetts Avenue, N.W.</w:t>
      </w:r>
    </w:p>
    <w:p>
      <w:pPr>
        <w:ind w:left="3800"/>
        <w:spacing w:after="0"/>
        <w:rPr>
          <w:sz w:val="20"/>
          <w:szCs w:val="20"/>
          <w:color w:val="auto"/>
        </w:rPr>
      </w:pPr>
      <w:r>
        <w:rPr>
          <w:rFonts w:ascii="Courier New" w:cs="Courier New" w:eastAsia="Courier New" w:hAnsi="Courier New"/>
          <w:sz w:val="18"/>
          <w:szCs w:val="18"/>
          <w:color w:val="auto"/>
        </w:rPr>
        <w:t>2nd Floor</w:t>
      </w:r>
    </w:p>
    <w:p>
      <w:pPr>
        <w:ind w:left="2860"/>
        <w:spacing w:after="0" w:line="237" w:lineRule="auto"/>
        <w:rPr>
          <w:sz w:val="20"/>
          <w:szCs w:val="20"/>
          <w:color w:val="auto"/>
        </w:rPr>
      </w:pPr>
      <w:r>
        <w:rPr>
          <w:rFonts w:ascii="Courier New" w:cs="Courier New" w:eastAsia="Courier New" w:hAnsi="Courier New"/>
          <w:sz w:val="18"/>
          <w:szCs w:val="18"/>
          <w:color w:val="auto"/>
        </w:rPr>
        <w:t>Washington, D.C. 20036-1800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Maryland 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Ladies/Gentlemen: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Maryland ("Trust"), in connection with a Prospectus Supplement, dated April 17, 1997 to the Trust's Prospectus, dated November 7, 1995 (registration statement No. 33-63687) ("Registration Statement") relating to the issue and sale by the Trust of a series of its debt securities entitled "Medium-Term Notes Due Nine Months or More from Date of Issue" (the "Notes"), pursuant to a distribution agreement, dated April 17, 1997 (the "Distribution Agreement") between the Trust and J.P. Morgan Securities Inc., Alex. Brown &amp; Sons Incorporated, First Union Capital Markets Corp., Goldman, Sachs &amp; Co. and Merrill Lynch &amp; Co., Merrill Lynch, Pierce, Fenner &amp; Smith Incorporated.</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for issuance of the Notes and have made such inquiries of such officer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Notes have been duly authorized for issuance, offer and sale pursuant to the Distribution Agreement, and when issued, authenticated and delivered pursuant to the provisions of the Distribution Agreement and the Indenture, dated as of December 1, 1993, between the Trust and Signet Trust Company ("Indenture"), against payment of the consideration therefor, the Notes will constitute valid and legally binding obligations of the Trust enforceable in accordance with their terms, except to the extent that enforcement thereof may be limited by bankruptcy, insolvency, reorganization or other similar laws relating to or affecting enforcement of creditors' rights or by general equity principles.</w:t>
      </w:r>
    </w:p>
    <w:p>
      <w:pPr>
        <w:spacing w:after="0" w:line="215"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To the extent that the obligations of the Trust under the Distribution Agreement and Indenture may be dependent upon such matters, we assume for purposes of this opinion that the Trustee, Calculation Agent and Paying Agent are, respectively, duly organized, validly existing and in good standing under the applicable laws of the jurisdictions of organization of the Trustee, Calculation Agent and Paying Agent; that the Trustee, Calculation Agent and Paying Agent are, respectively, in compliance generally with respect to acting as a trustee, calculation agent and paying agent under the Indenture and</w:t>
      </w:r>
    </w:p>
    <w:p>
      <w:pPr>
        <w:sectPr>
          <w:pgSz w:w="11900" w:h="16838" w:orient="portrait"/>
          <w:cols w:equalWidth="0" w:num="1">
            <w:col w:w="10219"/>
          </w:cols>
          <w:pgMar w:left="240" w:top="744" w:right="1440" w:bottom="0" w:gutter="0" w:footer="0" w:header="0"/>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Distribution Agreement, and with all applicable laws and regulations; and that the Trustee, Calculation Agent and Paying Agent have, respectively, the requisite organizational and legal power and authority to perform their respective obligations under the Indenture and Distribution Agreement.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April 17, 1997.</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Simon M. Nadler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Simon M. Nadler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2019-12-13T00:46:10Z</dcterms:created>
  <dcterms:modified xsi:type="dcterms:W3CDTF">2019-12-13T00:46:10Z</dcterms:modified>
</cp:coreProperties>
</file>