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erif" w:hAnsi="Times New Roman;serif"/>
          <w:b/>
          <w:color w:val="000000"/>
          <w:sz w:val="22"/>
        </w:rPr>
        <w:t>Date of Report (Date of earliest event reported) February 12,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On February 12, 2026, Federal Realty Investment Trust issued supplemental data pertaining to its operations, as well as a press release, to report its financial results for the quarter ended December 31, 2025. The supplemental data and press release are furnished as Exhibit 99.1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erif" w:hAnsi="Times New Roman;serif"/>
          <w:b w:val="false"/>
          <w:color w:val="000000"/>
          <w:sz w:val="24"/>
        </w:rPr>
        <w:t>99.1</w:t>
      </w:r>
      <w:r>
        <w:rPr>
          <w:color w:val="000000"/>
        </w:rPr>
        <w:t>    </w:t>
      </w:r>
      <w:r>
        <w:rPr>
          <w:rFonts w:ascii="Times New Roman;serif" w:hAnsi="Times New Roman;serif"/>
          <w:b w:val="false"/>
          <w:color w:val="000000"/>
          <w:sz w:val="24"/>
        </w:rPr>
        <w:t>Supplemental information at December 31, 2025 (including press release dated February 12, 2026)</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840" w:type="dxa"/>
        <w:jc w:val="center"/>
        <w:tblInd w:w="0" w:type="dxa"/>
        <w:tblLayout w:type="fixed"/>
        <w:tblCellMar>
          <w:top w:w="28" w:type="dxa"/>
          <w:left w:w="28" w:type="dxa"/>
          <w:bottom w:w="28" w:type="dxa"/>
          <w:right w:w="28" w:type="dxa"/>
        </w:tblCellMar>
      </w:tblPr>
      <w:tblGrid>
        <w:gridCol w:w="228"/>
        <w:gridCol w:w="200"/>
        <w:gridCol w:w="202"/>
        <w:gridCol w:w="619"/>
        <w:gridCol w:w="619"/>
        <w:gridCol w:w="62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12312025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at December 31, 2025</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844" w:type="dxa"/>
        <w:jc w:val="center"/>
        <w:tblInd w:w="0" w:type="dxa"/>
        <w:tblLayout w:type="fixed"/>
        <w:tblCellMar>
          <w:top w:w="28" w:type="dxa"/>
          <w:left w:w="28" w:type="dxa"/>
          <w:bottom w:w="28" w:type="dxa"/>
          <w:right w:w="28" w:type="dxa"/>
        </w:tblCellMar>
      </w:tblPr>
      <w:tblGrid>
        <w:gridCol w:w="360"/>
        <w:gridCol w:w="317"/>
        <w:gridCol w:w="317"/>
        <w:gridCol w:w="607"/>
        <w:gridCol w:w="607"/>
        <w:gridCol w:w="60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8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850" w:type="dxa"/>
            <w:gridSpan w:val="9"/>
            <w:tcBorders/>
          </w:tcPr>
          <w:p>
            <w:pPr>
              <w:pStyle w:val="TableContents"/>
              <w:bidi w:val="0"/>
              <w:spacing w:before="0" w:after="283"/>
              <w:jc w:val="left"/>
              <w:rPr>
                <w:sz w:val="4"/>
                <w:szCs w:val="4"/>
              </w:rPr>
            </w:pPr>
            <w:r>
              <w:rPr>
                <w:sz w:val="4"/>
                <w:szCs w:val="4"/>
              </w:rPr>
            </w:r>
          </w:p>
        </w:tc>
      </w:tr>
      <w:tr>
        <w:trPr/>
        <w:tc>
          <w:tcPr>
            <w:tcW w:w="98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SUPPLEMENTAL INFORMATION</w:t>
            </w:r>
          </w:p>
        </w:tc>
      </w:tr>
      <w:tr>
        <w:trPr/>
        <w:tc>
          <w:tcPr>
            <w:tcW w:w="98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7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2025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7">
              <w:r>
                <w:rPr>
                  <w:rStyle w:val="InternetLink"/>
                  <w:rFonts w:ascii="Times New Roman;serif" w:hAnsi="Times New Roman;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7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10">
              <w:r>
                <w:rPr>
                  <w:rStyle w:val="InternetLink"/>
                  <w:rFonts w:ascii="Times New Roman;serif" w:hAnsi="Times New Roman;serif"/>
                  <w:b w:val="false"/>
                  <w:color w:val="0000FF"/>
                  <w:sz w:val="20"/>
                  <w:u w:val="single"/>
                </w:rPr>
                <w:t>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13">
              <w:r>
                <w:rPr>
                  <w:rStyle w:val="InternetLink"/>
                  <w:rFonts w:ascii="Times New Roman;serif" w:hAnsi="Times New Roman;serif"/>
                  <w:b w:val="false"/>
                  <w:color w:val="0000FF"/>
                  <w:sz w:val="20"/>
                  <w:u w:val="single"/>
                </w:rPr>
                <w:t>9</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16">
              <w:r>
                <w:rPr>
                  <w:rStyle w:val="InternetLink"/>
                  <w:rFonts w:ascii="Times New Roman;serif" w:hAnsi="Times New Roman;serif"/>
                  <w:b w:val="false"/>
                  <w:color w:val="0000FF"/>
                  <w:sz w:val="20"/>
                  <w:u w:val="single"/>
                </w:rPr>
                <w:t>10</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646">
              <w:r>
                <w:rPr>
                  <w:rStyle w:val="InternetLink"/>
                  <w:rFonts w:ascii="Times New Roman;serif" w:hAnsi="Times New Roman;serif"/>
                  <w:b w:val="false"/>
                  <w:color w:val="0000FF"/>
                  <w:sz w:val="20"/>
                  <w:u w:val="single"/>
                </w:rPr>
                <w:t>11</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Rental Income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19">
              <w:r>
                <w:rPr>
                  <w:rStyle w:val="InternetLink"/>
                  <w:rFonts w:ascii="Times New Roman;serif" w:hAnsi="Times New Roman;serif"/>
                  <w:b w:val="false"/>
                  <w:color w:val="0000FF"/>
                  <w:sz w:val="20"/>
                  <w:u w:val="single"/>
                </w:rPr>
                <w:t>12</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Property Information</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22">
              <w:r>
                <w:rPr>
                  <w:rStyle w:val="InternetLink"/>
                  <w:rFonts w:ascii="Times New Roman;serif" w:hAnsi="Times New Roman;serif"/>
                  <w:b w:val="false"/>
                  <w:color w:val="0000FF"/>
                  <w:sz w:val="20"/>
                  <w:u w:val="single"/>
                </w:rPr>
                <w:t>13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Debt Metrics, and Senior Notes and Debentures Covenants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25">
              <w:r>
                <w:rPr>
                  <w:rStyle w:val="InternetLink"/>
                  <w:rFonts w:ascii="Times New Roman;serif" w:hAnsi="Times New Roman;serif"/>
                  <w:b w:val="false"/>
                  <w:color w:val="0000FF"/>
                  <w:sz w:val="20"/>
                  <w:u w:val="single"/>
                </w:rPr>
                <w:t>14</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Outstanding Debt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28">
              <w:r>
                <w:rPr>
                  <w:rStyle w:val="InternetLink"/>
                  <w:rFonts w:ascii="Times New Roman;serif" w:hAnsi="Times New Roman;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 Maturities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31">
              <w:r>
                <w:rPr>
                  <w:rStyle w:val="InternetLink"/>
                  <w:rFonts w:ascii="Times New Roman;serif" w:hAnsi="Times New Roman;serif"/>
                  <w:b w:val="false"/>
                  <w:color w:val="0000FF"/>
                  <w:sz w:val="20"/>
                  <w:u w:val="single"/>
                </w:rPr>
                <w:t>16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34">
              <w:r>
                <w:rPr>
                  <w:rStyle w:val="InternetLink"/>
                  <w:rFonts w:ascii="Times New Roman;serif" w:hAnsi="Times New Roman;serif"/>
                  <w:b w:val="false"/>
                  <w:color w:val="0000FF"/>
                  <w:sz w:val="20"/>
                  <w:u w:val="single"/>
                </w:rPr>
                <w:t>17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Redevelopment and Expansion Opportunities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37">
              <w:r>
                <w:rPr>
                  <w:rStyle w:val="InternetLink"/>
                  <w:rFonts w:ascii="Times New Roman;serif" w:hAnsi="Times New Roman;serif"/>
                  <w:b w:val="false"/>
                  <w:color w:val="0000FF"/>
                  <w:sz w:val="20"/>
                  <w:u w:val="single"/>
                </w:rPr>
                <w:t>18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Transactions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40">
              <w:r>
                <w:rPr>
                  <w:rStyle w:val="InternetLink"/>
                  <w:rFonts w:ascii="Times New Roman;serif" w:hAnsi="Times New Roman;serif"/>
                  <w:b w:val="false"/>
                  <w:color w:val="0000FF"/>
                  <w:sz w:val="20"/>
                  <w:u w:val="single"/>
                </w:rPr>
                <w:t>19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Status Report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43">
              <w:r>
                <w:rPr>
                  <w:rStyle w:val="InternetLink"/>
                  <w:rFonts w:ascii="Times New Roman;serif" w:hAnsi="Times New Roman;serif"/>
                  <w:b w:val="false"/>
                  <w:color w:val="0000FF"/>
                  <w:sz w:val="20"/>
                  <w:u w:val="single"/>
                </w:rPr>
                <w:t>20</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Leasing Summary</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46">
              <w:r>
                <w:rPr>
                  <w:rStyle w:val="InternetLink"/>
                  <w:rFonts w:ascii="Times New Roman;serif" w:hAnsi="Times New Roman;serif"/>
                  <w:b w:val="false"/>
                  <w:color w:val="0000FF"/>
                  <w:sz w:val="20"/>
                  <w:u w:val="single"/>
                </w:rPr>
                <w:t>25</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Expirations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49">
              <w:r>
                <w:rPr>
                  <w:rStyle w:val="InternetLink"/>
                  <w:rFonts w:ascii="Times New Roman;serif" w:hAnsi="Times New Roman;serif"/>
                  <w:b w:val="false"/>
                  <w:color w:val="0000FF"/>
                  <w:sz w:val="20"/>
                  <w:u w:val="single"/>
                </w:rPr>
                <w:t>26</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Leased Statistics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52">
              <w:r>
                <w:rPr>
                  <w:rStyle w:val="InternetLink"/>
                  <w:rFonts w:ascii="Times New Roman;serif" w:hAnsi="Times New Roman;serif"/>
                  <w:b w:val="false"/>
                  <w:color w:val="0000FF"/>
                  <w:sz w:val="20"/>
                  <w:u w:val="single"/>
                </w:rPr>
                <w:t>27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Top 25 Tenants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55">
              <w:r>
                <w:rPr>
                  <w:rStyle w:val="InternetLink"/>
                  <w:rFonts w:ascii="Times New Roman;serif" w:hAnsi="Times New Roman;serif"/>
                  <w:b w:val="false"/>
                  <w:color w:val="0000FF"/>
                  <w:sz w:val="20"/>
                  <w:u w:val="single"/>
                </w:rPr>
                <w:t>28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Guidance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58">
              <w:r>
                <w:rPr>
                  <w:rStyle w:val="InternetLink"/>
                  <w:rFonts w:ascii="Times New Roman;serif" w:hAnsi="Times New Roman;serif"/>
                  <w:b w:val="false"/>
                  <w:color w:val="0000FF"/>
                  <w:sz w:val="20"/>
                  <w:u w:val="single"/>
                </w:rPr>
                <w:t>29</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77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Glossary of Terms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d07ce91f79c4b3bbba0f408c71a43b4_61">
              <w:r>
                <w:rPr>
                  <w:rStyle w:val="InternetLink"/>
                  <w:rFonts w:ascii="Times New Roman;serif" w:hAnsi="Times New Roman;serif"/>
                  <w:b w:val="false"/>
                  <w:color w:val="0000FF"/>
                  <w:sz w:val="20"/>
                  <w:u w:val="single"/>
                </w:rPr>
                <w:t>30</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909 Rose Avenue, Suite 200</w:t>
            </w:r>
          </w:p>
        </w:tc>
      </w:tr>
      <w:tr>
        <w:trPr/>
        <w:tc>
          <w:tcPr>
            <w:tcW w:w="984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Bethesda, Maryland 20852</w:t>
            </w:r>
          </w:p>
        </w:tc>
      </w:tr>
      <w:tr>
        <w:trPr/>
        <w:tc>
          <w:tcPr>
            <w:tcW w:w="984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Safe Harbor Language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618" w:type="dxa"/>
        <w:jc w:val="left"/>
        <w:tblInd w:w="0" w:type="dxa"/>
        <w:tblLayout w:type="fixed"/>
        <w:tblCellMar>
          <w:top w:w="28" w:type="dxa"/>
          <w:left w:w="28" w:type="dxa"/>
          <w:bottom w:w="28" w:type="dxa"/>
          <w:right w:w="28" w:type="dxa"/>
        </w:tblCellMar>
      </w:tblPr>
      <w:tblGrid>
        <w:gridCol w:w="1342"/>
        <w:gridCol w:w="1177"/>
        <w:gridCol w:w="1185"/>
        <w:gridCol w:w="1145"/>
        <w:gridCol w:w="1145"/>
        <w:gridCol w:w="162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7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Jill Sawyer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jsawyer@federalrealty.com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Reports Fourth Quarter and Full Year 2025 Results</w:t>
      </w:r>
    </w:p>
    <w:p>
      <w:pPr>
        <w:pStyle w:val="TextBody"/>
        <w:bidi w:val="0"/>
        <w:spacing w:lineRule="auto" w:line="288" w:before="0" w:after="160"/>
        <w:jc w:val="left"/>
        <w:rPr/>
      </w:pPr>
      <w:r>
        <w:rPr>
          <w:rFonts w:ascii="Arial;sans-serif" w:hAnsi="Arial;sans-serif"/>
          <w:b w:val="false"/>
          <w:color w:val="000000"/>
          <w:sz w:val="19"/>
        </w:rPr>
        <w:t xml:space="preserve">NORTH BETHESDA, Md. (February 12, 2026) - </w:t>
      </w:r>
      <w:r>
        <w:rPr>
          <w:rFonts w:ascii="Arial;sans-serif" w:hAnsi="Arial;sans-serif"/>
          <w:b w:val="false"/>
          <w:color w:val="000000"/>
          <w:sz w:val="19"/>
          <w:u w:val="single"/>
        </w:rPr>
        <w:t>Federal Realty Investment Trust</w:t>
      </w:r>
      <w:r>
        <w:rPr>
          <w:color w:val="000000"/>
        </w:rPr>
        <w:t xml:space="preserve"> </w:t>
      </w:r>
      <w:r>
        <w:rPr>
          <w:rFonts w:ascii="Arial;sans-serif" w:hAnsi="Arial;sans-serif"/>
          <w:b w:val="false"/>
          <w:color w:val="000000"/>
          <w:sz w:val="19"/>
        </w:rPr>
        <w:t>(NYSE:FRT) today reported its results for the fourth quarter and full year ended December 31, 2025. Net income available for common shareholders was $4.68 per diluted share for the full year 2025 and $1.48 per diluted share for the fourth quarter, compared to $3.42 and $0.75 per diluted share for the same periods in 2024, respectively. Operating income for 2025 totaled $602.2 million, with $180.7 million in the fourth quarter, compared to $472.4 million and $109.3 million, respectively, in 2024.</w: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Highlights for the full year, fourth quarter and subsequent to quarter-end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Generated Nareit defined funds from operations available to common shareholders (Nareit FFO) per diluted share of $7.22 for the year, compared to $6.77 in 2024, an increase of 6.6%. For the fourth quarter, generated Nareit FFO per diluted share of $1.84, compared to $1.73 for the fourth quarter of 2024, an increase of 6.4%.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Introduced Core FFO, a new measure intended to provide enhanced comparability across periods for Federal’s underlying operating results; Core FFO was $7.06 per diluted share in 2025, up 4.3% from $6.77 in 2024. </w:t>
      </w:r>
      <w:r>
        <w:rPr>
          <w:rFonts w:ascii="Arial;sans-serif" w:hAnsi="Arial;sans-serif"/>
          <w:b w:val="false"/>
          <w:i/>
          <w:color w:val="000000"/>
          <w:sz w:val="19"/>
        </w:rPr>
        <w:t>See attachment for a full definition of Core FFO.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Record-breaking leasing in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Achieved an all-time company record total leasing volume of 2.5 million square feet of retail space.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Strongest comparable rent spreads in over a decade of 15% on a cash basis and 27% on a straight-line basis.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Achieved comparable portfolio occupancy of 94.5% and a leased rate of 96.6% at quarter end, with: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Occupancy up 40 basis points and leased rate up 90 basis points sequentially.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Occupancy up 50 basis points and leased rate up 40 basis points year-over-year.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Small shop leased rate of 93.8%, up 50 basis points sequentially.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Generated comparable property operating income (POI) growth of 3.8% for the year, and 3.1% for the fourth quarter, excluding lease termination fees and prior period rents collected.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Acquired two properties in the fourth quarter totaling $340 million, adding a new market to Federal Realty’s footprint in Omaha, NE with Village Pointe, and growing in its existing Maryland portfolio with Annapolis Town Center in Annapolis, MD.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Completed $169 million of peripheral residential and mature retail dispositions in the fourth quarter, with an additional $159 million announced subsequent to quarter end.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Announced a new redevelopment project at Willow Grove in Willow Grove, PA, at a projected cost of $110 - $120 million and projected return on investment (ROI) of 7%.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Ended the quarter with approximately $1.3 billion in total liquidity.</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19"/>
        </w:rPr>
        <w:t xml:space="preserve">Introduced 2026 earnings per diluted share guidance of $3.90 to $4.00 and 2026 Nareit FFO and Core FFO per diluted share guidance of $7.42 to $7.52, representing 5.1% and 6.5% growth at the low and high end of the range for Core FFO year-over-year. </w:t>
      </w:r>
    </w:p>
    <w:p>
      <w:pPr>
        <w:pStyle w:val="TextBody"/>
        <w:bidi w:val="0"/>
        <w:spacing w:lineRule="auto" w:line="288" w:before="0" w:after="160"/>
        <w:jc w:val="left"/>
        <w:rPr>
          <w:color w:val="000000"/>
        </w:rPr>
      </w:pPr>
      <w:r>
        <w:rPr>
          <w:color w:val="000000"/>
        </w:rPr>
        <w:t>“</w:t>
      </w:r>
      <w:r>
        <w:rPr>
          <w:rFonts w:ascii="Arial;sans-serif" w:hAnsi="Arial;sans-serif"/>
          <w:b w:val="false"/>
          <w:color w:val="000000"/>
          <w:sz w:val="19"/>
        </w:rPr>
        <w:t xml:space="preserve">Federal Realty delivered strong 2025 results, driven by exceptional leasing performance and strong rent spreads that produced solid year-over-year earnings growth. We also made meaningful strategic progress on our capital recycling and reinvestment initiative: entering new markets, acquiring dominant properties that enhance the quality of our portfolio, and advancing our residential development pipeline in the right retail locations,” said Donald C. Wood, Chief Executive Officer of </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19"/>
        </w:rPr>
      </w:pPr>
      <w:r>
        <w:rPr>
          <w:rFonts w:ascii="Arial;sans-serif" w:hAnsi="Arial;sans-serif"/>
          <w:b w:val="false"/>
          <w:color w:val="000000"/>
          <w:sz w:val="19"/>
        </w:rPr>
        <w:t>Federal Realty. “Even as we navigate the near-term refinancing environment, our momentum underpins expected 6% Core FFO growth in 2026.”</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Financial Results</w:t>
      </w:r>
    </w:p>
    <w:p>
      <w:pPr>
        <w:pStyle w:val="TextBody"/>
        <w:bidi w:val="0"/>
        <w:spacing w:lineRule="auto" w:line="288" w:before="0" w:after="240"/>
        <w:jc w:val="left"/>
        <w:rPr/>
      </w:pPr>
      <w:r>
        <w:rPr>
          <w:rFonts w:ascii="Arial;sans-serif" w:hAnsi="Arial;sans-serif"/>
          <w:b w:val="false"/>
          <w:i/>
          <w:color w:val="000000"/>
          <w:sz w:val="19"/>
        </w:rPr>
        <w:t>Net Incom</w:t>
      </w:r>
      <w:r>
        <w:rPr>
          <w:rFonts w:ascii="Arial;sans-serif" w:hAnsi="Arial;sans-serif"/>
          <w:b w:val="false"/>
          <w:color w:val="000000"/>
          <w:sz w:val="19"/>
        </w:rPr>
        <w:t>e</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full year 2025, net income available for common shareholders was $403.0 million and earnings per diluted share was $4.68, versus $287.2 million and $3.42, respectively, for the full year 2024.</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fourth quarter 2025, net income available for common shareholders was $127.7 million and earnings per diluted share was $1.48, versus $63.5 million and $0.75, respectively, for the fourth quarter of 2024.</w: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FFO</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For the full year 2025, Nareit FFO was $624.3 million, or $7.22 per diluted share. This compares to Nareit FFO of $570.2 million, or $6.77 per diluted share for the full year 2024. Core FFO in 2025 was $611.0 million, or $7.06 per diluted share, versus $570.7 million, or $6.77 per diluted share for the full year 2024.</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 xml:space="preserve">For the fourth quarter 2025, Nareit FFO was $159.2 million, or $1.84 per diluted share, compared to $147.6 million, or $1.73 per diluted share for the fourth quarter of 2024. Core FFO in the fourth quarter 2025 was $159.1 million, or $1.84 per diluted share, versus $150.5 million, or $1.76 per diluted share. </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Nareit FFO is a non-GAAP supplemental earnings measure which the Trust considers meaningful in measuring its operating performance. Core FFO adjusts Nareit FFO to exclude the impact of certain items that management considers are not indicative of the Company’s ongoing operating and financial performance. See attachments for a reconciliation of Nareit FFO and Core FFO and definition of Core FFO.</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Operational Update</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Occupancy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The following operational metrics for the commercial portfolio are as of December 31, 2025:</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9"/>
        </w:rPr>
        <w:t>The comparable portfolio occupancy was 94.5%, up 40 basis points sequentially and up 50 basis points year-over-year.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9"/>
        </w:rPr>
        <w:t xml:space="preserve">Comparable portfolio leased rate was 96.6%, up 90 basis points sequentially and up 40 basis points year-over-year.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9"/>
        </w:rPr>
        <w:t>Small shop leased rate was 93.8%, up 50 basis points sequentially and up 20 basis points year-over-year.</w:t>
      </w:r>
    </w:p>
    <w:p>
      <w:pPr>
        <w:pStyle w:val="TextBody"/>
        <w:bidi w:val="0"/>
        <w:spacing w:lineRule="auto" w:line="288" w:before="0" w:after="280"/>
        <w:ind w:left="0" w:right="0" w:hanging="360"/>
        <w:jc w:val="both"/>
        <w:rPr/>
      </w:pPr>
      <w:r>
        <w:rPr>
          <w:color w:val="000000"/>
        </w:rPr>
        <w:t>•</w:t>
      </w:r>
      <w:r>
        <w:rPr>
          <w:rFonts w:ascii="Arial;sans-serif" w:hAnsi="Arial;sans-serif"/>
          <w:b w:val="false"/>
          <w:color w:val="000000"/>
          <w:sz w:val="19"/>
        </w:rPr>
        <w:t>Anchor leased rate was 97.3%, up 80 basis points sequentially and down 20 basis points year-over-year.</w:t>
      </w:r>
    </w:p>
    <w:p>
      <w:pPr>
        <w:pStyle w:val="TextBody"/>
        <w:bidi w:val="0"/>
        <w:spacing w:lineRule="auto" w:line="288" w:before="0" w:after="240"/>
        <w:jc w:val="left"/>
        <w:rPr>
          <w:rFonts w:ascii="Arial;sans-serif" w:hAnsi="Arial;sans-serif"/>
          <w:b w:val="false"/>
          <w:color w:val="000000"/>
          <w:sz w:val="19"/>
        </w:rPr>
      </w:pPr>
      <w:r>
        <w:rPr>
          <w:rFonts w:ascii="Arial;sans-serif" w:hAnsi="Arial;sans-serif"/>
          <w:b w:val="false"/>
          <w:color w:val="000000"/>
          <w:sz w:val="19"/>
        </w:rPr>
        <w:t>The residential leased rate was 94.8% as of December 31, 2025.</w:t>
      </w:r>
    </w:p>
    <w:p>
      <w:pPr>
        <w:pStyle w:val="TextBody"/>
        <w:bidi w:val="0"/>
        <w:spacing w:lineRule="auto" w:line="288" w:before="0" w:after="240"/>
        <w:jc w:val="left"/>
        <w:rPr>
          <w:rFonts w:ascii="Arial;sans-serif" w:hAnsi="Arial;sans-serif"/>
          <w:b w:val="false"/>
          <w:i/>
          <w:color w:val="000000"/>
          <w:sz w:val="19"/>
        </w:rPr>
      </w:pPr>
      <w:r>
        <w:rPr>
          <w:rFonts w:ascii="Arial;sans-serif" w:hAnsi="Arial;sans-serif"/>
          <w:b w:val="false"/>
          <w:i/>
          <w:color w:val="000000"/>
          <w:sz w:val="19"/>
        </w:rPr>
        <w:t>Leasing Activity</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 xml:space="preserve">For the full year 2025, Federal Realty signed 454 leases for 2,471,099 square feet of retail space. On a comparable space basis (i.e., spaces for which there was a former tenant), Federal Realty signed 434 leases for 2,340,282 square feet at an average rent of $37.98 per square foot compared to the average contractual rent of $33.12 per square foot for the last year of the prior leases, representing a cash basis rollover growth on those comparable spaces of 15%, 27% on a straight-line basis. Comparable leases represented 96% of total comparable and non-comparable leases signed during 2025. </w:t>
      </w:r>
    </w:p>
    <w:p>
      <w:pPr>
        <w:pStyle w:val="TextBody"/>
        <w:bidi w:val="0"/>
        <w:spacing w:lineRule="auto" w:line="288" w:before="0" w:after="240"/>
        <w:jc w:val="left"/>
        <w:rPr>
          <w:rFonts w:ascii="Arial;sans-serif" w:hAnsi="Arial;sans-serif"/>
          <w:b w:val="false"/>
          <w:color w:val="000000"/>
          <w:sz w:val="19"/>
        </w:rPr>
      </w:pPr>
      <w:r>
        <w:rPr>
          <w:rFonts w:ascii="Arial;sans-serif" w:hAnsi="Arial;sans-serif"/>
          <w:b w:val="false"/>
          <w:color w:val="000000"/>
          <w:sz w:val="19"/>
        </w:rPr>
        <w:t>During the fourth quarter 2025, Federal Realty signed 109 leases for 612,978 square feet of retail space. On a comparable space basis (i.e., spaces for which there was a former tenant), Federal Realty signed 105 leases for 600,684 square feet at an average rent of $39.09 per square foot compared to the average contractual rent of $34.84 per square foot for the last year of the prior leases, representing a cash basis rollover growth on those comparable spaces of 12%, 24% on a straight-line basis. Comparable leases represented 96% of total comparable and non comparable leases signed during the fourth quarter 2025.</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Redevelopment</w:t>
      </w:r>
    </w:p>
    <w:p>
      <w:pPr>
        <w:pStyle w:val="TextBody"/>
        <w:bidi w:val="0"/>
        <w:spacing w:lineRule="auto" w:line="288" w:before="0" w:after="240"/>
        <w:jc w:val="both"/>
        <w:rPr/>
      </w:pPr>
      <w:r>
        <w:rPr>
          <w:rFonts w:ascii="Arial;sans-serif" w:hAnsi="Arial;sans-serif"/>
          <w:b w:val="false"/>
          <w:color w:val="000000"/>
          <w:sz w:val="19"/>
        </w:rPr>
        <w:t>Announced a new redevelopment project at Willow Grove in Willow Grove, PA. This project will bring over 260 residential units, 52,000 square feet of retail space, and a 438-stall parking garage to the shopping center. The projected cost is $110 - $120 million and a 7% projected ROI</w:t>
      </w:r>
      <w:r>
        <w:rPr>
          <w:rFonts w:ascii="Arial;sans-serif" w:hAnsi="Arial;sans-serif"/>
          <w:b w:val="false"/>
          <w:color w:val="000000"/>
          <w:sz w:val="12"/>
        </w:rPr>
        <w:t>1</w:t>
      </w:r>
      <w:r>
        <w:rPr>
          <w:rFonts w:ascii="Arial;sans-serif" w:hAnsi="Arial;sans-serif"/>
          <w:b w:val="false"/>
          <w:color w:val="000000"/>
          <w:sz w:val="19"/>
        </w:rPr>
        <w:t>.</w:t>
      </w:r>
    </w:p>
    <w:p>
      <w:pPr>
        <w:pStyle w:val="TextBody"/>
        <w:bidi w:val="0"/>
        <w:spacing w:lineRule="auto" w:line="288" w:before="0" w:after="240"/>
        <w:jc w:val="both"/>
        <w:rPr>
          <w:rFonts w:ascii="Arial;sans-serif" w:hAnsi="Arial;sans-serif"/>
          <w:b w:val="false"/>
          <w:i/>
          <w:color w:val="000000"/>
          <w:sz w:val="19"/>
        </w:rPr>
      </w:pPr>
      <w:r>
        <w:rPr>
          <w:rFonts w:ascii="Arial;sans-serif" w:hAnsi="Arial;sans-serif"/>
          <w:b w:val="false"/>
          <w:i/>
          <w:color w:val="000000"/>
          <w:sz w:val="19"/>
        </w:rPr>
        <w:t>Transaction Activity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u w:val="single"/>
        </w:rPr>
        <w:t>February 5, 2026</w:t>
      </w:r>
      <w:r>
        <w:rPr>
          <w:color w:val="000000"/>
        </w:rPr>
        <w:t xml:space="preserve"> — </w:t>
      </w:r>
      <w:r>
        <w:rPr>
          <w:rFonts w:ascii="Arial;sans-serif" w:hAnsi="Arial;sans-serif"/>
          <w:b w:val="false"/>
          <w:color w:val="000000"/>
          <w:sz w:val="19"/>
        </w:rPr>
        <w:t>sold Misora, a peripherally located residential component of Santana Row in San Jose, CA, for $148.5 million; additionally, the Company sold Courthouse Center, a 33,000 square-foot neighborhood shopping center in Rockville, MD, for $10.0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u w:val="single"/>
        </w:rPr>
        <w:t>December 17, 2025</w:t>
      </w:r>
      <w:r>
        <w:rPr>
          <w:color w:val="000000"/>
        </w:rPr>
        <w:t xml:space="preserve"> — </w:t>
      </w:r>
      <w:r>
        <w:rPr>
          <w:rFonts w:ascii="Arial;sans-serif" w:hAnsi="Arial;sans-serif"/>
          <w:b w:val="false"/>
          <w:color w:val="000000"/>
          <w:sz w:val="19"/>
        </w:rPr>
        <w:t>sold Pallas, a peripherally located residential component of Pike &amp; Rose in North Bethesda, MD, for $125.0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u w:val="single"/>
        </w:rPr>
        <w:t>December 16, 2025</w:t>
      </w:r>
      <w:r>
        <w:rPr>
          <w:color w:val="000000"/>
        </w:rPr>
        <w:t xml:space="preserve"> — </w:t>
      </w:r>
      <w:r>
        <w:rPr>
          <w:rFonts w:ascii="Arial;sans-serif" w:hAnsi="Arial;sans-serif"/>
          <w:b w:val="false"/>
          <w:color w:val="000000"/>
          <w:sz w:val="19"/>
        </w:rPr>
        <w:t>sold Bristol Plaza, a 264,000 square-foot grocery-anchored shopping center in Bristol, CT, for $44.4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u w:val="single"/>
        </w:rPr>
        <w:t>November 24, 2025</w:t>
      </w:r>
      <w:r>
        <w:rPr>
          <w:color w:val="000000"/>
        </w:rPr>
        <w:t xml:space="preserve"> — </w:t>
      </w:r>
      <w:r>
        <w:rPr>
          <w:rFonts w:ascii="Arial;sans-serif" w:hAnsi="Arial;sans-serif"/>
          <w:b w:val="false"/>
          <w:color w:val="000000"/>
          <w:sz w:val="19"/>
        </w:rPr>
        <w:t>acquired Village Pointe, a leading open-air lifestyle center in Omaha, NE, totaling 452,000 square feet, for $153.3 million.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19"/>
          <w:u w:val="single"/>
        </w:rPr>
        <w:t>October 10, 2025</w:t>
      </w:r>
      <w:r>
        <w:rPr>
          <w:color w:val="000000"/>
        </w:rPr>
        <w:t xml:space="preserve"> – </w:t>
      </w:r>
      <w:r>
        <w:rPr>
          <w:rFonts w:ascii="Arial;sans-serif" w:hAnsi="Arial;sans-serif"/>
          <w:b w:val="false"/>
          <w:color w:val="000000"/>
          <w:sz w:val="19"/>
        </w:rPr>
        <w:t>acquired Annapolis Town Center, a premier open-air retail center in Annapolis, MD, totaling 479,000 square feet, for $187.0 million.</w:t>
      </w:r>
    </w:p>
    <w:p>
      <w:pPr>
        <w:pStyle w:val="TextBody"/>
        <w:bidi w:val="0"/>
        <w:spacing w:lineRule="auto" w:line="288" w:before="0" w:after="240"/>
        <w:jc w:val="both"/>
        <w:rPr>
          <w:rFonts w:ascii="Arial;sans-serif" w:hAnsi="Arial;sans-serif"/>
          <w:b/>
          <w:color w:val="000000"/>
          <w:sz w:val="19"/>
        </w:rPr>
      </w:pPr>
      <w:r>
        <w:rPr>
          <w:rFonts w:ascii="Arial;sans-serif" w:hAnsi="Arial;sans-serif"/>
          <w:b/>
          <w:color w:val="000000"/>
          <w:sz w:val="19"/>
        </w:rPr>
        <w:t>Regular Quarterly Dividends</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Federal Realty announced today that its Board of Trustees declared a regular quarterly cash dividend of $1.13 per common share, resulting in an indicated annual rate of $4.52 per common share. The regular common dividend will be payable on April 15, 2026 to common shareholders of record as of April 1, 2026.</w:t>
      </w:r>
    </w:p>
    <w:p>
      <w:pPr>
        <w:pStyle w:val="TextBody"/>
        <w:bidi w:val="0"/>
        <w:spacing w:lineRule="auto" w:line="288" w:before="0" w:after="240"/>
        <w:jc w:val="both"/>
        <w:rPr>
          <w:rFonts w:ascii="Arial;sans-serif" w:hAnsi="Arial;sans-serif"/>
          <w:b w:val="false"/>
          <w:color w:val="000000"/>
          <w:sz w:val="19"/>
        </w:rPr>
      </w:pPr>
      <w:r>
        <w:rPr>
          <w:rFonts w:ascii="Arial;sans-serif" w:hAnsi="Arial;sans-serif"/>
          <w:b w:val="false"/>
          <w:color w:val="000000"/>
          <w:sz w:val="19"/>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2026 to shareholders of record as of April 1, 2026.</w:t>
      </w:r>
    </w:p>
    <w:p>
      <w:pPr>
        <w:pStyle w:val="TextBody"/>
        <w:bidi w:val="0"/>
        <w:spacing w:lineRule="auto" w:line="417" w:before="0" w:after="240"/>
        <w:jc w:val="both"/>
        <w:rPr>
          <w:rFonts w:ascii="Arial;sans-serif" w:hAnsi="Arial;sans-serif"/>
          <w:b/>
          <w:color w:val="000000"/>
          <w:sz w:val="19"/>
        </w:rPr>
      </w:pPr>
      <w:r>
        <w:rPr>
          <w:rFonts w:ascii="Arial;sans-serif" w:hAnsi="Arial;sans-serif"/>
          <w:b/>
          <w:color w:val="000000"/>
          <w:sz w:val="19"/>
        </w:rPr>
        <w:t>2026 Initial Guidance</w:t>
      </w:r>
    </w:p>
    <w:p>
      <w:pPr>
        <w:pStyle w:val="TextBody"/>
        <w:bidi w:val="0"/>
        <w:spacing w:lineRule="auto" w:line="417" w:before="0" w:after="240"/>
        <w:jc w:val="both"/>
        <w:rPr/>
      </w:pPr>
      <w:r>
        <w:rPr>
          <w:rFonts w:ascii="Arial;sans-serif" w:hAnsi="Arial;sans-serif"/>
          <w:b w:val="false"/>
          <w:color w:val="000000"/>
          <w:sz w:val="19"/>
        </w:rPr>
        <w:t>The company’s initial 2026 guidance is based on the following assumptions:</w:t>
      </w:r>
      <w:r>
        <w:rPr>
          <w:color w:val="000000"/>
        </w:rPr>
        <w:t xml:space="preserve"> </w:t>
      </w:r>
    </w:p>
    <w:tbl>
      <w:tblPr>
        <w:tblW w:w="7653" w:type="dxa"/>
        <w:jc w:val="left"/>
        <w:tblInd w:w="0" w:type="dxa"/>
        <w:tblLayout w:type="fixed"/>
        <w:tblCellMar>
          <w:top w:w="28" w:type="dxa"/>
          <w:left w:w="28" w:type="dxa"/>
          <w:bottom w:w="28" w:type="dxa"/>
          <w:right w:w="28" w:type="dxa"/>
        </w:tblCellMar>
      </w:tblPr>
      <w:tblGrid>
        <w:gridCol w:w="2065"/>
        <w:gridCol w:w="1815"/>
        <w:gridCol w:w="1820"/>
        <w:gridCol w:w="599"/>
        <w:gridCol w:w="599"/>
        <w:gridCol w:w="601"/>
        <w:gridCol w:w="154"/>
      </w:tblGrid>
      <w:tr>
        <w:trPr/>
        <w:tc>
          <w:tcPr>
            <w:tcW w:w="206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u w:val="single"/>
              </w:rPr>
              <w:t>2026 Guidance</w:t>
            </w:r>
            <w:r>
              <w:rPr>
                <w:rFonts w:ascii="Arial;sans-serif" w:hAnsi="Arial;sans-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available for common shareholders per diluted share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$3.90 - $4.00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Nareit FFO per diluted share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$7.42 – $7.52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Core FFO per diluted share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$7.42 – $7.52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Comparable properties growth</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- 3.5%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Lease termination fees </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$7 - $8 million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Incremental redevelopment / expansion POI</w:t>
            </w:r>
            <w:r>
              <w:rPr>
                <w:rFonts w:ascii="Arial;sans-serif" w:hAnsi="Arial;sans-serif"/>
                <w:b w:val="false"/>
                <w:color w:val="000000"/>
                <w:sz w:val="12"/>
              </w:rPr>
              <w:t xml:space="preserve">3 </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$13 - $15 million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General and administrative expenses </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$47 - $49 million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Development / redevelopment capital </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$175 - $225 million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Capitalized interest </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$11 - $12 million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60"/>
        <w:jc w:val="both"/>
        <w:rPr/>
      </w:pPr>
      <w:r>
        <w:rPr/>
      </w:r>
    </w:p>
    <w:p>
      <w:pPr>
        <w:pStyle w:val="TextBody"/>
        <w:bidi w:val="0"/>
        <w:spacing w:lineRule="auto" w:line="417" w:before="0" w:after="60"/>
        <w:jc w:val="both"/>
        <w:rPr>
          <w:rFonts w:ascii="Arial;sans-serif" w:hAnsi="Arial;sans-serif"/>
          <w:b w:val="false"/>
          <w:color w:val="000000"/>
          <w:sz w:val="19"/>
          <w:u w:val="single"/>
        </w:rPr>
      </w:pPr>
      <w:r>
        <w:rPr>
          <w:rFonts w:ascii="Arial;sans-serif" w:hAnsi="Arial;sans-serif"/>
          <w:b w:val="false"/>
          <w:color w:val="000000"/>
          <w:sz w:val="19"/>
          <w:u w:val="single"/>
        </w:rPr>
        <w:t>Notes:</w:t>
      </w:r>
    </w:p>
    <w:p>
      <w:pPr>
        <w:pStyle w:val="TextBody"/>
        <w:bidi w:val="0"/>
        <w:spacing w:lineRule="auto" w:line="417" w:before="0" w:after="0"/>
        <w:jc w:val="left"/>
        <w:rPr/>
      </w:pPr>
      <w:r>
        <w:rPr>
          <w:rFonts w:ascii="Arial;sans-serif" w:hAnsi="Arial;sans-serif"/>
          <w:b w:val="false"/>
          <w:color w:val="000000"/>
          <w:sz w:val="9"/>
        </w:rPr>
        <w:t>1</w:t>
      </w:r>
      <w:r>
        <w:rPr>
          <w:rFonts w:ascii="Arial;sans-serif" w:hAnsi="Arial;sans-serif"/>
          <w:b w:val="false"/>
          <w:color w:val="000000"/>
          <w:sz w:val="14"/>
        </w:rPr>
        <w:t xml:space="preserve">See page </w:t>
      </w:r>
      <w:hyperlink w:anchor="i3d07ce91f79c4b3bbba0f408c71a43b4_34">
        <w:r>
          <w:rPr>
            <w:rStyle w:val="InternetLink"/>
            <w:rFonts w:ascii="Arial;sans-serif" w:hAnsi="Arial;sans-serif"/>
            <w:b w:val="false"/>
            <w:strike w:val="false"/>
            <w:dstrike w:val="false"/>
            <w:color w:val="000000"/>
            <w:sz w:val="14"/>
            <w:u w:val="none"/>
            <w:effect w:val="none"/>
          </w:rPr>
          <w:t>17</w:t>
        </w:r>
      </w:hyperlink>
      <w:r>
        <w:rPr>
          <w:rFonts w:ascii="Arial;sans-serif" w:hAnsi="Arial;sans-serif"/>
          <w:b w:val="false"/>
          <w:color w:val="000000"/>
          <w:sz w:val="14"/>
        </w:rPr>
        <w:t xml:space="preserve"> of our Form 8-K filed on February 12, 2026.</w:t>
      </w:r>
    </w:p>
    <w:p>
      <w:pPr>
        <w:pStyle w:val="TextBody"/>
        <w:bidi w:val="0"/>
        <w:spacing w:lineRule="auto" w:line="417" w:before="0" w:after="0"/>
        <w:jc w:val="left"/>
        <w:rPr/>
      </w:pPr>
      <w:r>
        <w:rPr>
          <w:rFonts w:ascii="Arial;sans-serif" w:hAnsi="Arial;sans-serif"/>
          <w:b w:val="false"/>
          <w:color w:val="000000"/>
          <w:sz w:val="9"/>
        </w:rPr>
        <w:t>2</w:t>
      </w:r>
      <w:r>
        <w:rPr>
          <w:rFonts w:ascii="Arial;sans-serif" w:hAnsi="Arial;sans-serif"/>
          <w:b w:val="false"/>
          <w:color w:val="000000"/>
          <w:sz w:val="14"/>
        </w:rPr>
        <w:t>Does not include the impact of acquisitions or dispositions other than those which have closed as of February 11, 2026. All amounts are estimates.</w:t>
      </w:r>
    </w:p>
    <w:p>
      <w:pPr>
        <w:pStyle w:val="TextBody"/>
        <w:bidi w:val="0"/>
        <w:spacing w:lineRule="auto" w:line="417" w:before="0" w:after="160"/>
        <w:jc w:val="both"/>
        <w:rPr/>
      </w:pPr>
      <w:r>
        <w:rPr>
          <w:rFonts w:ascii="Arial;sans-serif" w:hAnsi="Arial;sans-serif"/>
          <w:b w:val="false"/>
          <w:color w:val="000000"/>
          <w:sz w:val="9"/>
        </w:rPr>
        <w:t>3</w:t>
      </w:r>
      <w:r>
        <w:rPr>
          <w:rFonts w:ascii="Arial;sans-serif" w:hAnsi="Arial;sans-serif"/>
          <w:b w:val="false"/>
          <w:color w:val="000000"/>
          <w:sz w:val="14"/>
        </w:rPr>
        <w:t xml:space="preserve">Includes the expected additional POI to be recognized in 2026, which is incremental to the amount recognized in 2025 from our larger redevelopments at Santana West, Pike &amp; Rose - 915 Meeting Street, Bala Cynwyd on City Avenue and Huntington Shopping Center as more fully discussed on page </w:t>
      </w:r>
      <w:hyperlink w:anchor="i3d07ce91f79c4b3bbba0f408c71a43b4_34">
        <w:r>
          <w:rPr>
            <w:rStyle w:val="InternetLink"/>
            <w:rFonts w:ascii="Arial;sans-serif" w:hAnsi="Arial;sans-serif"/>
            <w:b w:val="false"/>
            <w:strike w:val="false"/>
            <w:dstrike w:val="false"/>
            <w:color w:val="000000"/>
            <w:sz w:val="14"/>
            <w:u w:val="none"/>
            <w:effect w:val="none"/>
          </w:rPr>
          <w:t>17</w:t>
        </w:r>
      </w:hyperlink>
      <w:r>
        <w:rPr>
          <w:rFonts w:ascii="Arial;sans-serif" w:hAnsi="Arial;sans-serif"/>
          <w:b w:val="false"/>
          <w:color w:val="000000"/>
          <w:sz w:val="14"/>
        </w:rPr>
        <w:t xml:space="preserve"> of our Form 8-K filed on February 12, 2026.</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9" w:before="0" w:after="160"/>
        <w:jc w:val="both"/>
        <w:rPr>
          <w:rFonts w:ascii="Arial;sans-serif" w:hAnsi="Arial;sans-serif"/>
          <w:b w:val="false"/>
          <w:color w:val="000000"/>
          <w:sz w:val="19"/>
        </w:rPr>
      </w:pPr>
      <w:r>
        <w:rPr>
          <w:rFonts w:ascii="Arial;sans-serif" w:hAnsi="Arial;sans-serif"/>
          <w:b w:val="false"/>
          <w:color w:val="000000"/>
          <w:sz w:val="19"/>
        </w:rPr>
        <w:t>The following table provides a reconciliation of the range of estimated earnings per diluted share to estimated Nareit FFO and Core FFO per diluted share for the full year 2026:</w:t>
      </w:r>
    </w:p>
    <w:tbl>
      <w:tblPr>
        <w:tblW w:w="9672" w:type="dxa"/>
        <w:jc w:val="left"/>
        <w:tblInd w:w="0" w:type="dxa"/>
        <w:tblLayout w:type="fixed"/>
        <w:tblCellMar>
          <w:top w:w="28" w:type="dxa"/>
          <w:left w:w="28" w:type="dxa"/>
          <w:bottom w:w="28" w:type="dxa"/>
          <w:right w:w="28" w:type="dxa"/>
        </w:tblCellMar>
      </w:tblPr>
      <w:tblGrid>
        <w:gridCol w:w="2397"/>
        <w:gridCol w:w="2106"/>
        <w:gridCol w:w="2112"/>
        <w:gridCol w:w="475"/>
        <w:gridCol w:w="475"/>
        <w:gridCol w:w="475"/>
        <w:gridCol w:w="475"/>
        <w:gridCol w:w="475"/>
        <w:gridCol w:w="682"/>
      </w:tblGrid>
      <w:tr>
        <w:trPr/>
        <w:tc>
          <w:tcPr>
            <w:tcW w:w="2397"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Full Year 2026 Guidance Range</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Low</w:t>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High</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net income available for common shareholders per diluted share</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$3.90</w:t>
            </w:r>
          </w:p>
        </w:tc>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$4.00</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gain on sale of real estate, net</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(1.06)</w:t>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(1.06)</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depreciation and amortization</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4.58</w:t>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4.58</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Nareit FFO and Core FFO per diluted share</w:t>
            </w:r>
          </w:p>
        </w:tc>
        <w:tc>
          <w:tcPr>
            <w:tcW w:w="14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$7.42</w:t>
            </w:r>
          </w:p>
        </w:tc>
        <w:tc>
          <w:tcPr>
            <w:tcW w:w="16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$7.52</w:t>
            </w:r>
          </w:p>
        </w:tc>
      </w:tr>
    </w:tbl>
    <w:p>
      <w:pPr>
        <w:pStyle w:val="TextBody"/>
        <w:bidi w:val="0"/>
        <w:spacing w:lineRule="auto" w:line="319" w:before="160" w:after="160"/>
        <w:jc w:val="left"/>
        <w:rPr>
          <w:rFonts w:ascii="Arial;sans-serif" w:hAnsi="Arial;sans-serif"/>
          <w:b w:val="false"/>
          <w:color w:val="000000"/>
          <w:sz w:val="19"/>
        </w:rPr>
      </w:pPr>
      <w:r>
        <w:rPr>
          <w:rFonts w:ascii="Arial;sans-serif" w:hAnsi="Arial;sans-serif"/>
          <w:b w:val="false"/>
          <w:color w:val="000000"/>
          <w:sz w:val="19"/>
        </w:rPr>
        <w:t>Below is our Nareit FFO and Core FFO for 2024, 2025, and estimated 2026 range, per diluted share:</w:t>
      </w:r>
    </w:p>
    <w:tbl>
      <w:tblPr>
        <w:tblW w:w="8518" w:type="dxa"/>
        <w:jc w:val="left"/>
        <w:tblInd w:w="0" w:type="dxa"/>
        <w:tblLayout w:type="fixed"/>
        <w:tblCellMar>
          <w:top w:w="28" w:type="dxa"/>
          <w:left w:w="28" w:type="dxa"/>
          <w:bottom w:w="28" w:type="dxa"/>
          <w:right w:w="28" w:type="dxa"/>
        </w:tblCellMar>
      </w:tblPr>
      <w:tblGrid>
        <w:gridCol w:w="1715"/>
        <w:gridCol w:w="1509"/>
        <w:gridCol w:w="1516"/>
        <w:gridCol w:w="389"/>
        <w:gridCol w:w="389"/>
        <w:gridCol w:w="391"/>
        <w:gridCol w:w="389"/>
        <w:gridCol w:w="389"/>
        <w:gridCol w:w="391"/>
        <w:gridCol w:w="421"/>
        <w:gridCol w:w="421"/>
        <w:gridCol w:w="598"/>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2024 Actual</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2025 Actual</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2026 Estimate</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Nareit FFO per diluted share</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$6.77</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$7.22</w:t>
            </w:r>
          </w:p>
        </w:tc>
        <w:tc>
          <w:tcPr>
            <w:tcW w:w="1440"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$7.42 - $7.52</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growth over the prior year</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6.6%</w:t>
            </w:r>
          </w:p>
        </w:tc>
        <w:tc>
          <w:tcPr>
            <w:tcW w:w="144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2.8% - 4.2%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Adjustments: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New market tax credit transaction income, net</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(0.15)</w:t>
            </w:r>
          </w:p>
        </w:tc>
        <w:tc>
          <w:tcPr>
            <w:tcW w:w="144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Executive transition costs</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0.04</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0"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Collection of prior period rents deferred during COVID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(0.04)</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(0.00)</w:t>
            </w:r>
          </w:p>
        </w:tc>
        <w:tc>
          <w:tcPr>
            <w:tcW w:w="144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Core FFO</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$6.77</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$7.06</w:t>
            </w:r>
          </w:p>
        </w:tc>
        <w:tc>
          <w:tcPr>
            <w:tcW w:w="144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$7.42 - $7.52</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growth over the prior year</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4.3%</w:t>
            </w:r>
          </w:p>
        </w:tc>
        <w:tc>
          <w:tcPr>
            <w:tcW w:w="1440"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Arial;sans-serif" w:hAnsi="Arial;sans-serif"/>
                <w:b w:val="false"/>
                <w:i/>
                <w:color w:val="000000"/>
                <w:sz w:val="19"/>
              </w:rPr>
            </w:pPr>
            <w:r>
              <w:rPr>
                <w:rFonts w:ascii="Arial;sans-serif" w:hAnsi="Arial;sans-serif"/>
                <w:b w:val="false"/>
                <w:i/>
                <w:color w:val="000000"/>
                <w:sz w:val="19"/>
              </w:rPr>
              <w:t>5.1% - 6.5%</w:t>
            </w:r>
          </w:p>
        </w:tc>
      </w:tr>
    </w:tbl>
    <w:p>
      <w:pPr>
        <w:pStyle w:val="TextBody"/>
        <w:bidi w:val="0"/>
        <w:spacing w:lineRule="auto" w:line="319" w:before="160" w:after="160"/>
        <w:jc w:val="both"/>
        <w:rPr>
          <w:rFonts w:ascii="Arial;sans-serif" w:hAnsi="Arial;sans-serif"/>
          <w:b/>
          <w:color w:val="000000"/>
          <w:sz w:val="19"/>
        </w:rPr>
      </w:pPr>
      <w:r>
        <w:rPr>
          <w:rFonts w:ascii="Arial;sans-serif" w:hAnsi="Arial;sans-serif"/>
          <w:b/>
          <w:color w:val="000000"/>
          <w:sz w:val="19"/>
        </w:rPr>
        <w:t>Conference Call Information</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Realty’s management team will present an in-depth discussion of Federal Realty’s operating performance on its fourth quarter 2025 earnings conference call, which is scheduled for Thursday, February 12, 2026 at 5:00 PM ET. To participate, please call 833-821-4548 or 412-652-1258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26, 2026 by dialing 844-512-2921 or 412-317-6671; Passcode: 10205568.</w:t>
      </w:r>
    </w:p>
    <w:p>
      <w:pPr>
        <w:pStyle w:val="TextBody"/>
        <w:bidi w:val="0"/>
        <w:spacing w:lineRule="auto" w:line="319" w:before="0" w:after="160"/>
        <w:jc w:val="both"/>
        <w:rPr>
          <w:rFonts w:ascii="Arial;sans-serif" w:hAnsi="Arial;sans-serif"/>
          <w:b/>
          <w:color w:val="000000"/>
          <w:sz w:val="19"/>
        </w:rPr>
      </w:pPr>
      <w:r>
        <w:rPr>
          <w:rFonts w:ascii="Arial;sans-serif" w:hAnsi="Arial;sans-serif"/>
          <w:b/>
          <w:color w:val="000000"/>
          <w:sz w:val="19"/>
        </w:rPr>
        <w:t>About Federal Realty</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Row—which together reflect the company's ability to create distinctive, high-performing environments that serve as vibrant destinations for their communities. As of December 31, 2025, Federal Realty's 104 properties include approximately 3,700 tenants in 28.8 million commercial square feet, and approximately 2,700 residential units.</w:t>
      </w:r>
    </w:p>
    <w:p>
      <w:pPr>
        <w:pStyle w:val="TextBody"/>
        <w:bidi w:val="0"/>
        <w:spacing w:lineRule="auto" w:line="319" w:before="0" w:after="160"/>
        <w:jc w:val="left"/>
        <w:rPr>
          <w:rFonts w:ascii="Arial;sans-serif" w:hAnsi="Arial;sans-serif"/>
          <w:b w:val="false"/>
          <w:color w:val="000000"/>
          <w:sz w:val="19"/>
        </w:rPr>
      </w:pPr>
      <w:r>
        <w:rPr>
          <w:rFonts w:ascii="Arial;sans-serif" w:hAnsi="Arial;sans-serif"/>
          <w:b w:val="false"/>
          <w:color w:val="000000"/>
          <w:sz w:val="19"/>
        </w:rPr>
        <w:t>Federal Realty has increased its quarterly dividends to its shareholders for 58 consecutive years, the longest record in the REIT industry. The company is an S&amp;P 500 index member and its shares are traded on the NYSE under the symbol FRT. For additional information about Federal Realty and its properties, visit www.federalrealty.com.</w:t>
      </w:r>
    </w:p>
    <w:p>
      <w:pPr>
        <w:pStyle w:val="TextBody"/>
        <w:bidi w:val="0"/>
        <w:spacing w:before="0" w:after="0"/>
        <w:jc w:val="right"/>
        <w:rPr/>
      </w:pPr>
      <w:r>
        <w:rPr/>
        <w:drawing>
          <wp:inline distT="0" distB="0" distL="0" distR="0">
            <wp:extent cx="895350" cy="3524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19"/>
        </w:rPr>
      </w:pPr>
      <w:r>
        <w:rPr>
          <w:rFonts w:ascii="Arial;sans-serif" w:hAnsi="Arial;sans-serif"/>
          <w:b/>
          <w:color w:val="000000"/>
          <w:sz w:val="19"/>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64"/>
        <w:gridCol w:w="1311"/>
        <w:gridCol w:w="131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6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879"/>
        <w:gridCol w:w="1948"/>
        <w:gridCol w:w="1919"/>
        <w:gridCol w:w="222"/>
        <w:gridCol w:w="1142"/>
        <w:gridCol w:w="114"/>
        <w:gridCol w:w="114"/>
        <w:gridCol w:w="114"/>
        <w:gridCol w:w="114"/>
        <w:gridCol w:w="222"/>
        <w:gridCol w:w="1142"/>
        <w:gridCol w:w="114"/>
        <w:gridCol w:w="161"/>
      </w:tblGrid>
      <w:tr>
        <w:trPr/>
        <w:tc>
          <w:tcPr>
            <w:tcW w:w="287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$1,832,190 and $1,825,656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$28,418 and $9,939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$468,725 and $424,044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$194,176 and $186,643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$0.01 par:</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$0.01 par, 200,000,000 shares authorized, 86,266,009 and 85,666,220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2"/>
        <w:gridCol w:w="1185"/>
        <w:gridCol w:w="119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45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4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Nareit Funds from Operations available for common shareholders (Nareit FFO)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Core Funds from Operations (Core FFO)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29" w:type="dxa"/>
            <w:gridSpan w:val="16"/>
            <w:tcBorders/>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 net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0" w:after="0"/>
        <w:ind w:left="0" w:right="0" w:hanging="720"/>
        <w:jc w:val="left"/>
        <w:rPr/>
      </w:pPr>
      <w:r>
        <w:rPr>
          <w:rFonts w:ascii="Times New Roman;serif" w:hAnsi="Times New Roman;serif"/>
          <w:b w:val="false"/>
          <w:color w:val="000000"/>
          <w:sz w:val="18"/>
        </w:rPr>
        <w:t>(2)For the three months and years</w:t>
      </w:r>
      <w:r>
        <w:rPr>
          <w:color w:val="000000"/>
        </w:rPr>
        <w:t xml:space="preserve"> </w:t>
      </w:r>
      <w:r>
        <w:rPr>
          <w:rFonts w:ascii="Times New Roman;serif" w:hAnsi="Times New Roman;serif"/>
          <w:b w:val="false"/>
          <w:color w:val="000000"/>
          <w:sz w:val="18"/>
        </w:rPr>
        <w:t xml:space="preserve">ended December 31, 2025 and 2024,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in 2Q2025, we recognized $14.2 million ($13.0 million, net of income attributable to noncontrolling interest) in income related to the sale of the new market tax credits, which is included in Nareit FFO, but excluded from Core FFO.</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weighted average common shares used to compute FFO per diluted common share includes shares issuable upon the assumed redemption of outstanding downREIT operating partnership units that were excluded from the computation of diluted EPS. The assumed issuance of shares upon redemption of these operating partnership units is dilutive in the computation of FFO per diluted share for all periods presented, but is anti-dilutive for the computation of diluted EPS for the three months and year ended December 31, 2024.</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72"/>
        <w:gridCol w:w="1126"/>
        <w:gridCol w:w="113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5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EBITDA for Real Estate (EBITDAre)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of EBITDAre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EBITDAre to combined fixed charges and preferred share dividends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 and Payout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common 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payout ratio as a percentage of NAREIT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and expansions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and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Noncontrolling Interests Supplemental Information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pPr>
      <w:r>
        <w:rPr>
          <w:rFonts w:ascii="Times New Roman;serif" w:hAnsi="Times New Roman;serif"/>
          <w:b w:val="false"/>
          <w:color w:val="000000"/>
          <w:sz w:val="18"/>
        </w:rPr>
        <w:t>(3)Excluding the $14.2 million of new market tax credit transaction income, the ratio of EBITDAre to combined fixed charges and preferred share dividends for the year</w:t>
      </w:r>
      <w:r>
        <w:rPr>
          <w:color w:val="000000"/>
        </w:rPr>
        <w:t xml:space="preserve"> </w:t>
      </w:r>
      <w:r>
        <w:rPr>
          <w:rFonts w:ascii="Times New Roman;serif" w:hAnsi="Times New Roman;serif"/>
          <w:b w:val="false"/>
          <w:color w:val="000000"/>
          <w:sz w:val="18"/>
        </w:rPr>
        <w:t>ended December 31, 2025 would have been the same 3.9x.</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(4)Amounts reflect the components of "net income attributable to noncontrolling interests," but excludes "income attributable to downREIT operating partnership units."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88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lease related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1,245,491 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(2)Minimum rents include the following:</w:t>
      </w:r>
    </w:p>
    <w:tbl>
      <w:tblPr>
        <w:tblW w:w="7211"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9"/>
        </w:rPr>
        <w:t xml:space="preserve">(3)Includes lease termination fees of $1.4 million and $1.1 million for the three months ended December 31, 2025 and 2024, respectively, and $5.8 million and $4.3 million for the </w:t>
      </w:r>
      <w:r>
        <w:rPr>
          <w:rFonts w:ascii="Times New Roman;serif" w:hAnsi="Times New Roman;serif"/>
          <w:b w:val="false"/>
          <w:color w:val="000000"/>
          <w:sz w:val="20"/>
        </w:rPr>
        <w:t xml:space="preserve">years </w:t>
      </w:r>
      <w:r>
        <w:rPr>
          <w:rFonts w:ascii="Times New Roman;serif" w:hAnsi="Times New Roman;serif"/>
          <w:b w:val="false"/>
          <w:color w:val="000000"/>
          <w:sz w:val="19"/>
        </w:rPr>
        <w:t>ended December 31, 2025 and 2024.</w:t>
      </w:r>
    </w:p>
    <w:p>
      <w:pPr>
        <w:pStyle w:val="TextBody"/>
        <w:bidi w:val="0"/>
        <w:spacing w:lineRule="auto" w:line="288" w:before="60" w:after="283"/>
        <w:ind w:left="0" w:right="0" w:hanging="720"/>
        <w:jc w:val="left"/>
        <w:rPr/>
      </w:pPr>
      <w:r>
        <w:rPr>
          <w:rFonts w:ascii="Times New Roman;serif" w:hAnsi="Times New Roman;serif"/>
          <w:b w:val="false"/>
          <w:color w:val="000000"/>
          <w:sz w:val="19"/>
        </w:rPr>
        <w:t xml:space="preserve">(4)For the three months ended December 31, 2025 and 2024, our collectability related impacts include the collection of approximately $0.1 million and $0.8 million, respectively, and $0.3 million and $3.2 million for the </w:t>
      </w:r>
      <w:r>
        <w:rPr>
          <w:rFonts w:ascii="Times New Roman;serif" w:hAnsi="Times New Roman;serif"/>
          <w:b w:val="false"/>
          <w:color w:val="000000"/>
          <w:sz w:val="20"/>
        </w:rPr>
        <w:t>years</w:t>
      </w:r>
      <w:r>
        <w:rPr>
          <w:color w:val="000000"/>
        </w:rPr>
        <w:t xml:space="preserve"> </w:t>
      </w:r>
      <w:r>
        <w:rPr>
          <w:rFonts w:ascii="Times New Roman;serif" w:hAnsi="Times New Roman;serif"/>
          <w:b w:val="false"/>
          <w:color w:val="000000"/>
          <w:sz w:val="19"/>
        </w:rPr>
        <w:t>ended December 31, 2025 and 2024, respectively, of prior period rents which were contractually deferred or payments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84"/>
        <w:gridCol w:w="558"/>
        <w:gridCol w:w="561"/>
        <w:gridCol w:w="237"/>
        <w:gridCol w:w="890"/>
        <w:gridCol w:w="131"/>
        <w:gridCol w:w="131"/>
        <w:gridCol w:w="131"/>
        <w:gridCol w:w="131"/>
        <w:gridCol w:w="237"/>
        <w:gridCol w:w="890"/>
        <w:gridCol w:w="131"/>
        <w:gridCol w:w="455"/>
        <w:gridCol w:w="131"/>
        <w:gridCol w:w="131"/>
        <w:gridCol w:w="131"/>
        <w:gridCol w:w="131"/>
        <w:gridCol w:w="131"/>
        <w:gridCol w:w="265"/>
        <w:gridCol w:w="890"/>
        <w:gridCol w:w="131"/>
        <w:gridCol w:w="131"/>
        <w:gridCol w:w="131"/>
        <w:gridCol w:w="131"/>
        <w:gridCol w:w="265"/>
        <w:gridCol w:w="890"/>
        <w:gridCol w:w="131"/>
        <w:gridCol w:w="455"/>
        <w:gridCol w:w="131"/>
        <w:gridCol w:w="131"/>
        <w:gridCol w:w="109"/>
        <w:gridCol w:w="109"/>
        <w:gridCol w:w="109"/>
        <w:gridCol w:w="174"/>
      </w:tblGrid>
      <w:tr>
        <w:trPr/>
        <w:tc>
          <w:tcPr>
            <w:tcW w:w="88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Property Information</w:t>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70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Friendship Center, Grossmont Center, Pike &amp; Rose Phase IV, Santana West, Willow Grove Shopping Center, and all properties acquired, disposed of, or not consolidated from Q4 2024 to Q4 2025. Comparable Property property operating income ("Comparable Property POI") is a non-GAAP measure used by management in evaluating the operating performance of our properties period over period. The amounts shown below for the years ended December 31, 2025 and 2024 reflect the summation of our reported quarterly results.</w:t>
            </w:r>
          </w:p>
        </w:tc>
        <w:tc>
          <w:tcPr>
            <w:tcW w:w="501" w:type="dxa"/>
            <w:gridSpan w:val="4"/>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u w:val="single"/>
              </w:rPr>
            </w:pPr>
            <w:r>
              <w:rPr>
                <w:rFonts w:ascii="Times New Roman;serif" w:hAnsi="Times New Roman;serif"/>
                <w:b/>
                <w:i/>
                <w:color w:val="000000"/>
                <w:sz w:val="17"/>
                <w:u w:val="single"/>
              </w:rPr>
              <w:t>Reconciliation of GAAP operating income to Comparable Property POI</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180,654 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602,199 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472,356 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Add: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367,842 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342,598 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market tax credit transaction income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real estate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(150,111)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charge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income (POI)</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225,482 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209,495 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860,092 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810,653 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Non-comparable POI - acquisitions/dispositions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(16,657)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Non-comparable POI - redevelopment, development &amp; 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196,325 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790,286 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763,107 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u w:val="single"/>
              </w:rPr>
            </w:pPr>
            <w:r>
              <w:rPr>
                <w:rFonts w:ascii="Times New Roman;serif" w:hAnsi="Times New Roman;serif"/>
                <w:b/>
                <w:i/>
                <w:color w:val="000000"/>
                <w:sz w:val="17"/>
                <w:u w:val="single"/>
              </w:rPr>
              <w:t>Additional information regarding the components of Comparable Property POI</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Minimum rents (1)</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221,112 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216,848 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871,147 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846,457 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reimbursements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57,638 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231,806 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57,201 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54,791 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Collectibility related impacts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property revenue</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297,514 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289,525 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1,158,523 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1,121,650 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expenses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(231,585)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(224,727)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(35,195)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(136,652)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property expenses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(93,200)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(368,237)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(358,543)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196,325 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790,286 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Less: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Lease termination fees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period rents collected (2)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 excluding lease termination fees and prior period rents collected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200,506 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194,552 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784,579 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755,860 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01" w:type="dxa"/>
            <w:gridSpan w:val="4"/>
            <w:tcBorders/>
          </w:tcPr>
          <w:p>
            <w:pPr>
              <w:pStyle w:val="TableContents"/>
              <w:bidi w:val="0"/>
              <w:spacing w:before="0" w:after="283"/>
              <w:jc w:val="left"/>
              <w:rPr>
                <w:sz w:val="4"/>
                <w:szCs w:val="4"/>
              </w:rPr>
            </w:pPr>
            <w:r>
              <w:rPr>
                <w:sz w:val="4"/>
                <w:szCs w:val="4"/>
              </w:rPr>
            </w:r>
          </w:p>
        </w:tc>
      </w:tr>
      <w:tr>
        <w:trPr/>
        <w:tc>
          <w:tcPr>
            <w:tcW w:w="200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u w:val="single"/>
              </w:rPr>
            </w:pPr>
            <w:r>
              <w:rPr>
                <w:rFonts w:ascii="Times New Roman;serif" w:hAnsi="Times New Roman;serif"/>
                <w:b w:val="false"/>
                <w:i/>
                <w:color w:val="000000"/>
                <w:sz w:val="17"/>
                <w:u w:val="single"/>
              </w:rPr>
              <w:t>Comparable Property - Summary of Capital Expenditures (3)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 Ended</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Redevelopment and tenant improvements and incentives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134,853 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138,197 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expenditures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162,383 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161,280 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2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u w:val="single"/>
              </w:rPr>
            </w:pPr>
            <w:r>
              <w:rPr>
                <w:rFonts w:ascii="Times New Roman;serif" w:hAnsi="Times New Roman;serif"/>
                <w:b w:val="false"/>
                <w:i/>
                <w:color w:val="000000"/>
                <w:sz w:val="17"/>
                <w:u w:val="single"/>
              </w:rPr>
              <w:t>Comparable Property - Occupancy Statistics (3)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 December 31,</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gridSpan w:val="2"/>
            <w:tcBorders/>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GLA - comparable commercial properties</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25,073,000 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25,163,000 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Leased % - comparable commercial properties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 - comparable commercial properties</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94.0%</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0" w:after="0"/>
        <w:ind w:left="0" w:right="0" w:hanging="288"/>
        <w:jc w:val="left"/>
        <w:rPr>
          <w:rFonts w:ascii="Times New Roman;serif" w:hAnsi="Times New Roman;serif"/>
          <w:b w:val="false"/>
          <w:color w:val="000000"/>
          <w:sz w:val="17"/>
        </w:rPr>
      </w:pPr>
      <w:r>
        <w:rPr>
          <w:rFonts w:ascii="Times New Roman;serif" w:hAnsi="Times New Roman;serif"/>
          <w:b w:val="false"/>
          <w:color w:val="000000"/>
          <w:sz w:val="17"/>
        </w:rPr>
        <w:t xml:space="preserve">(1)For the three months ended December 31, 2025 and 2024, amounts include straight-line rents of $3.1 million and $6.6 million, respectively, and $17.2 million and $15.6 million for the years ended December 31, 2025 and 2024, respectively. For the three months ended December 31, 2025 and 2024, amounts include amortization of in-place leases of $3.9 million and $2.5 million, respectively, and $11.8 million and $10.5 million for the years ended December 31, 2025 and 2024, respectively. </w:t>
      </w:r>
    </w:p>
    <w:p>
      <w:pPr>
        <w:pStyle w:val="TextBody"/>
        <w:bidi w:val="0"/>
        <w:spacing w:lineRule="auto" w:line="288" w:before="0" w:after="0"/>
        <w:ind w:left="0" w:right="0" w:hanging="288"/>
        <w:jc w:val="left"/>
        <w:rPr>
          <w:rFonts w:ascii="Times New Roman;serif" w:hAnsi="Times New Roman;serif"/>
          <w:b w:val="false"/>
          <w:color w:val="000000"/>
          <w:sz w:val="17"/>
        </w:rPr>
      </w:pPr>
      <w:r>
        <w:rPr>
          <w:rFonts w:ascii="Times New Roman;serif" w:hAnsi="Times New Roman;serif"/>
          <w:b w:val="false"/>
          <w:color w:val="000000"/>
          <w:sz w:val="17"/>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288"/>
        <w:jc w:val="left"/>
        <w:rPr/>
      </w:pPr>
      <w:r>
        <w:rPr>
          <w:rFonts w:ascii="Times New Roman;serif" w:hAnsi="Times New Roman;serif"/>
          <w:b w:val="false"/>
          <w:color w:val="000000"/>
          <w:sz w:val="17"/>
        </w:rPr>
        <w:t xml:space="preserve">(3)See page </w:t>
      </w:r>
      <w:hyperlink w:anchor="i3d07ce91f79c4b3bbba0f408c71a43b4_646">
        <w:r>
          <w:rPr>
            <w:rStyle w:val="InternetLink"/>
            <w:rFonts w:ascii="Times New Roman;serif" w:hAnsi="Times New Roman;serif"/>
            <w:b w:val="false"/>
            <w:strike w:val="false"/>
            <w:dstrike w:val="false"/>
            <w:color w:val="000000"/>
            <w:sz w:val="17"/>
            <w:u w:val="none"/>
            <w:effect w:val="none"/>
          </w:rPr>
          <w:t>11</w:t>
        </w:r>
      </w:hyperlink>
      <w:r>
        <w:rPr>
          <w:rFonts w:ascii="Times New Roman;serif" w:hAnsi="Times New Roman;serif"/>
          <w:b w:val="false"/>
          <w:color w:val="000000"/>
          <w:sz w:val="17"/>
        </w:rPr>
        <w:t xml:space="preserve"> for "Summary of Capital Expenditures" and page </w:t>
      </w:r>
      <w:hyperlink w:anchor="i3d07ce91f79c4b3bbba0f408c71a43b4_52">
        <w:r>
          <w:rPr>
            <w:rStyle w:val="InternetLink"/>
            <w:rFonts w:ascii="Times New Roman;serif" w:hAnsi="Times New Roman;serif"/>
            <w:b w:val="false"/>
            <w:strike w:val="false"/>
            <w:dstrike w:val="false"/>
            <w:color w:val="000000"/>
            <w:sz w:val="17"/>
            <w:u w:val="none"/>
            <w:effect w:val="none"/>
          </w:rPr>
          <w:t>27</w:t>
        </w:r>
      </w:hyperlink>
      <w:r>
        <w:rPr>
          <w:rFonts w:ascii="Times New Roman;serif" w:hAnsi="Times New Roman;serif"/>
          <w:b w:val="false"/>
          <w:color w:val="000000"/>
          <w:sz w:val="17"/>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0"/>
        <w:gridCol w:w="154"/>
        <w:gridCol w:w="154"/>
        <w:gridCol w:w="1722"/>
        <w:gridCol w:w="1626"/>
        <w:gridCol w:w="1630"/>
        <w:gridCol w:w="141"/>
        <w:gridCol w:w="141"/>
        <w:gridCol w:w="141"/>
        <w:gridCol w:w="274"/>
        <w:gridCol w:w="1409"/>
        <w:gridCol w:w="141"/>
        <w:gridCol w:w="141"/>
        <w:gridCol w:w="141"/>
        <w:gridCol w:w="141"/>
        <w:gridCol w:w="298"/>
        <w:gridCol w:w="1531"/>
        <w:gridCol w:w="230"/>
      </w:tblGrid>
      <w:tr>
        <w:trPr/>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and downREIT operating partnership units (1)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market capitalization including downREIT operating partnership units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8,748,734 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9,658,486 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shares outstanding</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C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shares outstanding (2)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1 preferred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8,908,559 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9,818,311 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4,943,100 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4,473,632 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4,835,685 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4,350,223 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 capitalization</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14,168,534 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and Liquidity Ratio</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to market capitalization at market price per common share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Covenants (4)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Covenant Threshold (5)</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Assets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60%</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 to Total Assets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w:t>
            </w:r>
          </w:p>
        </w:tc>
      </w:tr>
      <w:tr>
        <w:trPr/>
        <w:tc>
          <w:tcPr>
            <w:tcW w:w="4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to Annual Debt Service Charge</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4.1x</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1.5x</w:t>
            </w:r>
          </w:p>
        </w:tc>
      </w:tr>
      <w:tr>
        <w:trPr/>
        <w:tc>
          <w:tcPr>
            <w:tcW w:w="4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 to Unsecured Debt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150%</w:t>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r>
        <w:trPr/>
        <w:tc>
          <w:tcPr>
            <w:tcW w:w="498" w:type="dxa"/>
            <w:gridSpan w:val="3"/>
            <w:tcBorders/>
            <w:vAlign w:val="center"/>
          </w:tcPr>
          <w:p>
            <w:pPr>
              <w:pStyle w:val="TableContents"/>
              <w:bidi w:val="0"/>
              <w:spacing w:before="0" w:after="283"/>
              <w:jc w:val="left"/>
              <w:rPr>
                <w:sz w:val="4"/>
                <w:szCs w:val="4"/>
              </w:rPr>
            </w:pPr>
            <w:r>
              <w:rPr>
                <w:sz w:val="4"/>
                <w:szCs w:val="4"/>
              </w:rPr>
            </w:r>
          </w:p>
        </w:tc>
        <w:tc>
          <w:tcPr>
            <w:tcW w:w="497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(1)Amounts include 526,915 and 608,348 downREIT operating partnership units outstanding at December 31, 2025 and 2024, respectively.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reference period for calculating these covenants is the year ended December 31, 2025.</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0"/>
        <w:gridCol w:w="680"/>
        <w:gridCol w:w="657"/>
        <w:gridCol w:w="580"/>
        <w:gridCol w:w="446"/>
        <w:gridCol w:w="446"/>
        <w:gridCol w:w="448"/>
        <w:gridCol w:w="109"/>
        <w:gridCol w:w="109"/>
        <w:gridCol w:w="109"/>
        <w:gridCol w:w="422"/>
        <w:gridCol w:w="395"/>
        <w:gridCol w:w="397"/>
        <w:gridCol w:w="109"/>
        <w:gridCol w:w="109"/>
        <w:gridCol w:w="109"/>
        <w:gridCol w:w="196"/>
        <w:gridCol w:w="871"/>
        <w:gridCol w:w="109"/>
        <w:gridCol w:w="109"/>
        <w:gridCol w:w="109"/>
        <w:gridCol w:w="109"/>
        <w:gridCol w:w="164"/>
        <w:gridCol w:w="155"/>
        <w:gridCol w:w="150"/>
        <w:gridCol w:w="109"/>
        <w:gridCol w:w="109"/>
        <w:gridCol w:w="109"/>
        <w:gridCol w:w="328"/>
        <w:gridCol w:w="317"/>
        <w:gridCol w:w="317"/>
        <w:gridCol w:w="317"/>
        <w:gridCol w:w="317"/>
        <w:gridCol w:w="463"/>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effective rate (7)</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Mortgages payable (1)</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12/28/2026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(3)</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10/30/2028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+ 1.95%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(12 Buildings)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 to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4.47%</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 payable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(3)(6)</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(3)</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(3)</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Senior notes and debentures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1.25%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4.70%</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39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r>
    </w:tbl>
    <w:p>
      <w:pPr>
        <w:pStyle w:val="TextBody"/>
        <w:bidi w:val="0"/>
        <w:spacing w:lineRule="auto" w:line="288" w:before="6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(1)Mortgages payable does not include our share of debt on our unconsolidated real estate partnerships. At December 31, 2025, our share of unconsolidated debt was approximately $61.9 million. At December 31, 2025, our noncontrolling interests' share of mortgages payable was $15.4 million.</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(2)We have one one-year extension, at our option to extend the maturity date of this mortgage loan to December 28, 2027.</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(3)Our Azalea mortgage loan, revolving credit facility SOFR loans and our term loans bear interest at Daily Simple SOFR, as defined in the respective credit agreements, plus a spread, based on our current credit rating. The interest rate on $450.0 million of our $750.0 million term loan is fixed at a weighted average interest rate of 4.17% through March 1, 2028 through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(4)We have two one-year extensions, at our option to extend the maturity date of this mortgage loan to October 30, 2030.</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(5)The interest rate on this mortgage loan is fixed at 3.67% through two interest rate swap agreements.</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(6)The maximum amount drawn under our $1.25 billion revolving credit facility during both the three months and year ended December 31, 2025 was $461.6 million. The weighted average interest rate on borrowings under our credit facility, before amortization of debt fees, was 4.8% and 5.0% for the three months and year ended December 31, 2025, respectively. On October 30, 2025, the interest rate on our revolving credit facility was reduced by removing the 0.10% adjustment to SOFR.</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(7)The weighted average effective interest rate includes the amortization of any debt issuance costs and discounts and premiums, if applicable, except as described in Note 8.</w:t>
      </w:r>
    </w:p>
    <w:p>
      <w:pPr>
        <w:pStyle w:val="TextBody"/>
        <w:bidi w:val="0"/>
        <w:spacing w:lineRule="auto" w:line="288" w:before="4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(8)The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40" w:after="100"/>
        <w:jc w:val="left"/>
        <w:rPr>
          <w:rFonts w:ascii="Times New Roman;serif" w:hAnsi="Times New Roman;serif"/>
          <w:b w:val="false"/>
          <w:color w:val="000000"/>
          <w:sz w:val="18"/>
        </w:rPr>
      </w:pPr>
      <w:r>
        <w:rPr>
          <w:rFonts w:ascii="Times New Roman;serif" w:hAnsi="Times New Roman;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(1)Our $200.0 mortgage loan secured by Bethesda Row matures on December 28, 2026 plus one one-year extension, at our option to December 28, 2027.</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(2)Our $1.25 billion revolving credit facility matures on April 5, 2027, plus two six-month extensions at our option to April 5, 2028. As of December 31, 2025, there was $310.0 million outstanding under this credit facility.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(3)Our $750.0 million term loan matures on March 20, 2028, plus two one-year extensions at our option to March 20, 2030. Additionally, our $55.0 million mortgage loan secured by Azalea matures on October 30, 2028, plus two one-year extensions at our option to October 30, 2030.</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total debt maturities differ from the total reported on the consolidated balance sheet due to the debt issuance costs and unamortized net premium/discount on certain mortgage loans, notes payable, and senior notes as of December 31, 2025. The weighted average remaining term on our mortgages payable, notes payable, and senior notes and debentures is approximately 5 years.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(5)The weighted average rate reflects the weighted average interest rate, as of December 31, 2025, on debt maturing in the respective year. </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55"/>
        <w:gridCol w:w="224"/>
        <w:gridCol w:w="224"/>
        <w:gridCol w:w="728"/>
        <w:gridCol w:w="278"/>
        <w:gridCol w:w="216"/>
        <w:gridCol w:w="1211"/>
        <w:gridCol w:w="1007"/>
        <w:gridCol w:w="1010"/>
        <w:gridCol w:w="205"/>
        <w:gridCol w:w="205"/>
        <w:gridCol w:w="456"/>
        <w:gridCol w:w="288"/>
        <w:gridCol w:w="288"/>
        <w:gridCol w:w="289"/>
        <w:gridCol w:w="339"/>
        <w:gridCol w:w="186"/>
        <w:gridCol w:w="168"/>
        <w:gridCol w:w="428"/>
        <w:gridCol w:w="428"/>
        <w:gridCol w:w="266"/>
        <w:gridCol w:w="357"/>
        <w:gridCol w:w="321"/>
        <w:gridCol w:w="156"/>
        <w:gridCol w:w="10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Redevelopment and Expansion Opportunities</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09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following redevelopment opportunities are actively being worked on by the Trust. (1)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4652" w:type="dxa"/>
            <w:gridSpan w:val="17"/>
            <w:tcBorders/>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55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POI Delivered (2)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(2)</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1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Delivered 2025</w:t>
            </w:r>
          </w:p>
        </w:tc>
        <w:tc>
          <w:tcPr>
            <w:tcW w:w="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Projected </w:t>
              <w:br/>
              <w:t>2026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a % of Total)</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Projects stabilized:</w:t>
            </w:r>
          </w:p>
        </w:tc>
        <w:tc>
          <w:tcPr>
            <w:tcW w:w="3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NY</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the main two level building consisting of 161,000 square feet of anchor and small shop space to construct 102,000 square feet of new ground-level anchor and small shop retail space</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Projects in process:</w:t>
            </w:r>
          </w:p>
        </w:tc>
        <w:tc>
          <w:tcPr>
            <w:tcW w:w="3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West (3)</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369,000 square foot office building. 345,000 square feet of office space leased</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- 6%</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 $335</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 - 80%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- 915 Meeting Street (3)</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Bethesda, MD</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262,000 square foot office building with 10,000 square feet of retail space. The building is fully leased.</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 $190</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 - 95%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 Lot 12</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six story building with 258 residential units and associated parking</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 $148</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 PA</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130,000 SF of existing retail to construct a new six story mixed use building with 261 residential units, a 438 space parking structure, and an additional 52,000 SF of retail space</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$110 - $120 </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PA</w:t>
            </w:r>
          </w:p>
        </w:tc>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two level department store building to construct a new six story building with 217 residential units, 19,000 square feet of retail and a two-story parking structure with 234 parking stalls. Delivery expected to start in Q1 2026.</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 $95</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 - 5%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Hoboken - 301 Washington Street </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 NJ</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5 story, 45-unit residential building with 10,200 square feet of ground floor retail space</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 $48</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(4)</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Anticipated Stabilization (5)</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31,500 square feet of anchor and small shop spaces to construct a 50,000 square foot turnkey building for a national grocer tenant and redevelopment of 27,000 square feet of vacant small shop space at the north end of the property to construct 10,400 square feet of small shop, and a 10,000 square foot anchor tenant</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- 8%</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Grossmont Center</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Mesa, CA</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I of a multi-phase redevelopment of the property focusing on revitalizing the northern side of the property encompassing 131,000 square feet of anchor and small shop space</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- 10%</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Installation and implementation of paid parking system</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Stabilized</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Mercer on One</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Lawrenceville, NJ</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of a 2,225 square foot pad building with drive-thru for a restaurant tenant</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Stabilized</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Active Property Improvement Projects (6)</w:t>
            </w:r>
          </w:p>
        </w:tc>
        <w:tc>
          <w:tcPr>
            <w:tcW w:w="3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Ongoing improvements at 8 properties to better position those properties to capture a disproportionate amount of retail demand</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- 16%</w:t>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Notes:</w:t>
      </w:r>
    </w:p>
    <w:p>
      <w:pPr>
        <w:pStyle w:val="TextBody"/>
        <w:bidi w:val="0"/>
        <w:spacing w:lineRule="auto" w:line="288" w:before="10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(2)Projected ROI for mixed-use redevelopment/expansion projects reflects the unleveraged Property Operating Income (POI) generated by the project and is calculated as POI divided by cost. Projected POI delivered is an approximate calculation of the POI delivered or expected to be delivered and is calculated based on the Projected Cost and Projected ROI disclosed herewith and is based on the mid-point of the range, if applicable. Projected POI delivered includes straight line rent.</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40" w:after="283"/>
        <w:ind w:left="0" w:right="0" w:hanging="288"/>
        <w:jc w:val="left"/>
        <w:rPr>
          <w:rFonts w:ascii="Times New Roman;serif" w:hAnsi="Times New Roman;serif"/>
          <w:b w:val="false"/>
          <w:color w:val="000000"/>
          <w:sz w:val="15"/>
        </w:rPr>
      </w:pPr>
      <w:r>
        <w:rPr>
          <w:rFonts w:ascii="Times New Roman;serif" w:hAnsi="Times New Roman;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0"/>
        <w:gridCol w:w="451"/>
        <w:gridCol w:w="451"/>
        <w:gridCol w:w="451"/>
        <w:gridCol w:w="451"/>
        <w:gridCol w:w="451"/>
        <w:gridCol w:w="1318"/>
        <w:gridCol w:w="451"/>
        <w:gridCol w:w="451"/>
        <w:gridCol w:w="1013"/>
        <w:gridCol w:w="451"/>
        <w:gridCol w:w="451"/>
        <w:gridCol w:w="988"/>
        <w:gridCol w:w="451"/>
        <w:gridCol w:w="451"/>
        <w:gridCol w:w="466"/>
        <w:gridCol w:w="222"/>
        <w:gridCol w:w="327"/>
      </w:tblGrid>
      <w:tr>
        <w:trPr/>
        <w:tc>
          <w:tcPr>
            <w:tcW w:w="9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Federal Realty Investment Trust</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Future Redevelopment and Expansion Opportunities</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December 31, 2025</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Redevelopment Opportunities</w:t>
            </w:r>
          </w:p>
        </w:tc>
      </w:tr>
      <w:tr>
        <w:trPr/>
        <w:tc>
          <w:tcPr>
            <w:tcW w:w="3165"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Expansion/Conversion (4)</w:t>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(5)</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Mixed Use - Long Term</w:t>
            </w:r>
          </w:p>
        </w:tc>
      </w:tr>
      <w:tr>
        <w:trPr/>
        <w:tc>
          <w:tcPr>
            <w:tcW w:w="316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Assembly Row (1)</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Somerville, MA</w:t>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on City Avenue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Barracks Road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Camelback Colonnade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Phoenix, AZ</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Commons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MA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Monte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Monterey, CA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Promenade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CA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Junction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Finley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Downers Grove,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 Meadows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Queens, NY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Friendship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DC</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Governor Plaza</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Glen Burnie, MD</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Grossmont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 Mesa,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NY</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Northport, NY</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Philadelphia, PA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&amp; Rose (2)</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7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Vienna,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Providence Place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Riverpoint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(3)</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Shops at Pembroke Gardens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Pembroke Pines, FL</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AVENUE at White Marsh</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Marsh, MD</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Shopping Center</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Springfield,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Troy Hills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Parsippany-Troy, NJ</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Village at Shirlington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Arlington,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 Gateway</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Gainesville,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Lawn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Richmond,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12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(3)Remaining entitlements at Santana Row include approximately 321,000 square feet of commercial space and 137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Acquisitions</w:t>
      </w:r>
    </w:p>
    <w:tbl>
      <w:tblPr>
        <w:tblW w:w="10205" w:type="dxa"/>
        <w:jc w:val="left"/>
        <w:tblInd w:w="0" w:type="dxa"/>
        <w:tblLayout w:type="fixed"/>
        <w:tblCellMar>
          <w:top w:w="28" w:type="dxa"/>
          <w:left w:w="28" w:type="dxa"/>
          <w:bottom w:w="28" w:type="dxa"/>
          <w:right w:w="28" w:type="dxa"/>
        </w:tblCellMar>
      </w:tblPr>
      <w:tblGrid>
        <w:gridCol w:w="433"/>
        <w:gridCol w:w="315"/>
        <w:gridCol w:w="319"/>
        <w:gridCol w:w="109"/>
        <w:gridCol w:w="109"/>
        <w:gridCol w:w="109"/>
        <w:gridCol w:w="423"/>
        <w:gridCol w:w="391"/>
        <w:gridCol w:w="397"/>
        <w:gridCol w:w="109"/>
        <w:gridCol w:w="109"/>
        <w:gridCol w:w="109"/>
        <w:gridCol w:w="393"/>
        <w:gridCol w:w="362"/>
        <w:gridCol w:w="344"/>
        <w:gridCol w:w="109"/>
        <w:gridCol w:w="109"/>
        <w:gridCol w:w="109"/>
        <w:gridCol w:w="417"/>
        <w:gridCol w:w="347"/>
        <w:gridCol w:w="275"/>
        <w:gridCol w:w="109"/>
        <w:gridCol w:w="109"/>
        <w:gridCol w:w="109"/>
        <w:gridCol w:w="220"/>
        <w:gridCol w:w="625"/>
        <w:gridCol w:w="122"/>
        <w:gridCol w:w="109"/>
        <w:gridCol w:w="109"/>
        <w:gridCol w:w="109"/>
        <w:gridCol w:w="1147"/>
        <w:gridCol w:w="839"/>
        <w:gridCol w:w="1201"/>
      </w:tblGrid>
      <w:tr>
        <w:trPr/>
        <w:tc>
          <w:tcPr>
            <w:tcW w:w="4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Tenants</w:t>
            </w:r>
          </w:p>
        </w:tc>
      </w:tr>
      <w:tr>
        <w:trPr/>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Monte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Monterey,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 Foods / Macy's / Petco / Pottery Barn / Apple / Sephora</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Town Center Crossing &amp; </w:t>
              <w:br/>
              <w:t>Town Center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8"/>
              </w:rPr>
            </w:pPr>
            <w:r>
              <w:rPr>
                <w:rFonts w:ascii="Times New Roman;serif" w:hAnsi="Times New Roman;serif"/>
                <w:b w:val="false"/>
                <w:color w:val="000000"/>
                <w:sz w:val="18"/>
              </w:rPr>
              <w:t>Leawood, Kansas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Trader Joe’s / Crate &amp; Barrel / Pottery Barn / Restoration Hardware / Apple / Aritzia</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Annapolis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Annapolis,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 Foods / Restoration Hardware / Pottery Barn / Williams Sonoma / Life Time Fitness / Anthropologie</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Village Pointe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Omaha, 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Nordstrom Rack / Best Buy / Apple / Sephora / lululemon</w:t>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18"/>
          <w:u w:val="single"/>
        </w:rPr>
      </w:pPr>
      <w:r>
        <w:rPr>
          <w:rFonts w:ascii="Times New Roman;serif" w:hAnsi="Times New Roman;serif"/>
          <w:b/>
          <w:color w:val="000000"/>
          <w:sz w:val="18"/>
          <w:u w:val="single"/>
        </w:rPr>
        <w:t>Property Dispositions</w:t>
      </w:r>
    </w:p>
    <w:tbl>
      <w:tblPr>
        <w:tblW w:w="8316" w:type="dxa"/>
        <w:jc w:val="left"/>
        <w:tblInd w:w="0" w:type="dxa"/>
        <w:tblLayout w:type="fixed"/>
        <w:tblCellMar>
          <w:top w:w="28" w:type="dxa"/>
          <w:left w:w="28" w:type="dxa"/>
          <w:bottom w:w="28" w:type="dxa"/>
          <w:right w:w="28" w:type="dxa"/>
        </w:tblCellMar>
      </w:tblPr>
      <w:tblGrid>
        <w:gridCol w:w="547"/>
        <w:gridCol w:w="482"/>
        <w:gridCol w:w="486"/>
        <w:gridCol w:w="109"/>
        <w:gridCol w:w="109"/>
        <w:gridCol w:w="109"/>
        <w:gridCol w:w="919"/>
        <w:gridCol w:w="919"/>
        <w:gridCol w:w="922"/>
        <w:gridCol w:w="109"/>
        <w:gridCol w:w="109"/>
        <w:gridCol w:w="109"/>
        <w:gridCol w:w="664"/>
        <w:gridCol w:w="664"/>
        <w:gridCol w:w="667"/>
        <w:gridCol w:w="109"/>
        <w:gridCol w:w="109"/>
        <w:gridCol w:w="109"/>
        <w:gridCol w:w="230"/>
        <w:gridCol w:w="654"/>
        <w:gridCol w:w="181"/>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 Price</w:t>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Marsh Other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Residential (1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 Angeles,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Bristol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Bristol,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&amp; Rose Residential (1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Bethesda,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Residential (1 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Financing Transactions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Issuance of Common Shares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On March 28, 2025, we settled our remaining open forward sales agreements by issuing 476,497 common shares which were sold at a weighted average gross offering price of $115.43.</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Term Loans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December 31, 2025. Under an accordion feature, we have the right to request additional loans, subject to an aggregate maximum of $1.0 billion borrowed under the restated agreement. Additionally, on May 1, 2025, the interest rate was reduced by removing the 0.10% adjustment to SOFR</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November 17, 2025, we entered into an additional unsecured term loan agreement, which gives us the capacity to borrow up to $250.0 million at an interest rate of SOFR + 85 basis points, based on our current credit rating. The loan matures on January 31, 2031, and as of December 31, 2025, we do not have any outstanding borrowings under this agreement. Under an accordion feature, we have the right to request additional loans, subject to an aggregate maximum of $500.0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2963"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181"/>
        <w:gridCol w:w="541"/>
        <w:gridCol w:w="109"/>
        <w:gridCol w:w="109"/>
        <w:gridCol w:w="143"/>
        <w:gridCol w:w="143"/>
        <w:gridCol w:w="109"/>
        <w:gridCol w:w="109"/>
        <w:gridCol w:w="109"/>
        <w:gridCol w:w="109"/>
        <w:gridCol w:w="308"/>
        <w:gridCol w:w="308"/>
        <w:gridCol w:w="131"/>
        <w:gridCol w:w="109"/>
        <w:gridCol w:w="109"/>
        <w:gridCol w:w="109"/>
        <w:gridCol w:w="186"/>
        <w:gridCol w:w="175"/>
        <w:gridCol w:w="341"/>
        <w:gridCol w:w="109"/>
        <w:gridCol w:w="109"/>
        <w:gridCol w:w="109"/>
        <w:gridCol w:w="221"/>
        <w:gridCol w:w="221"/>
        <w:gridCol w:w="429"/>
        <w:gridCol w:w="109"/>
        <w:gridCol w:w="109"/>
        <w:gridCol w:w="109"/>
        <w:gridCol w:w="200"/>
        <w:gridCol w:w="200"/>
        <w:gridCol w:w="201"/>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37"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1037"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1037"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Occupied(1)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Rent PSF (2)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Harris Teeter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Apple / Anthropologie / Equinox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Ulta / Barnes &amp; Noble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$30.44</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$40.51</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$33.44</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$51.51</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$29.03</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Shoppers Food Warehouse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 Depot / Old Navy / Burlington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&amp; Rose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$47.31</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447</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7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Mercado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$35.01</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$26.17</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$31.09</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Twinbrooke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Outback Steakhouse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2909" w:type="dxa"/>
        <w:jc w:val="center"/>
        <w:tblInd w:w="0" w:type="dxa"/>
        <w:tblLayout w:type="fixed"/>
        <w:tblCellMar>
          <w:top w:w="28" w:type="dxa"/>
          <w:left w:w="28" w:type="dxa"/>
          <w:bottom w:w="28" w:type="dxa"/>
          <w:right w:w="28" w:type="dxa"/>
        </w:tblCellMar>
      </w:tblPr>
      <w:tblGrid>
        <w:gridCol w:w="364"/>
        <w:gridCol w:w="225"/>
        <w:gridCol w:w="207"/>
        <w:gridCol w:w="109"/>
        <w:gridCol w:w="109"/>
        <w:gridCol w:w="109"/>
        <w:gridCol w:w="709"/>
        <w:gridCol w:w="709"/>
        <w:gridCol w:w="713"/>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221"/>
        <w:gridCol w:w="221"/>
        <w:gridCol w:w="429"/>
        <w:gridCol w:w="109"/>
        <w:gridCol w:w="109"/>
        <w:gridCol w:w="109"/>
        <w:gridCol w:w="200"/>
        <w:gridCol w:w="200"/>
        <w:gridCol w:w="201"/>
        <w:gridCol w:w="260"/>
        <w:gridCol w:w="260"/>
        <w:gridCol w:w="261"/>
        <w:gridCol w:w="321"/>
        <w:gridCol w:w="220"/>
        <w:gridCol w:w="221"/>
        <w:gridCol w:w="109"/>
        <w:gridCol w:w="109"/>
        <w:gridCol w:w="109"/>
        <w:gridCol w:w="365"/>
        <w:gridCol w:w="200"/>
        <w:gridCol w:w="201"/>
        <w:gridCol w:w="570"/>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28"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11028"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11028"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Occupied(1)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Rent PSF (2)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(3)</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Virginia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210,985 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 / BJ's Wholesale Club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Westpost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Wildwood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$114.79</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Balducci's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2,843,002 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$37.95</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Walmart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$25.79</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 / El Super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Sprouts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Monte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Salinas,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Macy's / Petco / Pottery Barn / Apple / Sephora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Bay Bridge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Pak-N-Save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Nordstrom Rack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Escondido Promenade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Fourth Street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$41.11</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Freedom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Smart &amp; Final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Grossmont Center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179,404 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Barnes &amp; Noble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Hastings Ranch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Olivo at Mission Hills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Pinole Vista Crossing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FoodMaxx</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Superior Grocers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311,269 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$49.24</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1,388,528 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$57.21</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554</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Container Store / Best Buy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Westgate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3,230,375 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7,169,000 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3007" w:type="dxa"/>
        <w:jc w:val="center"/>
        <w:tblInd w:w="0" w:type="dxa"/>
        <w:tblLayout w:type="fixed"/>
        <w:tblCellMar>
          <w:top w:w="28" w:type="dxa"/>
          <w:left w:w="28" w:type="dxa"/>
          <w:bottom w:w="28" w:type="dxa"/>
          <w:right w:w="28" w:type="dxa"/>
        </w:tblCellMar>
      </w:tblPr>
      <w:tblGrid>
        <w:gridCol w:w="402"/>
        <w:gridCol w:w="262"/>
        <w:gridCol w:w="207"/>
        <w:gridCol w:w="113"/>
        <w:gridCol w:w="109"/>
        <w:gridCol w:w="109"/>
        <w:gridCol w:w="817"/>
        <w:gridCol w:w="817"/>
        <w:gridCol w:w="497"/>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221"/>
        <w:gridCol w:w="221"/>
        <w:gridCol w:w="429"/>
        <w:gridCol w:w="109"/>
        <w:gridCol w:w="109"/>
        <w:gridCol w:w="109"/>
        <w:gridCol w:w="200"/>
        <w:gridCol w:w="200"/>
        <w:gridCol w:w="201"/>
        <w:gridCol w:w="260"/>
        <w:gridCol w:w="260"/>
        <w:gridCol w:w="261"/>
        <w:gridCol w:w="220"/>
        <w:gridCol w:w="220"/>
        <w:gridCol w:w="221"/>
        <w:gridCol w:w="109"/>
        <w:gridCol w:w="109"/>
        <w:gridCol w:w="109"/>
        <w:gridCol w:w="410"/>
        <w:gridCol w:w="200"/>
        <w:gridCol w:w="201"/>
        <w:gridCol w:w="599"/>
        <w:gridCol w:w="241"/>
        <w:gridCol w:w="19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06"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1006"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1006"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Occupied(1)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Rent PSF (2)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Brick Plaza</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105,246 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$23.66</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 35</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Gap / Tommy's Tavern + Tap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Darien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154,790 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$48.04</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124</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Fresh Meadows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$41.67</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 Island of Gold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Georgetowne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$43.82</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Farms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Greenwich Avenue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$96.19</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Hauppauge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Hoboken</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(5) (7) </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236,115 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$62.98</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113,947 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Petsmart / REI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$23.07</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 / Stop &amp; Shop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Melville Mall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$30.84</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Uncle Giuseppe's Marketplace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Dick's Sporting 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Mercer on One</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126,751 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$29.16</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Grove at Shrewsbury</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 (6)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138,621 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Bloomies / lululemon / Anthropologie / Pottery Barn / Williams 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Troy Hills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$20.09</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Floor &amp; Décor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1,417,850 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3,276,000 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New England</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Assembly Row / Assembly Square Marketplace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$41.61</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AMC / Nike / Burlington / World Market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Campus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Chelsea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Dedham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Linden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160,322 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$53.28</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 Dartmouth</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Providence-Warwick, RI-MA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Stop &amp; Shop</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Queen Anne Plaza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Big Y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New England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1,461,214 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2,249,000 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Philadelphia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Andorra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$15.30</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797" w:type="dxa"/>
        <w:jc w:val="center"/>
        <w:tblInd w:w="0" w:type="dxa"/>
        <w:tblLayout w:type="fixed"/>
        <w:tblCellMar>
          <w:top w:w="28" w:type="dxa"/>
          <w:left w:w="28" w:type="dxa"/>
          <w:bottom w:w="28" w:type="dxa"/>
          <w:right w:w="28" w:type="dxa"/>
        </w:tblCellMar>
      </w:tblPr>
      <w:tblGrid>
        <w:gridCol w:w="429"/>
        <w:gridCol w:w="205"/>
        <w:gridCol w:w="207"/>
        <w:gridCol w:w="109"/>
        <w:gridCol w:w="109"/>
        <w:gridCol w:w="109"/>
        <w:gridCol w:w="709"/>
        <w:gridCol w:w="709"/>
        <w:gridCol w:w="713"/>
        <w:gridCol w:w="616"/>
        <w:gridCol w:w="109"/>
        <w:gridCol w:w="409"/>
        <w:gridCol w:w="207"/>
        <w:gridCol w:w="161"/>
        <w:gridCol w:w="361"/>
        <w:gridCol w:w="109"/>
        <w:gridCol w:w="180"/>
        <w:gridCol w:w="181"/>
        <w:gridCol w:w="109"/>
        <w:gridCol w:w="360"/>
        <w:gridCol w:w="361"/>
        <w:gridCol w:w="109"/>
        <w:gridCol w:w="360"/>
        <w:gridCol w:w="361"/>
        <w:gridCol w:w="131"/>
        <w:gridCol w:w="143"/>
        <w:gridCol w:w="143"/>
        <w:gridCol w:w="211"/>
        <w:gridCol w:w="186"/>
        <w:gridCol w:w="175"/>
        <w:gridCol w:w="341"/>
        <w:gridCol w:w="143"/>
        <w:gridCol w:w="143"/>
        <w:gridCol w:w="211"/>
        <w:gridCol w:w="221"/>
        <w:gridCol w:w="221"/>
        <w:gridCol w:w="429"/>
        <w:gridCol w:w="170"/>
        <w:gridCol w:w="170"/>
        <w:gridCol w:w="171"/>
        <w:gridCol w:w="200"/>
        <w:gridCol w:w="200"/>
        <w:gridCol w:w="201"/>
        <w:gridCol w:w="260"/>
        <w:gridCol w:w="260"/>
        <w:gridCol w:w="261"/>
        <w:gridCol w:w="220"/>
        <w:gridCol w:w="220"/>
        <w:gridCol w:w="221"/>
        <w:gridCol w:w="109"/>
        <w:gridCol w:w="109"/>
        <w:gridCol w:w="109"/>
        <w:gridCol w:w="335"/>
        <w:gridCol w:w="200"/>
        <w:gridCol w:w="201"/>
        <w:gridCol w:w="645"/>
        <w:gridCol w:w="195"/>
        <w:gridCol w:w="19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71" w:type="dxa"/>
            <w:gridSpan w:val="5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2871" w:type="dxa"/>
            <w:gridSpan w:val="5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12871" w:type="dxa"/>
            <w:gridSpan w:val="5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90" w:type="dxa"/>
            <w:gridSpan w:val="4"/>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Occupied(1)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Rent PSF (2)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 Cynwyd on City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$19.76</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Redner's Warehouse Markets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$25.46</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Amazon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$32.54</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$24.70</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Annapolis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177,429 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$34.67</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 /</w:t>
              <w:br/>
              <w:t>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Restoration Hardware / Pottery Barn / Williams Sonoma / Life Time Fitness / Anthropologie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$17.07</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Dick's Sporting Goods / Micro Center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138,205 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$29.05</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$47.89</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$24.55</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465,498 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206,465 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$50.24</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$25.59</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$33.70</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106,378 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$30.53</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Costco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$35.10</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Chicago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Crossroads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Ulta / Binny's / Ferguson Home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Finley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$18.96</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Michaels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Garden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Mariano's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12551" w:type="dxa"/>
        <w:jc w:val="center"/>
        <w:tblInd w:w="0" w:type="dxa"/>
        <w:tblLayout w:type="fixed"/>
        <w:tblCellMar>
          <w:top w:w="28" w:type="dxa"/>
          <w:left w:w="28" w:type="dxa"/>
          <w:bottom w:w="28" w:type="dxa"/>
          <w:right w:w="28" w:type="dxa"/>
        </w:tblCellMar>
      </w:tblPr>
      <w:tblGrid>
        <w:gridCol w:w="339"/>
        <w:gridCol w:w="205"/>
        <w:gridCol w:w="207"/>
        <w:gridCol w:w="109"/>
        <w:gridCol w:w="109"/>
        <w:gridCol w:w="109"/>
        <w:gridCol w:w="539"/>
        <w:gridCol w:w="539"/>
        <w:gridCol w:w="543"/>
        <w:gridCol w:w="109"/>
        <w:gridCol w:w="181"/>
        <w:gridCol w:w="826"/>
        <w:gridCol w:w="109"/>
        <w:gridCol w:w="109"/>
        <w:gridCol w:w="247"/>
        <w:gridCol w:w="249"/>
        <w:gridCol w:w="109"/>
        <w:gridCol w:w="109"/>
        <w:gridCol w:w="109"/>
        <w:gridCol w:w="109"/>
        <w:gridCol w:w="412"/>
        <w:gridCol w:w="414"/>
        <w:gridCol w:w="131"/>
        <w:gridCol w:w="109"/>
        <w:gridCol w:w="109"/>
        <w:gridCol w:w="109"/>
        <w:gridCol w:w="164"/>
        <w:gridCol w:w="164"/>
        <w:gridCol w:w="363"/>
        <w:gridCol w:w="109"/>
        <w:gridCol w:w="109"/>
        <w:gridCol w:w="109"/>
        <w:gridCol w:w="206"/>
        <w:gridCol w:w="206"/>
        <w:gridCol w:w="459"/>
        <w:gridCol w:w="109"/>
        <w:gridCol w:w="109"/>
        <w:gridCol w:w="109"/>
        <w:gridCol w:w="200"/>
        <w:gridCol w:w="200"/>
        <w:gridCol w:w="201"/>
        <w:gridCol w:w="260"/>
        <w:gridCol w:w="260"/>
        <w:gridCol w:w="261"/>
        <w:gridCol w:w="220"/>
        <w:gridCol w:w="220"/>
        <w:gridCol w:w="221"/>
        <w:gridCol w:w="109"/>
        <w:gridCol w:w="109"/>
        <w:gridCol w:w="109"/>
        <w:gridCol w:w="200"/>
        <w:gridCol w:w="200"/>
        <w:gridCol w:w="201"/>
        <w:gridCol w:w="449"/>
        <w:gridCol w:w="316"/>
        <w:gridCol w:w="196"/>
        <w:gridCol w:w="154"/>
      </w:tblGrid>
      <w:tr>
        <w:trPr/>
        <w:tc>
          <w:tcPr>
            <w:tcW w:w="3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35"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10835"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10835" w:type="dxa"/>
            <w:gridSpan w:val="5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115" w:type="dxa"/>
            <w:gridSpan w:val="4"/>
            <w:tcBorders/>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Occupied(1)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Rent PSF (2)</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(3)</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Riverpoint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$22.00</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Jewel Osco</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Chicago</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$19.88</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Barracks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$29.95</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Nordstrom Last Chance / Best Buy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Detroit-Warren-Dearborn, MI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Best Buy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Shops at Hilton Village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w:t>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$36.78</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Town Center Crossing / Town Center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Kansas City, MO-KS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$37.14</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Pottery Barn / Restoration Hardware / Apple / Aritzia / Macy's (S) / Dick's House of Sport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29th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Lawn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$23.49</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Pointe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Omaha, NE-IA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$26.43</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Best Buy / Apple / Sephora / lululemon / Scheels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943,031 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11,639,902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2,318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28,798,000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96</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94</w:t>
            </w:r>
            <w:r>
              <w:rPr>
                <w:color w:val="000000"/>
              </w:rPr>
              <w:t>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$32.79</w:t>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2,678</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2"/>
        <w:gridCol w:w="168"/>
        <w:gridCol w:w="170"/>
        <w:gridCol w:w="2832"/>
        <w:gridCol w:w="2832"/>
        <w:gridCol w:w="4011"/>
      </w:tblGrid>
      <w:tr>
        <w:trPr/>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Represents the GLA,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Calculated as the aggregate, annualized in-place contractual (defined as cash basis excluding rent abatements) minimum rents for all occupied spaces divided by the aggregate GLA of all occupied spaces.</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TBA indicates that a lease is signed.</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this property is owned pursuant to a ground lease.</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The Trust has a controlling financial interest in this property.</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9675"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9675"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40 buildings primarily along Washington Street and 14th Street in Hoboken, New Jersey.</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CocoWalk and four buildings in Coconut Grove.</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t>
            </w:r>
          </w:p>
        </w:tc>
        <w:tc>
          <w:tcPr>
            <w:tcW w:w="9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Shadow anchor located adjacent to the property, but is not part of the owned property.</w:t>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967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14389"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961"/>
        <w:gridCol w:w="109"/>
        <w:gridCol w:w="109"/>
        <w:gridCol w:w="109"/>
        <w:gridCol w:w="109"/>
        <w:gridCol w:w="167"/>
        <w:gridCol w:w="167"/>
        <w:gridCol w:w="372"/>
        <w:gridCol w:w="109"/>
        <w:gridCol w:w="109"/>
        <w:gridCol w:w="109"/>
        <w:gridCol w:w="196"/>
        <w:gridCol w:w="556"/>
        <w:gridCol w:w="241"/>
        <w:gridCol w:w="109"/>
        <w:gridCol w:w="109"/>
        <w:gridCol w:w="109"/>
        <w:gridCol w:w="200"/>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600,684 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2,340,282 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11,357,750 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44,851,903 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473,558 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1,499,355 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and Non-comparable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612,978 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774,890 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653,366 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429,865 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2,471,099 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65,622,131 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3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Non-comparable, and Option Exercises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836,216 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1,013,278 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827,104 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3,594,598 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65,622,131 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
        <w:gridCol w:w="171"/>
        <w:gridCol w:w="173"/>
        <w:gridCol w:w="2830"/>
        <w:gridCol w:w="2830"/>
        <w:gridCol w:w="400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Contractual rent represents annual rent under the new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rent represents contractual rent, including percentage rent considered part of base rent, from the prior tenant in the final 12 months of the term.</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is determined on the basis of contractual rent for the lease.</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 Glossary of Terms.</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Renewal leases represent expiring leases rolling over with the same tenant in the same location. All other leases are categorized as new.</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exercises reflect a fixed rate contractual option under the lease agreement that was exercised during the period reflected.</w:t>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96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8"/>
        <w:gridCol w:w="246"/>
        <w:gridCol w:w="179"/>
        <w:gridCol w:w="267"/>
        <w:gridCol w:w="367"/>
        <w:gridCol w:w="293"/>
        <w:gridCol w:w="294"/>
        <w:gridCol w:w="109"/>
        <w:gridCol w:w="109"/>
        <w:gridCol w:w="109"/>
        <w:gridCol w:w="435"/>
        <w:gridCol w:w="436"/>
        <w:gridCol w:w="268"/>
        <w:gridCol w:w="299"/>
        <w:gridCol w:w="129"/>
        <w:gridCol w:w="271"/>
        <w:gridCol w:w="386"/>
        <w:gridCol w:w="273"/>
        <w:gridCol w:w="274"/>
        <w:gridCol w:w="109"/>
        <w:gridCol w:w="109"/>
        <w:gridCol w:w="109"/>
        <w:gridCol w:w="479"/>
        <w:gridCol w:w="482"/>
        <w:gridCol w:w="270"/>
        <w:gridCol w:w="273"/>
        <w:gridCol w:w="151"/>
        <w:gridCol w:w="295"/>
        <w:gridCol w:w="403"/>
        <w:gridCol w:w="253"/>
        <w:gridCol w:w="368"/>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17,763,000 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9,332,000 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27,095,000 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12,870,000 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16,024,000 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17,763,000 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9,332,000 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27,095,000 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 reflects in-place contractual (defined as rents on a cash-basis without taking the impacts of rent abatements into account) rent as of December 31, 2025.</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occupied square footage of the commercial portion of our portfolio as of December 31, 2025.</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94 </w:t>
      </w:r>
    </w:p>
    <w:tbl>
      <w:tblPr>
        <w:tblW w:w="8257" w:type="dxa"/>
        <w:jc w:val="left"/>
        <w:tblInd w:w="0" w:type="dxa"/>
        <w:tblLayout w:type="fixed"/>
        <w:tblCellMar>
          <w:top w:w="28" w:type="dxa"/>
          <w:left w:w="28" w:type="dxa"/>
          <w:bottom w:w="28" w:type="dxa"/>
          <w:right w:w="28" w:type="dxa"/>
        </w:tblCellMar>
      </w:tblPr>
      <w:tblGrid>
        <w:gridCol w:w="1038"/>
        <w:gridCol w:w="910"/>
        <w:gridCol w:w="916"/>
        <w:gridCol w:w="354"/>
        <w:gridCol w:w="354"/>
        <w:gridCol w:w="836"/>
        <w:gridCol w:w="109"/>
        <w:gridCol w:w="109"/>
        <w:gridCol w:w="109"/>
        <w:gridCol w:w="369"/>
        <w:gridCol w:w="369"/>
        <w:gridCol w:w="867"/>
        <w:gridCol w:w="109"/>
        <w:gridCol w:w="109"/>
        <w:gridCol w:w="109"/>
        <w:gridCol w:w="333"/>
        <w:gridCol w:w="333"/>
        <w:gridCol w:w="92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Leased Statistics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Properties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Leasable Area (GLA)</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26,832,000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anchor tenants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small shop tenants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commercial tenant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GLA </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25,163,000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Properties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and residential units not yet placed in service.</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periods are adjusted for the current comparable property pool.</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814"/>
        <w:gridCol w:w="702"/>
        <w:gridCol w:w="594"/>
        <w:gridCol w:w="297"/>
        <w:gridCol w:w="297"/>
        <w:gridCol w:w="298"/>
        <w:gridCol w:w="203"/>
        <w:gridCol w:w="1092"/>
        <w:gridCol w:w="113"/>
        <w:gridCol w:w="418"/>
        <w:gridCol w:w="304"/>
        <w:gridCol w:w="718"/>
        <w:gridCol w:w="479"/>
        <w:gridCol w:w="482"/>
        <w:gridCol w:w="228"/>
        <w:gridCol w:w="372"/>
        <w:gridCol w:w="258"/>
        <w:gridCol w:w="610"/>
        <w:gridCol w:w="315"/>
        <w:gridCol w:w="315"/>
        <w:gridCol w:w="45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Tenant Name</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Credit Ratings </w:t>
              <w:br/>
              <w:t>(S&amp;P/Moody's) (1)</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Annualized Base Rent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Annualized Base Rent (3)</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Tenant GLA</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GLA (3)</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TJX Companies,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Ahold Delhaize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NetApp,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Cisco Systems,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Gap, Inc.,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KnitWell Group (Ann Taylor, Chico's, Loft, Talbots, White House Black Market, Soma, Lane Bryant)</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Amazon/Whole Foods</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Fitness International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Albertsons Companies Inc. (Acme, Balducci's, Safeway)</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Depot,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Dick's Sporting Goods,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Entertainment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Kroger Co.,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PUMA North America,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Ulta Beauty,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America, N.A.</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PwC US Group LLP</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Bob's Discount Furniture,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Choice Hotels International,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Michaels Stores,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J.Crew Group,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Starbucks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Target Corporation</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 Top 25 Tenants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235,294,000 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984,491,000 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31,242,000 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Ratings are as of December 31, 2025.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r>
    </w:tbl>
    <w:p>
      <w:pPr>
        <w:pStyle w:val="TextBody"/>
        <w:bidi w:val="0"/>
        <w:spacing w:before="0" w:after="0"/>
        <w:jc w:val="left"/>
        <w:rPr/>
      </w:pPr>
      <w:r>
        <w:rPr/>
      </w:r>
    </w:p>
    <w:tbl>
      <w:tblPr>
        <w:tblW w:w="9259" w:type="dxa"/>
        <w:jc w:val="left"/>
        <w:tblInd w:w="0" w:type="dxa"/>
        <w:tblLayout w:type="fixed"/>
        <w:tblCellMar>
          <w:top w:w="28" w:type="dxa"/>
          <w:left w:w="28" w:type="dxa"/>
          <w:bottom w:w="28" w:type="dxa"/>
          <w:right w:w="28" w:type="dxa"/>
        </w:tblCellMar>
      </w:tblPr>
      <w:tblGrid>
        <w:gridCol w:w="1929"/>
        <w:gridCol w:w="1692"/>
        <w:gridCol w:w="1704"/>
        <w:gridCol w:w="109"/>
        <w:gridCol w:w="109"/>
        <w:gridCol w:w="109"/>
        <w:gridCol w:w="109"/>
        <w:gridCol w:w="109"/>
        <w:gridCol w:w="109"/>
        <w:gridCol w:w="389"/>
        <w:gridCol w:w="389"/>
        <w:gridCol w:w="391"/>
        <w:gridCol w:w="109"/>
        <w:gridCol w:w="109"/>
        <w:gridCol w:w="109"/>
        <w:gridCol w:w="521"/>
        <w:gridCol w:w="521"/>
        <w:gridCol w:w="742"/>
      </w:tblGrid>
      <w:tr>
        <w:trPr/>
        <w:tc>
          <w:tcPr>
            <w:tcW w:w="192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Guidance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Guidance (1)</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$3.90 - $4.00</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properties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- 3.5%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 $8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 $15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 $49 million</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Development/redevelopment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 $225 million</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 $12 million</w:t>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(1)Does not include the impact of acquisitions or dispositions other than those which have closed as of February 11, 2026. All amounts are estimates.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following table provides a reconciliation of the range of estimated earnings per diluted share to estimated Nareit FFO and Core FFO per diluted share for the full year 2026:</w:t>
      </w:r>
    </w:p>
    <w:tbl>
      <w:tblPr>
        <w:tblW w:w="9338" w:type="dxa"/>
        <w:jc w:val="left"/>
        <w:tblInd w:w="0" w:type="dxa"/>
        <w:tblLayout w:type="fixed"/>
        <w:tblCellMar>
          <w:top w:w="28" w:type="dxa"/>
          <w:left w:w="28" w:type="dxa"/>
          <w:bottom w:w="28" w:type="dxa"/>
          <w:right w:w="28" w:type="dxa"/>
        </w:tblCellMar>
      </w:tblPr>
      <w:tblGrid>
        <w:gridCol w:w="124"/>
        <w:gridCol w:w="109"/>
        <w:gridCol w:w="109"/>
        <w:gridCol w:w="2043"/>
        <w:gridCol w:w="2043"/>
        <w:gridCol w:w="2048"/>
        <w:gridCol w:w="297"/>
        <w:gridCol w:w="720"/>
        <w:gridCol w:w="153"/>
        <w:gridCol w:w="153"/>
        <w:gridCol w:w="153"/>
        <w:gridCol w:w="153"/>
        <w:gridCol w:w="297"/>
        <w:gridCol w:w="720"/>
        <w:gridCol w:w="2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2026 Guidance Range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net income available for common shareholders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sale of real estate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Nareit FFO and Core FFO per diluted share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Glossary of Terms. Individual items may not add up to total due to rounding.</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(3)Below is our Nareit FFO and Core FFO for 2024, 2025, and estimated 2026, per diluted share:</w:t>
      </w:r>
    </w:p>
    <w:tbl>
      <w:tblPr>
        <w:tblW w:w="9895" w:type="dxa"/>
        <w:jc w:val="left"/>
        <w:tblInd w:w="0" w:type="dxa"/>
        <w:tblLayout w:type="fixed"/>
        <w:tblCellMar>
          <w:top w:w="28" w:type="dxa"/>
          <w:left w:w="28" w:type="dxa"/>
          <w:bottom w:w="28" w:type="dxa"/>
          <w:right w:w="28" w:type="dxa"/>
        </w:tblCellMar>
      </w:tblPr>
      <w:tblGrid>
        <w:gridCol w:w="124"/>
        <w:gridCol w:w="109"/>
        <w:gridCol w:w="109"/>
        <w:gridCol w:w="1870"/>
        <w:gridCol w:w="1870"/>
        <w:gridCol w:w="1880"/>
        <w:gridCol w:w="260"/>
        <w:gridCol w:w="630"/>
        <w:gridCol w:w="134"/>
        <w:gridCol w:w="109"/>
        <w:gridCol w:w="109"/>
        <w:gridCol w:w="109"/>
        <w:gridCol w:w="211"/>
        <w:gridCol w:w="511"/>
        <w:gridCol w:w="109"/>
        <w:gridCol w:w="109"/>
        <w:gridCol w:w="109"/>
        <w:gridCol w:w="109"/>
        <w:gridCol w:w="416"/>
        <w:gridCol w:w="416"/>
        <w:gridCol w:w="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Guidance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Percentage growth over the prior year</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- 4.2%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 net</w:t>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 $7.52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Percentage growth over the prior year</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- 6.5%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Glossary of Terms. Individual items may not add up to total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pPr>
      <w:r>
        <w:rPr>
          <w:rFonts w:ascii="Times New Roman;serif" w:hAnsi="Times New Roman;serif"/>
          <w:b w:val="false"/>
          <w:color w:val="000000"/>
          <w:sz w:val="20"/>
        </w:rPr>
        <w:t xml:space="preserve">(4)Reflects the estimated additional POI to be recognized in the period indicated versus the prior year or prior year quarter period as applicable. Projects included in incremental redevelopment/expansion POI included Huntington Shopping Center, Santana West, Pike &amp; Rose - 915 Meeting Street, and Bala Cynwyd on City Avenue for all periods presented. See page </w:t>
      </w:r>
      <w:hyperlink w:anchor="i3d07ce91f79c4b3bbba0f408c71a43b4_34">
        <w:r>
          <w:rPr>
            <w:rStyle w:val="InternetLink"/>
            <w:rFonts w:ascii="Times New Roman;serif" w:hAnsi="Times New Roman;serif"/>
            <w:b w:val="false"/>
            <w:strike w:val="false"/>
            <w:dstrike w:val="false"/>
            <w:color w:val="000000"/>
            <w:sz w:val="20"/>
            <w:u w:val="none"/>
            <w:effect w:val="none"/>
          </w:rPr>
          <w:t>17</w:t>
        </w:r>
      </w:hyperlink>
      <w:r>
        <w:rPr>
          <w:rFonts w:ascii="Times New Roman;serif" w:hAnsi="Times New Roman;serif"/>
          <w:b w:val="false"/>
          <w:color w:val="000000"/>
          <w:sz w:val="20"/>
        </w:rPr>
        <w:t xml:space="preserve"> for information on these projects and note 2 of page </w:t>
      </w:r>
      <w:hyperlink w:anchor="i3d07ce91f79c4b3bbba0f408c71a43b4_34">
        <w:r>
          <w:rPr>
            <w:rStyle w:val="InternetLink"/>
            <w:rFonts w:ascii="Times New Roman;serif" w:hAnsi="Times New Roman;serif"/>
            <w:b w:val="false"/>
            <w:strike w:val="false"/>
            <w:dstrike w:val="false"/>
            <w:color w:val="000000"/>
            <w:sz w:val="20"/>
            <w:u w:val="none"/>
            <w:effect w:val="none"/>
          </w:rPr>
          <w:t>17</w:t>
        </w:r>
      </w:hyperlink>
      <w:r>
        <w:rPr>
          <w:rFonts w:ascii="Times New Roman;serif" w:hAnsi="Times New Roman;serif"/>
          <w:b w:val="false"/>
          <w:color w:val="000000"/>
          <w:sz w:val="20"/>
        </w:rPr>
        <w:t xml:space="preserve"> for the definition of POI.</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2"/>
        <w:gridCol w:w="1112"/>
        <w:gridCol w:w="1114"/>
        <w:gridCol w:w="333"/>
        <w:gridCol w:w="571"/>
        <w:gridCol w:w="172"/>
        <w:gridCol w:w="333"/>
        <w:gridCol w:w="571"/>
        <w:gridCol w:w="172"/>
        <w:gridCol w:w="393"/>
        <w:gridCol w:w="673"/>
        <w:gridCol w:w="204"/>
        <w:gridCol w:w="109"/>
        <w:gridCol w:w="109"/>
        <w:gridCol w:w="109"/>
        <w:gridCol w:w="211"/>
        <w:gridCol w:w="361"/>
        <w:gridCol w:w="109"/>
        <w:gridCol w:w="211"/>
        <w:gridCol w:w="361"/>
        <w:gridCol w:w="109"/>
        <w:gridCol w:w="211"/>
        <w:gridCol w:w="361"/>
        <w:gridCol w:w="109"/>
        <w:gridCol w:w="211"/>
        <w:gridCol w:w="361"/>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Quarterly Estimates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Actual</w:t>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1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1Q</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w:t>
            </w:r>
          </w:p>
        </w:tc>
        <w:tc>
          <w:tcPr>
            <w:tcW w:w="7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4Q</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redevelopment/expansion POI</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w:t>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jc w:val="left"/>
        <w:rPr/>
      </w:pPr>
      <w:r>
        <w:rPr>
          <w:rFonts w:ascii="Times New Roman;serif" w:hAnsi="Times New Roman;serif"/>
          <w:b/>
          <w:color w:val="000000"/>
          <w:sz w:val="18"/>
        </w:rPr>
        <w:t>EBITDA for Real Estate (EBITDAre):</w:t>
      </w:r>
      <w:r>
        <w:rPr>
          <w:color w:val="000000"/>
        </w:rPr>
        <w:t xml:space="preserve"> </w:t>
      </w:r>
      <w:r>
        <w:rPr>
          <w:rFonts w:ascii="Times New Roman;serif" w:hAnsi="Times New Roman;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pStyle w:val="TextBody"/>
        <w:bidi w:val="0"/>
        <w:spacing w:lineRule="auto" w:line="288" w:before="180" w:after="283"/>
        <w:jc w:val="left"/>
        <w:rPr/>
      </w:pPr>
      <w:r>
        <w:rPr>
          <w:rFonts w:ascii="Times New Roman;serif" w:hAnsi="Times New Roman;serif"/>
          <w:b/>
          <w:color w:val="000000"/>
          <w:sz w:val="18"/>
        </w:rPr>
        <w:t>Nareit-defined Funds From Operations (Nareit FFO):</w:t>
      </w:r>
      <w:r>
        <w:rPr>
          <w:color w:val="000000"/>
        </w:rPr>
        <w:t xml:space="preserve"> </w:t>
      </w:r>
      <w:r>
        <w:rPr>
          <w:rFonts w:ascii="Times New Roman;serif" w:hAnsi="Times New Roman;serif"/>
          <w:b w:val="false"/>
          <w:color w:val="000000"/>
          <w:sz w:val="18"/>
        </w:rPr>
        <w:t xml:space="preserve">Nareit 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Nareit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Nareit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Nareit FFO to similarly titled measures for other REITs may not necessarily be meaningful due to possible differences in the application of the Nareit definition used by such REITs. </w:t>
      </w:r>
    </w:p>
    <w:p>
      <w:pPr>
        <w:pStyle w:val="TextBody"/>
        <w:bidi w:val="0"/>
        <w:spacing w:lineRule="auto" w:line="288" w:before="180" w:after="283"/>
        <w:jc w:val="left"/>
        <w:rPr/>
      </w:pPr>
      <w:r>
        <w:rPr>
          <w:rFonts w:ascii="Times New Roman;serif" w:hAnsi="Times New Roman;serif"/>
          <w:b/>
          <w:color w:val="000000"/>
          <w:sz w:val="18"/>
        </w:rPr>
        <w:t>Core Funds From Operations (Core FFO):</w:t>
      </w:r>
      <w:r>
        <w:rPr>
          <w:color w:val="000000"/>
        </w:rPr>
        <w:t xml:space="preserve"> </w:t>
      </w:r>
      <w:r>
        <w:rPr>
          <w:rFonts w:ascii="Times New Roman;serif" w:hAnsi="Times New Roman;serif"/>
          <w:b w:val="false"/>
          <w:color w:val="000000"/>
          <w:sz w:val="18"/>
        </w:rPr>
        <w:t>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pStyle w:val="TextBody"/>
        <w:bidi w:val="0"/>
        <w:spacing w:lineRule="auto" w:line="288" w:before="180" w:after="283"/>
        <w:jc w:val="left"/>
        <w:rPr/>
      </w:pPr>
      <w:r>
        <w:rPr>
          <w:rFonts w:ascii="Times New Roman;serif" w:hAnsi="Times New Roman;serif"/>
          <w:b/>
          <w:color w:val="000000"/>
          <w:sz w:val="18"/>
        </w:rPr>
        <w:t xml:space="preserve">Property Operating Income: </w:t>
      </w:r>
      <w:r>
        <w:rPr>
          <w:rFonts w:ascii="Times New Roman;serif" w:hAnsi="Times New Roman;serif"/>
          <w:b w:val="false"/>
          <w:color w:val="000000"/>
          <w:sz w:val="18"/>
        </w:rPr>
        <w:t>Total revenue less rental expenses and real estate taxes.</w:t>
      </w:r>
    </w:p>
    <w:p>
      <w:pPr>
        <w:pStyle w:val="TextBody"/>
        <w:bidi w:val="0"/>
        <w:spacing w:lineRule="auto" w:line="288" w:before="180" w:after="283"/>
        <w:jc w:val="left"/>
        <w:rPr/>
      </w:pPr>
      <w:r>
        <w:rPr>
          <w:rFonts w:ascii="Times New Roman;serif" w:hAnsi="Times New Roman;serif"/>
          <w:b/>
          <w:color w:val="000000"/>
          <w:sz w:val="18"/>
        </w:rPr>
        <w:t>Overall Portfolio:</w:t>
      </w:r>
      <w:r>
        <w:rPr>
          <w:color w:val="000000"/>
        </w:rPr>
        <w:t xml:space="preserve"> </w:t>
      </w:r>
      <w:r>
        <w:rPr>
          <w:rFonts w:ascii="Times New Roman;serif" w:hAnsi="Times New Roman;serif"/>
          <w:b w:val="false"/>
          <w:color w:val="000000"/>
          <w:sz w:val="18"/>
        </w:rPr>
        <w:t>Includes all consolidated operating properties owned in reporting period.</w:t>
      </w:r>
    </w:p>
    <w:p>
      <w:pPr>
        <w:pStyle w:val="TextBody"/>
        <w:bidi w:val="0"/>
        <w:spacing w:lineRule="auto" w:line="288" w:before="180" w:after="283"/>
        <w:jc w:val="left"/>
        <w:rPr/>
      </w:pPr>
      <w:r>
        <w:rPr>
          <w:rFonts w:ascii="Times New Roman;serif" w:hAnsi="Times New Roman;serif"/>
          <w:b/>
          <w:color w:val="000000"/>
          <w:sz w:val="18"/>
        </w:rPr>
        <w:t xml:space="preserve">Comparable Properties: </w:t>
      </w:r>
      <w:r>
        <w:rPr>
          <w:rFonts w:ascii="Times New Roman;serif" w:hAnsi="Times New Roman;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80" w:after="283"/>
        <w:jc w:val="left"/>
        <w:rPr/>
      </w:pPr>
      <w:r>
        <w:rPr>
          <w:rFonts w:ascii="Times New Roman;serif" w:hAnsi="Times New Roman;serif"/>
          <w:b/>
          <w:color w:val="000000"/>
          <w:sz w:val="18"/>
        </w:rPr>
        <w:t xml:space="preserve">Annualized Base Rent (ABR): </w:t>
      </w:r>
      <w:r>
        <w:rPr>
          <w:rFonts w:ascii="Times New Roman;serif" w:hAnsi="Times New Roman;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80" w:after="283"/>
        <w:jc w:val="left"/>
        <w:rPr/>
      </w:pPr>
      <w:r>
        <w:rPr>
          <w:rFonts w:ascii="Times New Roman;serif" w:hAnsi="Times New Roman;serif"/>
          <w:b/>
          <w:color w:val="000000"/>
          <w:sz w:val="18"/>
        </w:rPr>
        <w:t xml:space="preserve">Retail Leasing Summary - Lease Rollover Calculation: </w:t>
      </w:r>
      <w:r>
        <w:rPr>
          <w:rFonts w:ascii="Times New Roman;serif" w:hAnsi="Times New Roman;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80" w:after="283"/>
        <w:jc w:val="left"/>
        <w:rPr/>
      </w:pPr>
      <w:r>
        <w:rPr>
          <w:rFonts w:ascii="Times New Roman;serif" w:hAnsi="Times New Roman;serif"/>
          <w:b/>
          <w:color w:val="000000"/>
          <w:sz w:val="18"/>
        </w:rPr>
        <w:t xml:space="preserve">Tenant Improvements and Incentives: </w:t>
      </w:r>
      <w:r>
        <w:rPr>
          <w:rFonts w:ascii="Times New Roman;serif" w:hAnsi="Times New Roman;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80" w:after="283"/>
        <w:jc w:val="left"/>
        <w:rPr/>
      </w:pPr>
      <w:r>
        <w:rPr>
          <w:rFonts w:ascii="Times New Roman;serif" w:hAnsi="Times New Roman;serif"/>
          <w:b/>
          <w:color w:val="000000"/>
          <w:sz w:val="18"/>
        </w:rPr>
        <w:t>General:</w:t>
      </w:r>
      <w:r>
        <w:rPr>
          <w:color w:val="000000"/>
        </w:rPr>
        <w:t xml:space="preserve"> </w:t>
      </w:r>
      <w:r>
        <w:rPr>
          <w:rFonts w:ascii="Times New Roman;serif" w:hAnsi="Times New Roman;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15797</Words>
  <Characters>83917</Characters>
  <CharactersWithSpaces>96820</CharactersWithSpaces>
  <Paragraphs>4891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