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333-203999</w:t>
      </w:r>
    </w:p>
    <w:p>
      <w:pPr>
        <w:spacing w:after="0" w:line="355"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FF4338"/>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JULY 7,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184" w:lineRule="exact"/>
        <w:rPr>
          <w:sz w:val="24"/>
          <w:szCs w:val="24"/>
          <w:color w:val="auto"/>
        </w:rPr>
      </w:pPr>
    </w:p>
    <w:p>
      <w:pPr>
        <w:ind w:left="530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178435</wp:posOffset>
            </wp:positionV>
            <wp:extent cx="225552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left="260"/>
        <w:spacing w:after="0"/>
        <w:rPr>
          <w:sz w:val="20"/>
          <w:szCs w:val="20"/>
          <w:color w:val="auto"/>
        </w:rPr>
      </w:pPr>
      <w:r>
        <w:rPr>
          <w:rFonts w:ascii="Arial" w:cs="Arial" w:eastAsia="Arial" w:hAnsi="Arial"/>
          <w:sz w:val="25"/>
          <w:szCs w:val="25"/>
          <w:b w:val="1"/>
          <w:bCs w:val="1"/>
          <w:color w:val="auto"/>
        </w:rPr>
        <w:t>% Notes due 2046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tabs>
          <w:tab w:leader="none" w:pos="1640" w:val="left"/>
          <w:tab w:leader="none" w:pos="4320" w:val="left"/>
          <w:tab w:leader="none" w:pos="888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tab/>
        <w:t>% Notes due 2046. The notes will bear interest at the rate of</w:t>
      </w:r>
      <w:r>
        <w:rPr>
          <w:sz w:val="20"/>
          <w:szCs w:val="20"/>
          <w:color w:val="auto"/>
        </w:rPr>
        <w:tab/>
      </w:r>
      <w:r>
        <w:rPr>
          <w:rFonts w:ascii="Arial" w:cs="Arial" w:eastAsia="Arial" w:hAnsi="Arial"/>
          <w:sz w:val="15"/>
          <w:szCs w:val="15"/>
          <w:color w:val="auto"/>
        </w:rPr>
        <w:t>% per year. Interest on the notes</w:t>
      </w:r>
    </w:p>
    <w:p>
      <w:pPr>
        <w:spacing w:after="0" w:line="23" w:lineRule="exact"/>
        <w:rPr>
          <w:sz w:val="24"/>
          <w:szCs w:val="24"/>
          <w:color w:val="auto"/>
        </w:rPr>
      </w:pPr>
    </w:p>
    <w:p>
      <w:pPr>
        <w:spacing w:after="0"/>
        <w:tabs>
          <w:tab w:leader="none" w:pos="4020" w:val="left"/>
          <w:tab w:leader="none" w:pos="5280" w:val="left"/>
          <w:tab w:leader="none" w:pos="7820" w:val="left"/>
          <w:tab w:leader="none" w:pos="10740" w:val="left"/>
        </w:tabs>
        <w:rPr>
          <w:sz w:val="20"/>
          <w:szCs w:val="20"/>
          <w:color w:val="auto"/>
        </w:rPr>
      </w:pPr>
      <w:r>
        <w:rPr>
          <w:rFonts w:ascii="Arial" w:cs="Arial" w:eastAsia="Arial" w:hAnsi="Arial"/>
          <w:sz w:val="18"/>
          <w:szCs w:val="18"/>
          <w:color w:val="auto"/>
        </w:rPr>
        <w:t>will be payable semi-annually in arears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2017. The notes will mature on</w:t>
      </w:r>
      <w:r>
        <w:rPr>
          <w:sz w:val="20"/>
          <w:szCs w:val="20"/>
          <w:color w:val="auto"/>
        </w:rPr>
        <w:tab/>
      </w:r>
      <w:r>
        <w:rPr>
          <w:rFonts w:ascii="Arial" w:cs="Arial" w:eastAsia="Arial" w:hAnsi="Arial"/>
          <w:sz w:val="16"/>
          <w:szCs w:val="16"/>
          <w:color w:val="auto"/>
        </w:rPr>
        <w:t>, 2046.</w:t>
      </w:r>
    </w:p>
    <w:p>
      <w:pPr>
        <w:spacing w:after="0" w:line="9"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We may redeem some or all of the notes at any time before maturity at the applicable redemption price discussed under the caption “Description of Notes — Optional Redemption.”</w:t>
      </w:r>
    </w:p>
    <w:p>
      <w:pPr>
        <w:spacing w:after="0" w:line="184"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2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S-5 of this prospectus supplement, on page 3 of the accompanying prospectus and in our Annual Report on Form 10-K for the year ended December 31, 2015, filed with the Securities and Exchange Commission, or the SEC, on February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40" w:type="dxa"/>
            <w:vAlign w:val="bottom"/>
            <w:gridSpan w:val="2"/>
          </w:tcPr>
          <w:p>
            <w:pPr>
              <w:ind w:left="5300"/>
              <w:spacing w:after="0"/>
              <w:rPr>
                <w:sz w:val="20"/>
                <w:szCs w:val="20"/>
                <w:color w:val="auto"/>
              </w:rPr>
            </w:pPr>
            <w:r>
              <w:rPr>
                <w:rFonts w:ascii="Arial" w:cs="Arial" w:eastAsia="Arial" w:hAnsi="Arial"/>
                <w:sz w:val="14"/>
                <w:szCs w:val="14"/>
                <w:b w:val="1"/>
                <w:bCs w:val="1"/>
                <w:color w:val="auto"/>
                <w:w w:val="90"/>
              </w:rPr>
              <w:t>Per Note</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Underwriting discount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98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98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35"/>
        </w:trPr>
        <w:tc>
          <w:tcPr>
            <w:tcW w:w="1160" w:type="dxa"/>
            <w:vAlign w:val="bottom"/>
            <w:tcBorders>
              <w:bottom w:val="single" w:sz="8" w:color="auto"/>
            </w:tcBorders>
          </w:tcPr>
          <w:p>
            <w:pPr>
              <w:spacing w:after="0"/>
              <w:rPr>
                <w:sz w:val="11"/>
                <w:szCs w:val="11"/>
                <w:color w:val="auto"/>
              </w:rPr>
            </w:pPr>
          </w:p>
        </w:tc>
        <w:tc>
          <w:tcPr>
            <w:tcW w:w="1480" w:type="dxa"/>
            <w:vAlign w:val="bottom"/>
            <w:gridSpan w:val="2"/>
          </w:tcPr>
          <w:p>
            <w:pPr>
              <w:spacing w:after="0"/>
              <w:rPr>
                <w:sz w:val="11"/>
                <w:szCs w:val="11"/>
                <w:color w:val="auto"/>
              </w:rPr>
            </w:pPr>
          </w:p>
        </w:tc>
        <w:tc>
          <w:tcPr>
            <w:tcW w:w="584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7"/>
        </w:trPr>
        <w:tc>
          <w:tcPr>
            <w:tcW w:w="2640" w:type="dxa"/>
            <w:vAlign w:val="bottom"/>
            <w:gridSpan w:val="3"/>
          </w:tcPr>
          <w:p>
            <w:pPr>
              <w:spacing w:after="0"/>
              <w:rPr>
                <w:sz w:val="20"/>
                <w:szCs w:val="20"/>
                <w:color w:val="auto"/>
              </w:rPr>
            </w:pPr>
            <w:r>
              <w:rPr>
                <w:rFonts w:ascii="Arial" w:cs="Arial" w:eastAsia="Arial" w:hAnsi="Arial"/>
                <w:sz w:val="18"/>
                <w:szCs w:val="18"/>
                <w:color w:val="auto"/>
              </w:rPr>
              <w:t>(1)   Plus accrued interest from</w:t>
            </w:r>
          </w:p>
        </w:tc>
        <w:tc>
          <w:tcPr>
            <w:tcW w:w="5840" w:type="dxa"/>
            <w:vAlign w:val="bottom"/>
            <w:gridSpan w:val="2"/>
          </w:tcPr>
          <w:p>
            <w:pPr>
              <w:ind w:left="280"/>
              <w:spacing w:after="0"/>
              <w:rPr>
                <w:sz w:val="20"/>
                <w:szCs w:val="20"/>
                <w:color w:val="auto"/>
              </w:rPr>
            </w:pPr>
            <w:r>
              <w:rPr>
                <w:rFonts w:ascii="Arial" w:cs="Arial" w:eastAsia="Arial" w:hAnsi="Arial"/>
                <w:sz w:val="18"/>
                <w:szCs w:val="18"/>
                <w:color w:val="auto"/>
              </w:rPr>
              <w:t>, 2016, if settlement occurs after that date.</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4"/>
          <w:szCs w:val="24"/>
          <w:color w:val="auto"/>
        </w:rPr>
      </w:pPr>
    </w:p>
    <w:p>
      <w:pPr>
        <w:ind w:left="540" w:right="540" w:hanging="539"/>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 2016.</w:t>
      </w:r>
    </w:p>
    <w:p>
      <w:pPr>
        <w:spacing w:after="0" w:line="166" w:lineRule="exact"/>
        <w:rPr>
          <w:sz w:val="24"/>
          <w:szCs w:val="24"/>
          <w:color w:val="auto"/>
        </w:rPr>
      </w:pPr>
    </w:p>
    <w:p>
      <w:pPr>
        <w:ind w:right="80"/>
        <w:spacing w:after="0" w:line="31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39" w:lineRule="exact"/>
        <w:rPr>
          <w:sz w:val="24"/>
          <w:szCs w:val="24"/>
          <w:color w:val="auto"/>
        </w:rPr>
      </w:pPr>
    </w:p>
    <w:p>
      <w:pPr>
        <w:spacing w:after="0"/>
        <w:tabs>
          <w:tab w:leader="none" w:pos="4600" w:val="left"/>
          <w:tab w:leader="none" w:pos="10280" w:val="left"/>
        </w:tabs>
        <w:rPr>
          <w:sz w:val="20"/>
          <w:szCs w:val="20"/>
          <w:color w:val="auto"/>
        </w:rPr>
      </w:pPr>
      <w:r>
        <w:rPr>
          <w:rFonts w:ascii="Arial" w:cs="Arial" w:eastAsia="Arial" w:hAnsi="Arial"/>
          <w:sz w:val="22"/>
          <w:szCs w:val="22"/>
          <w:b w:val="1"/>
          <w:bCs w:val="1"/>
          <w:color w:val="auto"/>
        </w:rPr>
        <w:t>Wells Fargo Securities</w:t>
      </w:r>
      <w:r>
        <w:rPr>
          <w:sz w:val="20"/>
          <w:szCs w:val="20"/>
          <w:color w:val="auto"/>
        </w:rPr>
        <w:tab/>
      </w: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19"/>
          <w:szCs w:val="19"/>
          <w:b w:val="1"/>
          <w:bCs w:val="1"/>
          <w:color w:val="auto"/>
        </w:rPr>
        <w:t>US Bancorp</w:t>
      </w:r>
    </w:p>
    <w:p>
      <w:pPr>
        <w:sectPr>
          <w:pgSz w:w="11900" w:h="16838" w:orient="portrait"/>
          <w:cols w:equalWidth="0" w:num="1">
            <w:col w:w="11420"/>
          </w:cols>
          <w:pgMar w:left="240" w:top="230" w:right="239" w:bottom="1440" w:gutter="0" w:footer="0" w:header="0"/>
        </w:sectPr>
      </w:pPr>
    </w:p>
    <w:p>
      <w:pPr>
        <w:spacing w:after="0" w:line="215"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The date of this prospectus supplement is July</w:t>
      </w:r>
      <w:r>
        <w:rPr>
          <w:sz w:val="20"/>
          <w:szCs w:val="20"/>
          <w:color w:val="auto"/>
        </w:rPr>
        <w:tab/>
      </w:r>
      <w:r>
        <w:rPr>
          <w:rFonts w:ascii="Arial" w:cs="Arial" w:eastAsia="Arial" w:hAnsi="Arial"/>
          <w:sz w:val="15"/>
          <w:szCs w:val="15"/>
          <w:b w:val="1"/>
          <w:bCs w:val="1"/>
          <w:color w:val="auto"/>
        </w:rPr>
        <w:t>,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00" w:type="dxa"/>
            <w:vAlign w:val="bottom"/>
            <w:tcBorders>
              <w:bottom w:val="single" w:sz="8" w:color="0000EE"/>
            </w:tcBorders>
            <w:gridSpan w:val="7"/>
            <w:vMerge w:val="continue"/>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624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Underwriting (Conflicts of Interest)</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260" w:type="dxa"/>
            <w:vAlign w:val="bottom"/>
            <w:gridSpan w:val="12"/>
            <w:vMerge w:val="continue"/>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2015, filed with the SEC on February 9, 2016,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2016, we owned or had a majority interest in community and neighborhood shopping centers and mixed-use properties which are operated as 96 predominantly retail real estate projects comprising approximately</w:t>
      </w:r>
    </w:p>
    <w:p>
      <w:pPr>
        <w:spacing w:after="0" w:line="2" w:lineRule="exact"/>
        <w:rPr>
          <w:sz w:val="20"/>
          <w:szCs w:val="20"/>
          <w:color w:val="auto"/>
        </w:rPr>
      </w:pPr>
    </w:p>
    <w:p>
      <w:pPr>
        <w:ind w:left="200" w:right="100"/>
        <w:spacing w:after="0" w:line="323" w:lineRule="auto"/>
        <w:rPr>
          <w:sz w:val="20"/>
          <w:szCs w:val="20"/>
          <w:color w:val="auto"/>
        </w:rPr>
      </w:pPr>
      <w:r>
        <w:rPr>
          <w:rFonts w:ascii="Arial" w:cs="Arial" w:eastAsia="Arial" w:hAnsi="Arial"/>
          <w:sz w:val="16"/>
          <w:szCs w:val="16"/>
          <w:color w:val="auto"/>
        </w:rPr>
        <w:t>22.2 million square feet. In total, the real estate projects were 94.1% leased and 92.7% occupied at March 31, 2016. We have paid quarterly dividends to our shareholders continuously since our founding in 1962 and have increased our dividends per common share for 48 consecutive years.</w:t>
      </w:r>
    </w:p>
    <w:p>
      <w:pPr>
        <w:spacing w:after="0" w:line="139"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w:t>
      </w:r>
    </w:p>
    <w:p>
      <w:pPr>
        <w:ind w:left="200" w:right="140" w:hanging="3"/>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8"/>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Ended March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360" w:type="dxa"/>
            <w:vAlign w:val="bottom"/>
            <w:tcBorders>
              <w:top w:val="single" w:sz="8" w:color="auto"/>
            </w:tcBorders>
          </w:tcPr>
          <w:p>
            <w:pPr>
              <w:jc w:val="right"/>
              <w:ind w:right="44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360" w:type="dxa"/>
            <w:vAlign w:val="bottom"/>
            <w:tcBorders>
              <w:top w:val="single" w:sz="8" w:color="auto"/>
            </w:tcBorders>
            <w:shd w:val="clear" w:color="auto" w:fill="CCEEFF"/>
          </w:tcPr>
          <w:p>
            <w:pPr>
              <w:jc w:val="right"/>
              <w:ind w:right="484"/>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ratio of earnings to fixed charges is computed by dividing earnings by fixed charges. In computing the ratio of earnings to fixed charges: (a) 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6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70618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Issuer</w:t>
            </w:r>
          </w:p>
        </w:tc>
        <w:tc>
          <w:tcPr>
            <w:tcW w:w="4400" w:type="dxa"/>
            <w:vAlign w:val="bottom"/>
            <w:gridSpan w:val="2"/>
          </w:tcPr>
          <w:p>
            <w:pPr>
              <w:ind w:left="1060"/>
              <w:spacing w:after="0"/>
              <w:rPr>
                <w:sz w:val="20"/>
                <w:szCs w:val="20"/>
                <w:color w:val="auto"/>
              </w:rPr>
            </w:pPr>
            <w:r>
              <w:rPr>
                <w:rFonts w:ascii="Arial" w:cs="Arial" w:eastAsia="Arial" w:hAnsi="Arial"/>
                <w:sz w:val="18"/>
                <w:szCs w:val="18"/>
                <w:color w:val="auto"/>
              </w:rPr>
              <w:t>Federal Realty Investment Trust.</w:t>
            </w: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3480" w:type="dxa"/>
            <w:vAlign w:val="bottom"/>
          </w:tcPr>
          <w:p>
            <w:pPr>
              <w:spacing w:after="0"/>
              <w:rPr>
                <w:sz w:val="20"/>
                <w:szCs w:val="20"/>
                <w:color w:val="auto"/>
              </w:rPr>
            </w:pPr>
            <w:r>
              <w:rPr>
                <w:rFonts w:ascii="Arial" w:cs="Arial" w:eastAsia="Arial" w:hAnsi="Arial"/>
                <w:sz w:val="18"/>
                <w:szCs w:val="18"/>
                <w:color w:val="auto"/>
              </w:rPr>
              <w:t>Securities offered</w:t>
            </w:r>
          </w:p>
        </w:tc>
        <w:tc>
          <w:tcPr>
            <w:tcW w:w="1500" w:type="dxa"/>
            <w:vAlign w:val="bottom"/>
          </w:tcPr>
          <w:p>
            <w:pPr>
              <w:ind w:left="1060"/>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w w:val="95"/>
              </w:rPr>
              <w:t>million aggregate principal amount of</w:t>
            </w:r>
          </w:p>
        </w:tc>
        <w:tc>
          <w:tcPr>
            <w:tcW w:w="1860" w:type="dxa"/>
            <w:vAlign w:val="bottom"/>
          </w:tcPr>
          <w:p>
            <w:pPr>
              <w:ind w:left="100"/>
              <w:spacing w:after="0"/>
              <w:rPr>
                <w:sz w:val="20"/>
                <w:szCs w:val="20"/>
                <w:color w:val="auto"/>
              </w:rPr>
            </w:pPr>
            <w:r>
              <w:rPr>
                <w:rFonts w:ascii="Arial" w:cs="Arial" w:eastAsia="Arial" w:hAnsi="Arial"/>
                <w:sz w:val="18"/>
                <w:szCs w:val="18"/>
                <w:color w:val="auto"/>
              </w:rPr>
              <w:t>% Notes due 2046.</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Maturity</w:t>
            </w: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9"/>
              </w:rPr>
              <w:t>Unless redeemed prior to maturity as described below, the notes will mature on</w:t>
            </w:r>
          </w:p>
        </w:tc>
        <w:tc>
          <w:tcPr>
            <w:tcW w:w="220" w:type="dxa"/>
            <w:vAlign w:val="bottom"/>
          </w:tcPr>
          <w:p>
            <w:pPr>
              <w:jc w:val="right"/>
              <w:ind w:right="70"/>
              <w:spacing w:after="0"/>
              <w:rPr>
                <w:sz w:val="20"/>
                <w:szCs w:val="20"/>
                <w:color w:val="auto"/>
              </w:rPr>
            </w:pPr>
            <w:r>
              <w:rPr>
                <w:rFonts w:ascii="Arial" w:cs="Arial" w:eastAsia="Arial" w:hAnsi="Arial"/>
                <w:sz w:val="18"/>
                <w:szCs w:val="18"/>
                <w:color w:val="auto"/>
                <w:w w:val="78"/>
              </w:rPr>
              <w:t>,</w:t>
            </w:r>
          </w:p>
        </w:tc>
      </w:tr>
      <w:tr>
        <w:trPr>
          <w:trHeight w:val="230"/>
        </w:trPr>
        <w:tc>
          <w:tcPr>
            <w:tcW w:w="3480" w:type="dxa"/>
            <w:vAlign w:val="bottom"/>
          </w:tcPr>
          <w:p>
            <w:pPr>
              <w:spacing w:after="0"/>
              <w:rPr>
                <w:sz w:val="20"/>
                <w:szCs w:val="20"/>
                <w:color w:val="auto"/>
              </w:rPr>
            </w:pPr>
          </w:p>
        </w:tc>
        <w:tc>
          <w:tcPr>
            <w:tcW w:w="1500" w:type="dxa"/>
            <w:vAlign w:val="bottom"/>
          </w:tcPr>
          <w:p>
            <w:pPr>
              <w:ind w:left="1060"/>
              <w:spacing w:after="0"/>
              <w:rPr>
                <w:sz w:val="20"/>
                <w:szCs w:val="20"/>
                <w:color w:val="auto"/>
              </w:rPr>
            </w:pPr>
            <w:r>
              <w:rPr>
                <w:rFonts w:ascii="Arial" w:cs="Arial" w:eastAsia="Arial" w:hAnsi="Arial"/>
                <w:sz w:val="18"/>
                <w:szCs w:val="18"/>
                <w:color w:val="auto"/>
                <w:w w:val="93"/>
              </w:rPr>
              <w:t>2046.</w:t>
            </w:r>
          </w:p>
        </w:tc>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60" w:type="dxa"/>
            <w:vAlign w:val="bottom"/>
            <w:gridSpan w:val="3"/>
          </w:tcPr>
          <w:p>
            <w:pPr>
              <w:ind w:left="1060"/>
              <w:spacing w:after="0"/>
              <w:rPr>
                <w:sz w:val="20"/>
                <w:szCs w:val="20"/>
                <w:color w:val="auto"/>
              </w:rPr>
            </w:pPr>
            <w:r>
              <w:rPr>
                <w:rFonts w:ascii="Arial" w:cs="Arial" w:eastAsia="Arial" w:hAnsi="Arial"/>
                <w:sz w:val="18"/>
                <w:szCs w:val="18"/>
                <w:color w:val="auto"/>
              </w:rPr>
              <w:t>Interest on the notes will be payable semi-annually in arrears on</w:t>
            </w:r>
          </w:p>
        </w:tc>
        <w:tc>
          <w:tcPr>
            <w:tcW w:w="1080" w:type="dxa"/>
            <w:vAlign w:val="bottom"/>
          </w:tcPr>
          <w:p>
            <w:pPr>
              <w:ind w:left="400"/>
              <w:spacing w:after="0"/>
              <w:rPr>
                <w:sz w:val="20"/>
                <w:szCs w:val="20"/>
                <w:color w:val="auto"/>
              </w:rPr>
            </w:pPr>
            <w:r>
              <w:rPr>
                <w:rFonts w:ascii="Arial" w:cs="Arial" w:eastAsia="Arial" w:hAnsi="Arial"/>
                <w:sz w:val="18"/>
                <w:szCs w:val="18"/>
                <w:color w:val="auto"/>
              </w:rPr>
              <w:t>and</w:t>
            </w:r>
          </w:p>
        </w:tc>
        <w:tc>
          <w:tcPr>
            <w:tcW w:w="22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00" w:type="dxa"/>
            <w:vAlign w:val="bottom"/>
          </w:tcPr>
          <w:p>
            <w:pPr>
              <w:ind w:left="500"/>
              <w:spacing w:after="0"/>
              <w:rPr>
                <w:sz w:val="20"/>
                <w:szCs w:val="20"/>
                <w:color w:val="auto"/>
              </w:rPr>
            </w:pPr>
            <w:r>
              <w:rPr>
                <w:rFonts w:ascii="Arial" w:cs="Arial" w:eastAsia="Arial" w:hAnsi="Arial"/>
                <w:sz w:val="18"/>
                <w:szCs w:val="18"/>
                <w:color w:val="auto"/>
              </w:rPr>
              <w:t>of each year, beginning on</w:t>
            </w:r>
          </w:p>
        </w:tc>
        <w:tc>
          <w:tcPr>
            <w:tcW w:w="2940" w:type="dxa"/>
            <w:vAlign w:val="bottom"/>
            <w:gridSpan w:val="2"/>
          </w:tcPr>
          <w:p>
            <w:pPr>
              <w:ind w:left="100"/>
              <w:spacing w:after="0"/>
              <w:rPr>
                <w:sz w:val="20"/>
                <w:szCs w:val="20"/>
                <w:color w:val="auto"/>
              </w:rPr>
            </w:pPr>
            <w:r>
              <w:rPr>
                <w:rFonts w:ascii="Arial" w:cs="Arial" w:eastAsia="Arial" w:hAnsi="Arial"/>
                <w:sz w:val="18"/>
                <w:szCs w:val="18"/>
                <w:color w:val="auto"/>
                <w:w w:val="95"/>
              </w:rPr>
              <w:t>, 2017, and at maturity (or any earlier</w:t>
            </w:r>
          </w:p>
        </w:tc>
        <w:tc>
          <w:tcPr>
            <w:tcW w:w="22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4400" w:type="dxa"/>
            <w:vAlign w:val="bottom"/>
            <w:gridSpan w:val="2"/>
          </w:tcPr>
          <w:p>
            <w:pPr>
              <w:ind w:left="1060"/>
              <w:spacing w:after="0"/>
              <w:rPr>
                <w:sz w:val="20"/>
                <w:szCs w:val="20"/>
                <w:color w:val="auto"/>
              </w:rPr>
            </w:pPr>
            <w:r>
              <w:rPr>
                <w:rFonts w:ascii="Arial" w:cs="Arial" w:eastAsia="Arial" w:hAnsi="Arial"/>
                <w:sz w:val="18"/>
                <w:szCs w:val="18"/>
                <w:color w:val="auto"/>
              </w:rPr>
              <w:t>redemption date).</w:t>
            </w: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Ranking</w:t>
            </w: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1"/>
              </w:rPr>
              <w:t xml:space="preserve">The notes will be our senior unsecured obligations and will rank </w:t>
            </w:r>
            <w:r>
              <w:rPr>
                <w:rFonts w:ascii="Arial" w:cs="Arial" w:eastAsia="Arial" w:hAnsi="Arial"/>
                <w:sz w:val="18"/>
                <w:szCs w:val="18"/>
                <w:i w:val="1"/>
                <w:iCs w:val="1"/>
                <w:color w:val="auto"/>
                <w:w w:val="91"/>
              </w:rPr>
              <w:t>pari passu</w:t>
            </w:r>
            <w:r>
              <w:rPr>
                <w:rFonts w:ascii="Arial" w:cs="Arial" w:eastAsia="Arial" w:hAnsi="Arial"/>
                <w:sz w:val="18"/>
                <w:szCs w:val="18"/>
                <w:color w:val="auto"/>
                <w:w w:val="91"/>
              </w:rPr>
              <w:t>, or equally,</w:t>
            </w:r>
          </w:p>
        </w:tc>
        <w:tc>
          <w:tcPr>
            <w:tcW w:w="22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4"/>
              </w:rPr>
              <w:t>with all of our other unsecured and unsubordinated indebtedness. The notes will be</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4"/>
              </w:rPr>
              <w:t>effectively subordinated to the prior claims of each secured mortgage lender to any</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7"/>
              </w:rPr>
              <w:t>specific property that secures such lender’s mortgage and to all of the unsecured</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2"/>
              </w:rPr>
              <w:t>indebtedness of our subsidiaries. At March 31, 2016, we had outstanding approximately</w:t>
            </w: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1"/>
              </w:rPr>
              <w:t>$505 million (excluding net unamortized premium and debt issuance costs) of secured</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1"/>
              </w:rPr>
              <w:t>indebtedness, which was issued by our subsidiaries and is collateralized by all or parts of</w:t>
            </w: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6"/>
              </w:rPr>
              <w:t>11 properties, and which will rank senior to the notes to the extent of the securing</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5"/>
              </w:rPr>
              <w:t>collateral and will also be structurally senior to the notes, approximately $15 million</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0"/>
              </w:rPr>
              <w:t>(excluding net unamortized debt issuance costs) of unsecured indebtedness issued by our</w:t>
            </w: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3"/>
              </w:rPr>
              <w:t>subsidiaries, which will be structurally senior to the notes, and approximately $2,072</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0"/>
              </w:rPr>
              <w:t>million of unsecured indebtedness (excluding net unamortized premium and debt issuance</w:t>
            </w: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5"/>
              </w:rPr>
              <w:t>costs), which will rank equally with the notes. Since March 31, 2016, $34 million of</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89"/>
              </w:rPr>
              <w:t>secured indebtedness was repaid with the proceeds of borrowings under our unsecured</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8"/>
              </w:rPr>
              <w:t>revolving credit facility; accordingly, and taking into account regular payments of</w:t>
            </w:r>
          </w:p>
        </w:tc>
        <w:tc>
          <w:tcPr>
            <w:tcW w:w="2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0"/>
              </w:rPr>
              <w:t>principal with respect to our secured indebtedness, as of July 6, 2016, we had outstanding</w:t>
            </w:r>
          </w:p>
        </w:tc>
      </w:tr>
      <w:tr>
        <w:trPr>
          <w:trHeight w:val="216"/>
        </w:trPr>
        <w:tc>
          <w:tcPr>
            <w:tcW w:w="3480" w:type="dxa"/>
            <w:vAlign w:val="bottom"/>
          </w:tcPr>
          <w:p>
            <w:pPr>
              <w:spacing w:after="0"/>
              <w:rPr>
                <w:sz w:val="18"/>
                <w:szCs w:val="18"/>
                <w:color w:val="auto"/>
              </w:rPr>
            </w:pP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0"/>
              </w:rPr>
              <w:t>approximately $469 million (excluding net unamortized premium and debt issuance costs)</w:t>
            </w:r>
          </w:p>
        </w:tc>
      </w:tr>
      <w:tr>
        <w:trPr>
          <w:trHeight w:val="230"/>
        </w:trPr>
        <w:tc>
          <w:tcPr>
            <w:tcW w:w="3480" w:type="dxa"/>
            <w:vAlign w:val="bottom"/>
          </w:tcPr>
          <w:p>
            <w:pPr>
              <w:spacing w:after="0"/>
              <w:rPr>
                <w:sz w:val="20"/>
                <w:szCs w:val="20"/>
                <w:color w:val="auto"/>
              </w:rPr>
            </w:pPr>
          </w:p>
        </w:tc>
        <w:tc>
          <w:tcPr>
            <w:tcW w:w="4400" w:type="dxa"/>
            <w:vAlign w:val="bottom"/>
            <w:gridSpan w:val="2"/>
          </w:tcPr>
          <w:p>
            <w:pPr>
              <w:ind w:left="1060"/>
              <w:spacing w:after="0"/>
              <w:rPr>
                <w:sz w:val="20"/>
                <w:szCs w:val="20"/>
                <w:color w:val="auto"/>
              </w:rPr>
            </w:pPr>
            <w:r>
              <w:rPr>
                <w:rFonts w:ascii="Arial" w:cs="Arial" w:eastAsia="Arial" w:hAnsi="Arial"/>
                <w:sz w:val="18"/>
                <w:szCs w:val="18"/>
                <w:color w:val="auto"/>
              </w:rPr>
              <w:t>of secured indebtedness.</w:t>
            </w: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10"/>
        </w:trPr>
        <w:tc>
          <w:tcPr>
            <w:tcW w:w="3480" w:type="dxa"/>
            <w:vAlign w:val="bottom"/>
          </w:tcPr>
          <w:p>
            <w:pPr>
              <w:spacing w:after="0"/>
              <w:rPr>
                <w:sz w:val="20"/>
                <w:szCs w:val="20"/>
                <w:color w:val="auto"/>
              </w:rPr>
            </w:pPr>
            <w:r>
              <w:rPr>
                <w:rFonts w:ascii="Arial" w:cs="Arial" w:eastAsia="Arial" w:hAnsi="Arial"/>
                <w:sz w:val="18"/>
                <w:szCs w:val="18"/>
                <w:color w:val="auto"/>
              </w:rPr>
              <w:t>Use of proceeds</w:t>
            </w:r>
          </w:p>
        </w:tc>
        <w:tc>
          <w:tcPr>
            <w:tcW w:w="7560" w:type="dxa"/>
            <w:vAlign w:val="bottom"/>
            <w:gridSpan w:val="5"/>
          </w:tcPr>
          <w:p>
            <w:pPr>
              <w:ind w:left="1060"/>
              <w:spacing w:after="0"/>
              <w:rPr>
                <w:sz w:val="20"/>
                <w:szCs w:val="20"/>
                <w:color w:val="auto"/>
              </w:rPr>
            </w:pPr>
            <w:r>
              <w:rPr>
                <w:rFonts w:ascii="Arial" w:cs="Arial" w:eastAsia="Arial" w:hAnsi="Arial"/>
                <w:sz w:val="18"/>
                <w:szCs w:val="18"/>
                <w:color w:val="auto"/>
                <w:w w:val="91"/>
              </w:rPr>
              <w:t>We intend to use the net proceeds from this offering to pay down the outstanding balance</w:t>
            </w:r>
          </w:p>
        </w:tc>
      </w:tr>
      <w:tr>
        <w:trPr>
          <w:trHeight w:val="216"/>
        </w:trPr>
        <w:tc>
          <w:tcPr>
            <w:tcW w:w="3480" w:type="dxa"/>
            <w:vAlign w:val="bottom"/>
          </w:tcPr>
          <w:p>
            <w:pPr>
              <w:spacing w:after="0"/>
              <w:rPr>
                <w:sz w:val="18"/>
                <w:szCs w:val="18"/>
                <w:color w:val="auto"/>
              </w:rPr>
            </w:pPr>
          </w:p>
        </w:tc>
        <w:tc>
          <w:tcPr>
            <w:tcW w:w="7340" w:type="dxa"/>
            <w:vAlign w:val="bottom"/>
            <w:gridSpan w:val="4"/>
          </w:tcPr>
          <w:p>
            <w:pPr>
              <w:ind w:left="1060"/>
              <w:spacing w:after="0"/>
              <w:rPr>
                <w:sz w:val="20"/>
                <w:szCs w:val="20"/>
                <w:color w:val="auto"/>
              </w:rPr>
            </w:pPr>
            <w:r>
              <w:rPr>
                <w:rFonts w:ascii="Arial" w:cs="Arial" w:eastAsia="Arial" w:hAnsi="Arial"/>
                <w:sz w:val="18"/>
                <w:szCs w:val="18"/>
                <w:color w:val="auto"/>
                <w:w w:val="96"/>
              </w:rPr>
              <w:t>under our revolving credit facility and for general corporate purposes. See “Use of</w:t>
            </w:r>
          </w:p>
        </w:tc>
        <w:tc>
          <w:tcPr>
            <w:tcW w:w="22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4400" w:type="dxa"/>
            <w:vAlign w:val="bottom"/>
            <w:gridSpan w:val="2"/>
          </w:tcPr>
          <w:p>
            <w:pPr>
              <w:ind w:left="1060"/>
              <w:spacing w:after="0"/>
              <w:rPr>
                <w:sz w:val="20"/>
                <w:szCs w:val="20"/>
                <w:color w:val="auto"/>
              </w:rPr>
            </w:pPr>
            <w:r>
              <w:rPr>
                <w:rFonts w:ascii="Arial" w:cs="Arial" w:eastAsia="Arial" w:hAnsi="Arial"/>
                <w:sz w:val="18"/>
                <w:szCs w:val="18"/>
                <w:color w:val="auto"/>
                <w:w w:val="93"/>
              </w:rPr>
              <w:t>Proceeds” on page S-7 for more information.</w:t>
            </w: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348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260" w:type="dxa"/>
            <w:vAlign w:val="bottom"/>
            <w:gridSpan w:val="3"/>
          </w:tcPr>
          <w:p>
            <w:pPr>
              <w:ind w:left="1060"/>
              <w:spacing w:after="0"/>
              <w:rPr>
                <w:sz w:val="20"/>
                <w:szCs w:val="20"/>
                <w:color w:val="auto"/>
              </w:rPr>
            </w:pPr>
            <w:r>
              <w:rPr>
                <w:rFonts w:ascii="Arial" w:cs="Arial" w:eastAsia="Arial" w:hAnsi="Arial"/>
                <w:sz w:val="18"/>
                <w:szCs w:val="18"/>
                <w:color w:val="auto"/>
              </w:rPr>
              <w:t>The notes contain various covenants, including the following:</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94" w:lineRule="exact"/>
        <w:rPr>
          <w:sz w:val="20"/>
          <w:szCs w:val="20"/>
          <w:color w:val="auto"/>
        </w:rPr>
      </w:pPr>
    </w:p>
    <w:p>
      <w:pPr>
        <w:ind w:left="4740" w:right="20" w:hanging="1"/>
        <w:spacing w:after="0" w:line="288" w:lineRule="auto"/>
        <w:tabs>
          <w:tab w:leader="none" w:pos="499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40" w:right="100"/>
        <w:spacing w:after="0" w:line="279" w:lineRule="auto"/>
        <w:rPr>
          <w:sz w:val="20"/>
          <w:szCs w:val="20"/>
          <w:color w:val="auto"/>
        </w:rPr>
      </w:pPr>
      <w:r>
        <w:rPr>
          <w:rFonts w:ascii="Arial" w:cs="Arial" w:eastAsia="Arial" w:hAnsi="Arial"/>
          <w:sz w:val="17"/>
          <w:szCs w:val="17"/>
          <w:color w:val="auto"/>
        </w:rPr>
        <w:t>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63" w:lineRule="exact"/>
        <w:rPr>
          <w:sz w:val="20"/>
          <w:szCs w:val="20"/>
          <w:color w:val="auto"/>
        </w:rPr>
      </w:pPr>
    </w:p>
    <w:p>
      <w:pPr>
        <w:ind w:left="4740" w:right="20" w:hanging="1"/>
        <w:spacing w:after="0" w:line="285" w:lineRule="auto"/>
        <w:tabs>
          <w:tab w:leader="none" w:pos="499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64" w:lineRule="exact"/>
        <w:rPr>
          <w:rFonts w:ascii="Arial" w:cs="Arial" w:eastAsia="Arial" w:hAnsi="Arial"/>
          <w:sz w:val="16"/>
          <w:szCs w:val="16"/>
          <w:color w:val="auto"/>
        </w:rPr>
      </w:pPr>
    </w:p>
    <w:p>
      <w:pPr>
        <w:ind w:left="4740" w:hanging="1"/>
        <w:spacing w:after="0" w:line="283" w:lineRule="auto"/>
        <w:tabs>
          <w:tab w:leader="none" w:pos="499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w:t>
      </w:r>
    </w:p>
    <w:p>
      <w:pPr>
        <w:jc w:val="both"/>
        <w:ind w:left="4740" w:right="220"/>
        <w:spacing w:after="0" w:line="255" w:lineRule="auto"/>
        <w:rPr>
          <w:rFonts w:ascii="Arial" w:cs="Arial" w:eastAsia="Arial" w:hAnsi="Arial"/>
          <w:sz w:val="16"/>
          <w:szCs w:val="16"/>
          <w:color w:val="auto"/>
        </w:rPr>
      </w:pPr>
      <w:r>
        <w:rPr>
          <w:rFonts w:ascii="Arial" w:cs="Arial" w:eastAsia="Arial" w:hAnsi="Arial"/>
          <w:sz w:val="18"/>
          <w:szCs w:val="18"/>
          <w:color w:val="auto"/>
        </w:rPr>
        <w:t>(d) in the case of any acquisition or disposition by us or our subsidiaries of any asset or group of assets since the first day of such four-quarter period, whether by merger, stock purchase or sale,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12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 w:right="260"/>
        <w:spacing w:after="0" w:line="259" w:lineRule="auto"/>
        <w:rPr>
          <w:sz w:val="20"/>
          <w:szCs w:val="20"/>
          <w:color w:val="auto"/>
        </w:rPr>
      </w:pPr>
      <w:r>
        <w:rPr>
          <w:rFonts w:ascii="Arial" w:cs="Arial" w:eastAsia="Arial" w:hAnsi="Arial"/>
          <w:sz w:val="18"/>
          <w:szCs w:val="18"/>
          <w:color w:val="auto"/>
        </w:rPr>
        <w:t>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79" w:lineRule="exact"/>
        <w:rPr>
          <w:sz w:val="20"/>
          <w:szCs w:val="20"/>
          <w:color w:val="auto"/>
        </w:rPr>
      </w:pPr>
    </w:p>
    <w:p>
      <w:pPr>
        <w:ind w:left="1" w:right="120" w:hanging="1"/>
        <w:spacing w:after="0" w:line="286"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notes will be redeemable at any time at our option, in whole or in part. If the notes are</w:t>
      </w:r>
    </w:p>
    <w:p>
      <w:pPr>
        <w:spacing w:after="0" w:line="46" w:lineRule="exact"/>
        <w:rPr>
          <w:sz w:val="20"/>
          <w:szCs w:val="20"/>
          <w:color w:val="auto"/>
        </w:rPr>
      </w:pPr>
    </w:p>
    <w:p>
      <w:pPr>
        <w:ind w:left="1" w:right="20"/>
        <w:spacing w:after="0" w:line="265" w:lineRule="auto"/>
        <w:rPr>
          <w:sz w:val="20"/>
          <w:szCs w:val="20"/>
          <w:color w:val="auto"/>
        </w:rPr>
      </w:pPr>
      <w:r>
        <w:rPr>
          <w:rFonts w:ascii="Arial" w:cs="Arial" w:eastAsia="Arial" w:hAnsi="Arial"/>
          <w:sz w:val="17"/>
          <w:szCs w:val="17"/>
          <w:color w:val="auto"/>
        </w:rPr>
        <w:t>redeemed before ( months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w:t>
      </w:r>
    </w:p>
    <w:p>
      <w:pPr>
        <w:spacing w:after="0" w:line="1" w:lineRule="exact"/>
        <w:rPr>
          <w:sz w:val="20"/>
          <w:szCs w:val="20"/>
          <w:color w:val="auto"/>
        </w:rPr>
      </w:pPr>
    </w:p>
    <w:p>
      <w:pPr>
        <w:ind w:left="1"/>
        <w:spacing w:after="0"/>
        <w:tabs>
          <w:tab w:leader="none" w:pos="2741" w:val="left"/>
          <w:tab w:leader="none" w:pos="4001" w:val="left"/>
        </w:tabs>
        <w:rPr>
          <w:sz w:val="20"/>
          <w:szCs w:val="20"/>
          <w:color w:val="auto"/>
        </w:rPr>
      </w:pPr>
      <w:r>
        <w:rPr>
          <w:rFonts w:ascii="Arial" w:cs="Arial" w:eastAsia="Arial" w:hAnsi="Arial"/>
          <w:sz w:val="18"/>
          <w:szCs w:val="18"/>
          <w:color w:val="auto"/>
        </w:rPr>
        <w:t>the Adjusted Treasury Rate plus</w:t>
      </w:r>
      <w:r>
        <w:rPr>
          <w:sz w:val="20"/>
          <w:szCs w:val="20"/>
          <w:color w:val="auto"/>
        </w:rPr>
        <w:tab/>
      </w:r>
      <w:r>
        <w:rPr>
          <w:rFonts w:ascii="Arial" w:cs="Arial" w:eastAsia="Arial" w:hAnsi="Arial"/>
          <w:sz w:val="18"/>
          <w:szCs w:val="18"/>
          <w:color w:val="auto"/>
        </w:rPr>
        <w:t>basis points (0.</w:t>
      </w:r>
      <w:r>
        <w:rPr>
          <w:sz w:val="20"/>
          <w:szCs w:val="20"/>
          <w:color w:val="auto"/>
        </w:rPr>
        <w:tab/>
      </w:r>
      <w:r>
        <w:rPr>
          <w:rFonts w:ascii="Arial" w:cs="Arial" w:eastAsia="Arial" w:hAnsi="Arial"/>
          <w:sz w:val="15"/>
          <w:szCs w:val="15"/>
          <w:color w:val="auto"/>
        </w:rPr>
        <w:t>%), plus, in each case, accrued</w:t>
      </w:r>
    </w:p>
    <w:p>
      <w:pPr>
        <w:spacing w:after="0" w:line="9" w:lineRule="exact"/>
        <w:rPr>
          <w:sz w:val="20"/>
          <w:szCs w:val="20"/>
          <w:color w:val="auto"/>
        </w:rPr>
      </w:pPr>
    </w:p>
    <w:p>
      <w:pPr>
        <w:ind w:left="1"/>
        <w:spacing w:after="0"/>
        <w:rPr>
          <w:sz w:val="20"/>
          <w:szCs w:val="20"/>
          <w:color w:val="auto"/>
        </w:rPr>
      </w:pPr>
      <w:r>
        <w:rPr>
          <w:rFonts w:ascii="Arial" w:cs="Arial" w:eastAsia="Arial" w:hAnsi="Arial"/>
          <w:sz w:val="17"/>
          <w:szCs w:val="17"/>
          <w:color w:val="auto"/>
        </w:rPr>
        <w:t>and unpaid interest thereon to, but excluding, the redemption date. If the notes are</w:t>
      </w:r>
    </w:p>
    <w:p>
      <w:pPr>
        <w:spacing w:after="0" w:line="21" w:lineRule="exact"/>
        <w:rPr>
          <w:sz w:val="20"/>
          <w:szCs w:val="20"/>
          <w:color w:val="auto"/>
        </w:rPr>
      </w:pPr>
    </w:p>
    <w:p>
      <w:pPr>
        <w:ind w:left="1"/>
        <w:spacing w:after="0"/>
        <w:tabs>
          <w:tab w:leader="none" w:pos="2461" w:val="left"/>
          <w:tab w:leader="none" w:pos="2741" w:val="left"/>
        </w:tabs>
        <w:rPr>
          <w:sz w:val="20"/>
          <w:szCs w:val="20"/>
          <w:color w:val="auto"/>
        </w:rPr>
      </w:pPr>
      <w:r>
        <w:rPr>
          <w:rFonts w:ascii="Arial" w:cs="Arial" w:eastAsia="Arial" w:hAnsi="Arial"/>
          <w:sz w:val="18"/>
          <w:szCs w:val="18"/>
          <w:color w:val="auto"/>
        </w:rPr>
        <w:t>redeemed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 maturity date), the redemption</w:t>
      </w:r>
    </w:p>
    <w:p>
      <w:pPr>
        <w:spacing w:after="0" w:line="9" w:lineRule="exact"/>
        <w:rPr>
          <w:sz w:val="20"/>
          <w:szCs w:val="20"/>
          <w:color w:val="auto"/>
        </w:rPr>
      </w:pPr>
    </w:p>
    <w:p>
      <w:pPr>
        <w:ind w:left="1" w:right="380"/>
        <w:spacing w:after="0" w:line="290" w:lineRule="auto"/>
        <w:rPr>
          <w:sz w:val="20"/>
          <w:szCs w:val="20"/>
          <w:color w:val="auto"/>
        </w:rPr>
      </w:pPr>
      <w:r>
        <w:rPr>
          <w:rFonts w:ascii="Arial" w:cs="Arial" w:eastAsia="Arial" w:hAnsi="Arial"/>
          <w:sz w:val="17"/>
          <w:szCs w:val="17"/>
          <w:color w:val="auto"/>
        </w:rPr>
        <w:t>price will be equal to 100% of the principal amount of the notes being redeemed plus accrued and unpaid interest thereon to, but excluding, the redemption date.</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117" w:lineRule="exact"/>
        <w:rPr>
          <w:sz w:val="20"/>
          <w:szCs w:val="20"/>
          <w:color w:val="auto"/>
        </w:rPr>
      </w:pPr>
    </w:p>
    <w:p>
      <w:pPr>
        <w:jc w:val="both"/>
        <w:ind w:left="1" w:right="40"/>
        <w:spacing w:after="0" w:line="279" w:lineRule="auto"/>
        <w:rPr>
          <w:sz w:val="20"/>
          <w:szCs w:val="20"/>
          <w:color w:val="auto"/>
        </w:rPr>
      </w:pPr>
      <w:r>
        <w:rPr>
          <w:rFonts w:ascii="Arial" w:cs="Arial" w:eastAsia="Arial" w:hAnsi="Arial"/>
          <w:sz w:val="17"/>
          <w:szCs w:val="17"/>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3" w:lineRule="exact"/>
        <w:rPr>
          <w:sz w:val="20"/>
          <w:szCs w:val="20"/>
          <w:color w:val="auto"/>
        </w:rPr>
      </w:pPr>
    </w:p>
    <w:p>
      <w:pPr>
        <w:ind w:left="1" w:right="20"/>
        <w:spacing w:after="0" w:line="270" w:lineRule="auto"/>
        <w:rPr>
          <w:sz w:val="20"/>
          <w:szCs w:val="20"/>
          <w:color w:val="auto"/>
        </w:rPr>
      </w:pPr>
      <w:r>
        <w:rPr>
          <w:rFonts w:ascii="Arial" w:cs="Arial" w:eastAsia="Arial" w:hAnsi="Arial"/>
          <w:sz w:val="17"/>
          <w:szCs w:val="17"/>
          <w:color w:val="auto"/>
        </w:rPr>
        <w:t>Investing in the notes involves risks. Please review the risk factors discussed beginning on page S-5 of this prospectus supplement, on page 3 of the accompanying prospectus and in our Annual Report on Form 10-K for the year ended December 31, 2015, filed with the SEC on February 9, 2016,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4019" w:space="720"/>
            <w:col w:w="6521"/>
          </w:cols>
          <w:pgMar w:left="240" w:top="459" w:right="39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2015 filed with the SEC on February 9, 2016 before you decide to purchase the notes. The risks and uncertainties described below and in the incorporated Form 10-K for the year ended December 31, 2015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2016, our subsidiaries had approximately $520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2016, we had approximately $505 million (excluding net unamortized premium and debt issuance costs) of secured debt outstanding, all of which was effectively senior to the notes to the extent of the value of the securing collateral. Since March 31, 2016, $34 million of secured indebtedness was repaid with the proceeds of borrowings under our unsecured revolving credit facility; accordingly, and taking into account regular payments of principal with respect to our secured indebtedness, as of July 6, 2016, we had outstanding approximately $469 million (excluding net unamortized premium and debt issuance costs) of secured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0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1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0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1100" w:type="dxa"/>
            <w:vAlign w:val="bottom"/>
          </w:tcPr>
          <w:p>
            <w:pPr>
              <w:spacing w:after="0"/>
              <w:rPr>
                <w:sz w:val="24"/>
                <w:szCs w:val="24"/>
                <w:color w:val="auto"/>
              </w:rPr>
            </w:pPr>
          </w:p>
        </w:tc>
      </w:tr>
      <w:tr>
        <w:trPr>
          <w:trHeight w:val="432"/>
        </w:trPr>
        <w:tc>
          <w:tcPr>
            <w:tcW w:w="10060" w:type="dxa"/>
            <w:vAlign w:val="bottom"/>
            <w:gridSpan w:val="2"/>
          </w:tcPr>
          <w:p>
            <w:pPr>
              <w:spacing w:after="0"/>
              <w:rPr>
                <w:sz w:val="20"/>
                <w:szCs w:val="20"/>
                <w:color w:val="auto"/>
              </w:rPr>
            </w:pPr>
            <w:r>
              <w:rPr>
                <w:rFonts w:ascii="Arial" w:cs="Arial" w:eastAsia="Arial" w:hAnsi="Arial"/>
                <w:sz w:val="18"/>
                <w:szCs w:val="18"/>
                <w:color w:val="auto"/>
                <w:w w:val="90"/>
              </w:rPr>
              <w:t>The net proceeds to us from the issuance and sale of the notes offered by this prospectus supplement are estimated to be approximately $</w:t>
            </w:r>
          </w:p>
        </w:tc>
        <w:tc>
          <w:tcPr>
            <w:tcW w:w="1100" w:type="dxa"/>
            <w:vAlign w:val="bottom"/>
          </w:tcPr>
          <w:p>
            <w:pPr>
              <w:ind w:left="200"/>
              <w:spacing w:after="0"/>
              <w:rPr>
                <w:sz w:val="20"/>
                <w:szCs w:val="20"/>
                <w:color w:val="auto"/>
              </w:rPr>
            </w:pPr>
            <w:r>
              <w:rPr>
                <w:rFonts w:ascii="Arial" w:cs="Arial" w:eastAsia="Arial" w:hAnsi="Arial"/>
                <w:sz w:val="18"/>
                <w:szCs w:val="18"/>
                <w:color w:val="auto"/>
                <w:w w:val="95"/>
              </w:rPr>
              <w:t>million after</w:t>
            </w:r>
          </w:p>
        </w:tc>
      </w:tr>
    </w:tbl>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the underwriting discount and other estimated expenses of this offering payable by us.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$800 million revolving credit facility matures on April 20, 2020, subject to two six-month extensions at our option. LIBOR loans outstanding under our revolving credit facility bear interest at seven day, one month, three month or six month LIBOR, at our election, plus a spread of 82.5 basis points, subject to adjustment based on our credit rating. In addition, we have an option (subject to the approval of the lenders under our revolving credit facility) to increase our revolving credit facility through an accordion feature to $1.5 billion. As of March 31, 2016, we had $53.0 million outstanding under our revolving credit facility ($80.0 million as of July 6, 2016).</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46"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million of our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notes maturing 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2046, which may be redeemed prior to that date in accordance with their terms.</w:t>
      </w:r>
    </w:p>
    <w:p>
      <w:pPr>
        <w:spacing w:after="0" w:line="211" w:lineRule="exact"/>
        <w:rPr>
          <w:sz w:val="20"/>
          <w:szCs w:val="20"/>
          <w:color w:val="auto"/>
        </w:rPr>
      </w:pPr>
    </w:p>
    <w:p>
      <w:pPr>
        <w:sectPr>
          <w:pgSz w:w="11900" w:h="16838" w:orient="portrait"/>
          <w:cols w:equalWidth="0" w:num="4">
            <w:col w:w="1260" w:space="400"/>
            <w:col w:w="1000" w:space="240"/>
            <w:col w:w="1480" w:space="540"/>
            <w:col w:w="6500"/>
          </w:cols>
          <w:pgMar w:left="240" w:top="459" w:right="239" w:bottom="1440" w:gutter="0" w:footer="0" w:header="0"/>
          <w:type w:val="continuous"/>
        </w:sectPr>
      </w:pPr>
    </w:p>
    <w:p>
      <w:pPr>
        <w:spacing w:after="0" w:line="3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will pay interest on the notes semi-annually in arrears on and of each year, beginning , 2017, to the registered holders of the notes on the preceding and . Interest will be computed and paid on the basis of a 360-day year consisting of twelve 30-day</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will be effectively subordinated to the prior claims of each secured mortgage lender to any specific property that secures such lender’s mortgage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unsecured indebtedness of our subsidiaries. At March 31, 2016, we had outstanding approximately $505 million (excluding net unamortized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and debt issuance costs) of secured indebtedness, which was issued by our subsidiaries and is collateralized by all or parts of 11 properties,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ranks senior to the notes to the extent of securing collateral and will also be structurally senior to the notes, approximately $15 million (excluding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issuance costs) of unsecured indebtedness issued by our subsidiaries, which will be structurally senior to the notes, and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$2,072 million of unsecured indebtedness (excluding net unamortized premium and debt issuance costs), which will rank equally. Since March 31, 2016, $34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secured indebtedness was repaid with the proceeds of borrowings under our unsecured revolving credit facility; accordingly, and taking into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 regular payments of principal with respect to our secured indebtedness, as of July 6, 2016, we had outstanding approximately $469 million (excluding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unamortized premium and debt issuance costs) of secured indebtedness.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tabs>
          <w:tab w:leader="none" w:pos="8740" w:val="left"/>
        </w:tabs>
        <w:rPr>
          <w:sz w:val="20"/>
          <w:szCs w:val="20"/>
          <w:color w:val="auto"/>
        </w:rPr>
      </w:pPr>
      <w:r>
        <w:rPr>
          <w:rFonts w:ascii="Arial" w:cs="Arial" w:eastAsia="Arial" w:hAnsi="Arial"/>
          <w:sz w:val="18"/>
          <w:szCs w:val="18"/>
          <w:color w:val="auto"/>
        </w:rPr>
        <w:t>The notes will be redeemable at any time at our option, in whole or in part. If the notes are redeemed before</w:t>
      </w:r>
      <w:r>
        <w:rPr>
          <w:sz w:val="20"/>
          <w:szCs w:val="20"/>
          <w:color w:val="auto"/>
        </w:rPr>
        <w:tab/>
      </w:r>
      <w:r>
        <w:rPr>
          <w:rFonts w:ascii="Arial" w:cs="Arial" w:eastAsia="Arial" w:hAnsi="Arial"/>
          <w:sz w:val="16"/>
          <w:szCs w:val="16"/>
          <w:color w:val="auto"/>
        </w:rPr>
        <w:t>(the “Par Call Date”), the</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hanging="404"/>
        <w:spacing w:after="0" w:line="291" w:lineRule="auto"/>
        <w:rPr>
          <w:sz w:val="20"/>
          <w:szCs w:val="20"/>
          <w:color w:val="auto"/>
        </w:rPr>
      </w:pPr>
      <w:r>
        <w:rPr>
          <w:rFonts w:ascii="Arial" w:cs="Arial" w:eastAsia="Arial" w:hAnsi="Arial"/>
          <w:sz w:val="16"/>
          <w:szCs w:val="16"/>
          <w:color w:val="auto"/>
        </w:rPr>
        <w:t>redemption date on a semi-annual basis (assuming a 360-day year consisting of twelve 30-day months) at the Adjusted Treasury Rate (as defined below) plus basis points (0. %), plus, in each case, accrued and unpaid interest thereon to, but excluding, the redemption date. If the notes are redeemed on or after</w:t>
      </w:r>
    </w:p>
    <w:p>
      <w:pPr>
        <w:ind w:right="220"/>
        <w:spacing w:after="0" w:line="261" w:lineRule="auto"/>
        <w:rPr>
          <w:sz w:val="20"/>
          <w:szCs w:val="20"/>
          <w:color w:val="auto"/>
        </w:rPr>
      </w:pPr>
      <w:r>
        <w:rPr>
          <w:rFonts w:ascii="Arial" w:cs="Arial" w:eastAsia="Arial" w:hAnsi="Arial"/>
          <w:sz w:val="18"/>
          <w:szCs w:val="18"/>
          <w:color w:val="auto"/>
        </w:rPr>
        <w:t>the Par Call Date, the redemption price will be equal to 100% of the principal amount of the notes being redeemed plus accrued and unpaid interest thereon to, but excluding, the redemption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Deutsche Bank Securities Inc.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2" w:lineRule="exact"/>
        <w:rPr>
          <w:sz w:val="20"/>
          <w:szCs w:val="20"/>
          <w:color w:val="auto"/>
        </w:rPr>
      </w:pPr>
    </w:p>
    <w:p>
      <w:pPr>
        <w:ind w:right="60" w:firstLine="8"/>
        <w:spacing w:after="0" w:line="271"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7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companies and other unconsolidated entities accounted for financial reporting purposes using the equity method of accounting in accordance with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shall be excluded from Unencumbered Total Asset Value.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See “Description of Debt Securities — Certain Covenants” in the accompanying prospectus for a description of additional covenants applicable to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right="56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72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firstLine="8"/>
        <w:spacing w:after="0" w:line="271"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orders our liquidation or the liquidation of any of our significant subsidiaries, and the order or decree remains unstayed and in effect for 90 days.</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5540" w:right="5300" w:hanging="5532"/>
        <w:spacing w:after="0" w:line="536"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commence a voluntary case or proceeding under any applicable bankruptcy law; S-12</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a discussion of the material federal income tax issues that you may consider relevant relating to our taxation as a REIT, see “Material Federal Income Tax Considerations” beginning on page 28 of the accompanying prospectus, as modified by the discussion below under “— Recent Legislation Affecting Taxation of Our Company.”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THE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Affecting Taxation of Our Company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discussion supplements and updates the discussions contained in the prospectus under the heading “Material Federal Income Tax Considerations,” and supersedes such discussions to the extent inconsistent with such discussions. As supplemented and updated by this summary, investors should review the discussion in the prospectus under the heading “Material Federal Income Tax Considerations” for a more detailed summary of the federal income tax consequences of our election to be subject to federal income tax as a REIT.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Path Act Modification of Certain Rules Applicable to REITs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 xml:space="preserve">Reduction in Built-in Gains Period. </w:t>
      </w:r>
      <w:r>
        <w:rPr>
          <w:rFonts w:ascii="Arial" w:cs="Arial" w:eastAsia="Arial" w:hAnsi="Arial"/>
          <w:sz w:val="18"/>
          <w:szCs w:val="18"/>
          <w:color w:val="auto"/>
        </w:rPr>
        <w:t>For taxable years beginning in 2015 and later, the “built-in gains” period (i.e., the period during which gains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or disposition of property acquired by a REIT from a C corporation in a tax-free merger or other carryover basis transaction is subject to C corporation tax) is reduced from ten years to five years.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7, 2016, the IRS and Treasury Department issued temporary regulations changing the “built-in gains” recognition period for the corporate tax on built-in gains described in the discussion above. Prior to August 8, 2016, the recognition period applicable to us with respect to an asset with built-in gain is the five-year period beginning on the day the asset was acquired. Effective for assets with built-in gain acquired on or after August 8, 2016, the recognition period will be the ten-year period beginning on the day the asset was acquired.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Reduction in Permissible Holdings of the Securities of Taxable REIT Subsidiaries. </w:t>
      </w:r>
      <w:r>
        <w:rPr>
          <w:rFonts w:ascii="Arial" w:cs="Arial" w:eastAsia="Arial" w:hAnsi="Arial"/>
          <w:sz w:val="18"/>
          <w:szCs w:val="18"/>
          <w:color w:val="auto"/>
        </w:rPr>
        <w:t>For taxable years beginning after 2017, no more than 20% of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total assets may consist of the securities of one or more taxable REIT subsidiaries.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Prohibited Transaction Safe Harbor. </w:t>
      </w:r>
      <w:r>
        <w:rPr>
          <w:rFonts w:ascii="Arial" w:cs="Arial" w:eastAsia="Arial" w:hAnsi="Arial"/>
          <w:sz w:val="18"/>
          <w:szCs w:val="18"/>
          <w:color w:val="auto"/>
        </w:rPr>
        <w:t>Certain alternative tests for satisfying the rules contained in the safe harbor provisions, under which certain sales of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assets will not be treated as prohibited transactions, have been added by the PATH Act.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TRS Operation of Foreclosure Property. </w:t>
      </w:r>
      <w:r>
        <w:rPr>
          <w:rFonts w:ascii="Arial" w:cs="Arial" w:eastAsia="Arial" w:hAnsi="Arial"/>
          <w:sz w:val="18"/>
          <w:szCs w:val="18"/>
          <w:color w:val="auto"/>
        </w:rPr>
        <w:t>For taxable years beginning after 2015, a taxable REIT subsidiary may operate property on which we have made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foreclosure property election without loss of foreclosure property status.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Modification to Preferential Dividend Rules. </w:t>
      </w:r>
      <w:r>
        <w:rPr>
          <w:rFonts w:ascii="Arial" w:cs="Arial" w:eastAsia="Arial" w:hAnsi="Arial"/>
          <w:sz w:val="18"/>
          <w:szCs w:val="18"/>
          <w:color w:val="auto"/>
        </w:rPr>
        <w:t>For distributions in taxable years beginning after 2014, the preferential dividend rules do not apply to “publicly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REITs” A “publicly offered REIT” means a REIT which is required to file annual and periodic reports with the Securities and Exchange Commission under the Exchange Act. We are a publicly offered REIT.</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 xml:space="preserve">Limitations on Designation of Dividends by REITs. </w:t>
      </w:r>
      <w:r>
        <w:rPr>
          <w:rFonts w:ascii="Arial" w:cs="Arial" w:eastAsia="Arial" w:hAnsi="Arial"/>
          <w:sz w:val="17"/>
          <w:szCs w:val="17"/>
          <w:color w:val="auto"/>
        </w:rPr>
        <w:t>The aggregate amount of dividends that we may designate as qualified dividend income or as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 dividends with respect to any taxable year beginning after 2015 cannot exceed the dividends actually paid by us during such year.</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Debt Instruments of Publicly Offered REITs and Mortgages Treated as Real Estate Assets. </w:t>
      </w:r>
      <w:r>
        <w:rPr>
          <w:rFonts w:ascii="Arial" w:cs="Arial" w:eastAsia="Arial" w:hAnsi="Arial"/>
          <w:sz w:val="18"/>
          <w:szCs w:val="18"/>
          <w:color w:val="auto"/>
        </w:rPr>
        <w:t>Debt instruments issued by publicly offered REITs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will be treated as real estate assets for purposes of the 75% asset test. Income from such debt instruments is qualifying income for purposes of the 95% gross income test, but is not qualifying income for purposes of the 75% gross income test.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Asset and Income Test Clarification Regarding Ancillary Personal Property. </w:t>
      </w:r>
      <w:r>
        <w:rPr>
          <w:rFonts w:ascii="Arial" w:cs="Arial" w:eastAsia="Arial" w:hAnsi="Arial"/>
          <w:sz w:val="17"/>
          <w:szCs w:val="17"/>
          <w:color w:val="auto"/>
        </w:rPr>
        <w:t>Under current law, rent attributable to personal property which is leased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in connection 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provides that, for taxable years beginning after 2015, personal property leased in connection with a lease of real property will be treated as a real estate asset for purposes of the 75% asset test to the extent that rents attributable to such personal property meets the 15% test described above. In addition, for taxable years beginning after 2015, debt secured by a mortgage on both real and personal property will qualify as a real estate asset for purposes of the 75% asset test, and interest on such debt will be qualifying income for purposes of both the 95% and 75% gross income tests, if the fair market value of the personal property does not exceed 15% of the total fair market value of all property securing the debt.</w:t>
      </w:r>
    </w:p>
    <w:p>
      <w:pPr>
        <w:spacing w:after="0" w:line="1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 xml:space="preserve">Hedging Provisions. </w:t>
      </w:r>
      <w:r>
        <w:rPr>
          <w:rFonts w:ascii="Arial" w:cs="Arial" w:eastAsia="Arial" w:hAnsi="Arial"/>
          <w:sz w:val="16"/>
          <w:szCs w:val="16"/>
          <w:color w:val="auto"/>
        </w:rPr>
        <w:t>For taxable years beginning after 2015, certain income from hedging transactions entered into to hedge existing hedging positions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portion of the hedged indebtedness or property is disposed of will not be included in income for purposes of the 95% and 75% gross income tests.</w:t>
      </w:r>
    </w:p>
    <w:p>
      <w:pPr>
        <w:spacing w:after="0" w:line="1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 xml:space="preserve">Modification of REIT Earnings and Profits Calculation. </w:t>
      </w:r>
      <w:r>
        <w:rPr>
          <w:rFonts w:ascii="Arial" w:cs="Arial" w:eastAsia="Arial" w:hAnsi="Arial"/>
          <w:sz w:val="16"/>
          <w:szCs w:val="16"/>
          <w:color w:val="auto"/>
        </w:rPr>
        <w:t>The PATH Act modified the special earnings and profits rules in the Code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for taxable years after 2015, will not be treated as receiving taxable dividends from a REIT that exceed the earnings and profits of the REIT.</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Treatment of Certain Services Provided by Taxable REIT Subsidiaries. </w:t>
      </w:r>
      <w:r>
        <w:rPr>
          <w:rFonts w:ascii="Arial" w:cs="Arial" w:eastAsia="Arial" w:hAnsi="Arial"/>
          <w:sz w:val="16"/>
          <w:szCs w:val="16"/>
          <w:color w:val="auto"/>
        </w:rPr>
        <w:t>For taxable years beginning after 2015, a 100% excise tax is imposed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“redetermined TRS service income,” which is income of a taxable REIT subsidiary attributable to services provided to, or on behalf of, its associated REIT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Exceptions from FIRPTA for Certain REIT Stock Gains and Distributions. </w:t>
      </w:r>
      <w:r>
        <w:rPr>
          <w:rFonts w:ascii="Arial" w:cs="Arial" w:eastAsia="Arial" w:hAnsi="Arial"/>
          <w:sz w:val="16"/>
          <w:szCs w:val="16"/>
          <w:color w:val="auto"/>
        </w:rPr>
        <w:t>On or after December 18, 2015, the disposition of stock of a publicly traded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shareholders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Determination of Domestically Controlled REIT Status. </w:t>
      </w:r>
      <w:r>
        <w:rPr>
          <w:rFonts w:ascii="Arial" w:cs="Arial" w:eastAsia="Arial" w:hAnsi="Arial"/>
          <w:sz w:val="17"/>
          <w:szCs w:val="17"/>
          <w:color w:val="auto"/>
        </w:rPr>
        <w:t>In determining whether a REIT is domestically controlled for purposes of the exception to FIRPTA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dispositions of domestically controlled REIT stock, the REIT may presume that holders of less than 5% of a class of stock regularly traded on an established securities market in the United States are U.S. persons throughout the testing period, except to the extent that the REIT has actual knowledge to the contrary. In addition, any stock in the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FIRPTA Exception for Interests Held by Foreign Retirement or Pension Funds. </w:t>
      </w:r>
      <w:r>
        <w:rPr>
          <w:rFonts w:ascii="Arial" w:cs="Arial" w:eastAsia="Arial" w:hAnsi="Arial"/>
          <w:sz w:val="17"/>
          <w:szCs w:val="17"/>
          <w:color w:val="auto"/>
        </w:rPr>
        <w:t>“Qualified foreign pension funds” and entities that are wholly owned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 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Increase in Rate of FIRPTA Withholding. </w:t>
      </w:r>
      <w:r>
        <w:rPr>
          <w:rFonts w:ascii="Arial" w:cs="Arial" w:eastAsia="Arial" w:hAnsi="Arial"/>
          <w:sz w:val="18"/>
          <w:szCs w:val="18"/>
          <w:color w:val="auto"/>
        </w:rPr>
        <w:t>For sales of United States real property interests occurring after February 16, 2016, the FIRPTA withholding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dispositions of United States real property interests and certain distributions increases from 10% to 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Bipartisan Budget Act Alteration of Rules Concerning Liability for Partnership Audit Adjustments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new rule generally does not apply to audits of taxable years beginning before January 1, 2018, and many of the details, including the means by which a partnership can avail itself of the alternative methods and the manner in which the alternative methods may apply to REITs, will be determined through yet-to-be-proposed Treasury regulations or other guidance.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“Non-U.S. Holder” means any beneficial owner of a note that is neither a U.S. Holder nor an entity or arrangement treated as a partnership for U.S. federal income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Unless a non-recognition provision applies, upon the sale, exchange, redemption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general, information reporting will apply to a U.S. Holder (other than an “exempt recipient,”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certain other persons who, when required, demonstrate their exempt status) with respect to:</w:t>
      </w:r>
    </w:p>
    <w:p>
      <w:pPr>
        <w:spacing w:after="0" w:line="7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Non-U.S. Holder that is not exempt from tax under these rules generally will be subject to U.S. federal income tax withholding at a rate of 30% unless:</w:t>
      </w:r>
    </w:p>
    <w:p>
      <w:pPr>
        <w:spacing w:after="0" w:line="142" w:lineRule="exact"/>
        <w:rPr>
          <w:sz w:val="20"/>
          <w:szCs w:val="20"/>
          <w:color w:val="auto"/>
        </w:rPr>
      </w:pPr>
    </w:p>
    <w:p>
      <w:pPr>
        <w:ind w:left="900" w:right="5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4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FATCA Regime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sections 1471 through 1474 of the Code, Treasury regulations and related guidance (commonly referred to as “FATCA”), a 30%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withholding tax will be imposed in certain circumstances on payments of (i) interest on the notes and (ii) beginning on or after January 1, 2019, gross proceeds from the sale or other disposition of the notes (which includes redemption and retirement of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Deutsche Bank Securities Inc. and U.S. Bancorp Investments, Inc.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Wells Fargo</w:t>
            </w:r>
          </w:p>
        </w:tc>
        <w:tc>
          <w:tcPr>
            <w:tcW w:w="6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LLC</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the notes to the public at the initial public offering price on the cover page of this prospectus</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Paid by Us</w:t>
      </w:r>
    </w:p>
    <w:p>
      <w:pPr>
        <w:spacing w:after="0" w:line="10"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6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 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340360</wp:posOffset>
            </wp:positionV>
            <wp:extent cx="2263775" cy="875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6377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220"/>
        <w:spacing w:after="0"/>
        <w:rPr>
          <w:sz w:val="20"/>
          <w:szCs w:val="20"/>
          <w:color w:val="auto"/>
        </w:rPr>
      </w:pPr>
      <w:r>
        <w:rPr>
          <w:rFonts w:ascii="Arial" w:cs="Arial" w:eastAsia="Arial" w:hAnsi="Arial"/>
          <w:sz w:val="27"/>
          <w:szCs w:val="27"/>
          <w:b w:val="1"/>
          <w:bCs w:val="1"/>
          <w:color w:val="auto"/>
        </w:rPr>
        <w:t>Wells Fargo Securities</w:t>
      </w:r>
    </w:p>
    <w:p>
      <w:pPr>
        <w:spacing w:after="0" w:line="135"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Deutche Bank Securities</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408940</wp:posOffset>
            </wp:positionV>
            <wp:extent cx="1517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8"/>
          <w:szCs w:val="18"/>
          <w:b w:val="1"/>
          <w:bCs w:val="1"/>
          <w:color w:val="auto"/>
        </w:rPr>
        <w:t>July</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lvl w:ilvl="1">
      <w:lvlJc w:val="left"/>
      <w:lvlText w:val="•"/>
      <w:numFmt w:val="bullet"/>
      <w:start w:val="1"/>
    </w:lvl>
  </w:abstractNum>
  <w:abstractNum w:abstractNumId="2">
    <w:nsid w:val="579478FE"/>
    <w:multiLevelType w:val="hybridMultilevel"/>
    <w:lvl w:ilvl="0">
      <w:lvlJc w:val="left"/>
      <w:lvlText w:val="(%1)"/>
      <w:numFmt w:val="decimal"/>
      <w:start w:val="800"/>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1)"/>
      <w:numFmt w:val="decimal"/>
      <w:start w:val="2"/>
    </w:lvl>
  </w:abstractNum>
  <w:abstractNum w:abstractNumId="5">
    <w:nsid w:val="1BA026FA"/>
    <w:multiLevelType w:val="hybridMultilevel"/>
    <w:lvl w:ilvl="0">
      <w:lvlJc w:val="left"/>
      <w:lvlText w:val="(%1)"/>
      <w:numFmt w:val="decimal"/>
      <w:start w:val="4"/>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decimal"/>
      <w:start w:val="5"/>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lowerLetter"/>
      <w:start w:val="2"/>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lvl w:ilvl="1">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lvl w:ilvl="1">
      <w:lvlJc w:val="left"/>
      <w:lvlText w:val="•"/>
      <w:numFmt w:val="bullet"/>
      <w:start w:val="1"/>
    </w:lvl>
  </w:abstractNum>
  <w:abstractNum w:abstractNumId="35">
    <w:nsid w:val="1DBABF00"/>
    <w:multiLevelType w:val="hybridMultilevel"/>
    <w:lvl w:ilvl="0">
      <w:lvlJc w:val="left"/>
      <w:lvlText w:val="•"/>
      <w:numFmt w:val="bullet"/>
      <w:start w:val="1"/>
    </w:lvl>
    <w:lvl w:ilvl="1">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decimal"/>
      <w:start w:val="5"/>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2"/>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lvl w:ilvl="1">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lvl w:ilvl="1">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lvl w:ilvl="1">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lvl w:ilvl="1">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emdash "/>
      <w:numFmt w:val="bullet"/>
      <w:start w:val="1"/>
    </w:lvl>
  </w:abstractNum>
  <w:abstractNum w:abstractNumId="85">
    <w:nsid w:val="46B7D447"/>
    <w:multiLevelType w:val="hybridMultilevel"/>
    <w:lvl w:ilvl="0">
      <w:lvlJc w:val="left"/>
      <w:lvlText w:val="•"/>
      <w:numFmt w:val="bullet"/>
      <w:start w:val="1"/>
    </w:lvl>
    <w:lvl w:ilvl="1">
      <w:lvlJc w:val="left"/>
      <w:lvlText w:val="•"/>
      <w:numFmt w:val="bullet"/>
      <w:start w:val="1"/>
    </w:lvl>
  </w:abstractNum>
  <w:abstractNum w:abstractNumId="86">
    <w:nsid w:val="4A2AC315"/>
    <w:multiLevelType w:val="hybridMultilevel"/>
    <w:lvl w:ilvl="0">
      <w:lvlJc w:val="left"/>
      <w:lvlText w:val="(%1)"/>
      <w:numFmt w:val="lowerRoman"/>
      <w:start w:val="2"/>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2"/>
    </w:lvl>
  </w:abstractNum>
  <w:abstractNum w:abstractNumId="93">
    <w:nsid w:val="7F01579B"/>
    <w:multiLevelType w:val="hybridMultilevel"/>
    <w:lvl w:ilvl="0">
      <w:lvlJc w:val="left"/>
      <w:lvlText w:val="(%1)"/>
      <w:numFmt w:val="decimal"/>
      <w:start w:val="4"/>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2019-12-05T06:18:18Z</dcterms:created>
  <dcterms:modified xsi:type="dcterms:W3CDTF">2019-12-05T06:18:18Z</dcterms:modified>
</cp:coreProperties>
</file>