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VASSALLUZZO JOSEPH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9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FEDERAL REALTY INVESTMENT TRUST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FRT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20852-4041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Common shares of beneficial interest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01/04/2010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1,108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8"/>
              </w:rPr>
              <w:t>10,520.5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8000"/>
        </w:rPr>
        <w:t>1. Includes 2.698 shares acquired through the dividend reinvestment program since the last Form 4 filing.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Dawn M. Becker, by power of attorney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01/05/2010</w:t>
            </w:r>
          </w:p>
        </w:tc>
      </w:tr>
      <w:tr>
        <w:trPr>
          <w:trHeight w:val="150"/>
        </w:trPr>
        <w:tc>
          <w:tcPr>
            <w:tcW w:w="1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Andrew P. Blocher and Dawn M. Becker, signing singly, as his or her true 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17th day of February, 2009.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Joseph S. Vassalluzzo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Joseph S. Vassalluzzo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sectPr>
      <w:pgSz w:w="11900" w:h="16838" w:orient="portrait"/>
      <w:cols w:equalWidth="0" w:num="1">
        <w:col w:w="11520"/>
      </w:cols>
      <w:pgMar w:left="220" w:top="81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2019-12-17T10:37:07Z</dcterms:created>
  <dcterms:modified xsi:type="dcterms:W3CDTF">2019-12-17T10:37:07Z</dcterms:modified>
</cp:coreProperties>
</file>