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May 23, 2003</w:t>
      </w:r>
    </w:p>
    <w:p>
      <w:pPr>
        <w:spacing w:after="0" w:line="200" w:lineRule="exact"/>
        <w:rPr>
          <w:sz w:val="24"/>
          <w:szCs w:val="24"/>
          <w:color w:val="auto"/>
        </w:rPr>
      </w:pPr>
    </w:p>
    <w:p>
      <w:pPr>
        <w:spacing w:after="0" w:line="209" w:lineRule="exact"/>
        <w:rPr>
          <w:sz w:val="24"/>
          <w:szCs w:val="24"/>
          <w:color w:val="auto"/>
        </w:rPr>
      </w:pPr>
    </w:p>
    <w:p>
      <w:pPr>
        <w:jc w:val="center"/>
        <w:ind w:left="220" w:right="2319"/>
        <w:spacing w:after="0" w:line="236" w:lineRule="auto"/>
        <w:rPr>
          <w:sz w:val="20"/>
          <w:szCs w:val="20"/>
          <w:color w:val="auto"/>
        </w:rPr>
      </w:pPr>
      <w:r>
        <w:rPr>
          <w:rFonts w:ascii="Courier New" w:cs="Courier New" w:eastAsia="Courier New" w:hAnsi="Courier New"/>
          <w:sz w:val="18"/>
          <w:szCs w:val="18"/>
          <w:color w:val="auto"/>
        </w:rPr>
        <w:t>Federal Realty Investment Trust ------------------------------- (Exact name of registrant as specified in its charter)</w:t>
      </w:r>
    </w:p>
    <w:p>
      <w:pPr>
        <w:sectPr>
          <w:pgSz w:w="11900" w:h="16838" w:orient="portrait"/>
          <w:cols w:equalWidth="0" w:num="1">
            <w:col w:w="9899"/>
          </w:cols>
          <w:pgMar w:left="560" w:top="649" w:right="1440" w:bottom="1440" w:gutter="0" w:footer="0" w:header="0"/>
        </w:sectPr>
      </w:pPr>
    </w:p>
    <w:p>
      <w:pPr>
        <w:spacing w:after="0" w:line="200" w:lineRule="exact"/>
        <w:rPr>
          <w:sz w:val="24"/>
          <w:szCs w:val="24"/>
          <w:color w:val="auto"/>
        </w:rPr>
      </w:pPr>
    </w:p>
    <w:p>
      <w:pPr>
        <w:spacing w:after="0" w:line="20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1-07533</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52-0782497</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180" w:space="720"/>
            <w:col w:w="1500" w:space="720"/>
            <w:col w:w="3779"/>
          </w:cols>
          <w:pgMar w:left="560" w:top="649" w:right="1440" w:bottom="1440" w:gutter="0" w:footer="0" w:header="0"/>
          <w:type w:val="continuous"/>
        </w:sectPr>
      </w:pPr>
    </w:p>
    <w:p>
      <w:pPr>
        <w:spacing w:after="0" w:line="7" w:lineRule="exact"/>
        <w:rPr>
          <w:sz w:val="24"/>
          <w:szCs w:val="24"/>
          <w:color w:val="auto"/>
        </w:rPr>
      </w:pPr>
    </w:p>
    <w:p>
      <w:pPr>
        <w:ind w:left="100" w:right="1060" w:hanging="104"/>
        <w:spacing w:after="0" w:line="290" w:lineRule="auto"/>
        <w:rPr>
          <w:sz w:val="20"/>
          <w:szCs w:val="20"/>
          <w:color w:val="auto"/>
        </w:rPr>
      </w:pPr>
      <w:r>
        <w:rPr>
          <w:rFonts w:ascii="Courier New" w:cs="Courier New" w:eastAsia="Courier New" w:hAnsi="Courier New"/>
          <w:sz w:val="16"/>
          <w:szCs w:val="16"/>
          <w:color w:val="auto"/>
        </w:rPr>
        <w:t>1626 East Jefferson Street, Rockville, Maryland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20852-4041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4"/>
          <w:szCs w:val="24"/>
          <w:color w:val="auto"/>
        </w:rPr>
      </w:pPr>
    </w:p>
    <w:p>
      <w:pPr>
        <w:sectPr>
          <w:pgSz w:w="11900" w:h="16838" w:orient="portrait"/>
          <w:cols w:equalWidth="0" w:num="2">
            <w:col w:w="6020" w:space="720"/>
            <w:col w:w="3159"/>
          </w:cols>
          <w:pgMar w:left="560" w:top="649"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301/998-8100</w:t>
      </w:r>
    </w:p>
    <w:p>
      <w:pPr>
        <w:sectPr>
          <w:pgSz w:w="11900" w:h="16838" w:orient="portrait"/>
          <w:cols w:equalWidth="0" w:num="1">
            <w:col w:w="9899"/>
          </w:cols>
          <w:pgMar w:left="560" w:top="64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May 23, 2003, Federal Realty Investment Trust, or the Trust, directed Citibank, N.A. to publish notice to the holders of the Trust's 5 1/4% Convertible Subordinated Debentures due 2003, which we refer to as the Debentures, stating that the Trust will redeem all of the Debentures effective June 23, 2003, which is the Redemption Date. The Debentures will be redeemed at the Redemption Price, which is 100% of the principal amount, together with accrued and unpaid interest from April 28, 2003 through the Redemption Date. The redemption is made pursuant to the terms of the Fiscal Agency Agreement, dated as of October 28, 1993, between Citibank, N.A. and the Trust, and the Debentures and related indenture.</w:t>
      </w:r>
    </w:p>
    <w:p>
      <w:pPr>
        <w:spacing w:after="0" w:line="215"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For further information concerning the redemption, see the Notice of Redemption filed as an exhibit to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 The following exhibit is included as part of this report.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Redemption, dated May 23, 2003.</w:t>
      </w:r>
    </w:p>
    <w:p>
      <w:pPr>
        <w:sectPr>
          <w:pgSz w:w="11900" w:h="16838" w:orient="portrait"/>
          <w:cols w:equalWidth="0" w:num="2">
            <w:col w:w="1600" w:space="720"/>
            <w:col w:w="7899"/>
          </w:cols>
          <w:pgMar w:left="240" w:top="717"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29, 2003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Dawn M. Becker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Dawn M. Becker</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and Secretary</w:t>
      </w:r>
    </w:p>
    <w:p>
      <w:pPr>
        <w:sectPr>
          <w:pgSz w:w="11900" w:h="16838" w:orient="portrait"/>
          <w:cols w:equalWidth="0" w:num="2">
            <w:col w:w="3080" w:space="720"/>
            <w:col w:w="6419"/>
          </w:cols>
          <w:pgMar w:left="240" w:top="717"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Notice of Redemption, dated May 23, 2003.</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NOTICE OF FULL REDEMPTION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To the Holders of</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1679"/>
        <w:spacing w:after="0" w:line="238" w:lineRule="auto"/>
        <w:rPr>
          <w:sz w:val="20"/>
          <w:szCs w:val="20"/>
          <w:color w:val="auto"/>
        </w:rPr>
      </w:pPr>
      <w:r>
        <w:rPr>
          <w:rFonts w:ascii="Courier New" w:cs="Courier New" w:eastAsia="Courier New" w:hAnsi="Courier New"/>
          <w:sz w:val="18"/>
          <w:szCs w:val="18"/>
          <w:color w:val="auto"/>
        </w:rPr>
        <w:t>5-1/4% Convertible Subordinated Debentures due 2003</w:t>
      </w:r>
    </w:p>
    <w:p>
      <w:pPr>
        <w:jc w:val="center"/>
        <w:ind w:right="1779"/>
        <w:spacing w:after="0"/>
        <w:rPr>
          <w:sz w:val="20"/>
          <w:szCs w:val="20"/>
          <w:color w:val="auto"/>
        </w:rPr>
      </w:pPr>
      <w:r>
        <w:rPr>
          <w:rFonts w:ascii="Courier New" w:cs="Courier New" w:eastAsia="Courier New" w:hAnsi="Courier New"/>
          <w:sz w:val="18"/>
          <w:szCs w:val="18"/>
          <w:color w:val="auto"/>
        </w:rPr>
        <w:t>ISIN NUMBER XS0046430541</w:t>
      </w:r>
    </w:p>
    <w:p>
      <w:pPr>
        <w:spacing w:after="0" w:line="20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NOTICE IS HEREBY GIVEN pursuant to the terms of the Fiscal Agency Agreement, dated as of October 28, 1993, between Citibank, N.A (the "Fiscal Agent") and Federal Realty Investment Trust (the "Issuer"), under which the above-described 5-1/4% Convertible Subordinated Debentures due 2003 (the "Debentures") were issued, that the Issuer has elected to redeem all of the outstanding Debentures on June 23, 2003 (the "Redemption Date") at a redemption price of 100% of the principal amount thereof, together with accrued and unpaid interest from April 28, 2003 through the Redemption Date (the "Redemption Price").</w:t>
      </w:r>
    </w:p>
    <w:p>
      <w:pPr>
        <w:spacing w:after="0" w:line="21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Redemption Price will become due and payable upon each Debenture on the Redemption Date. Interest on the Debentures will cease to accrue on and after the Redemption Date.</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Payment of the Redemption Price on each Debenture will be made on and after the Redemption Date UPON PRESENTATION AND SURRENDER of the Debentures together will all coupons maturing after April 28, 2003 to:</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Citibank, N.A.</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Citibank N.A</w:t>
            </w:r>
          </w:p>
        </w:tc>
        <w:tc>
          <w:tcPr>
            <w:tcW w:w="840" w:type="dxa"/>
            <w:vAlign w:val="bottom"/>
          </w:tcPr>
          <w:p>
            <w:pPr>
              <w:spacing w:after="0"/>
              <w:rPr>
                <w:sz w:val="17"/>
                <w:szCs w:val="17"/>
                <w:color w:val="auto"/>
              </w:rPr>
            </w:pP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w w:val="97"/>
              </w:rPr>
              <w:t>Dexia Banque Internationale a</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111</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Wall Street-15th Floor</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 Box</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18055</w:t>
            </w:r>
          </w:p>
        </w:tc>
        <w:tc>
          <w:tcPr>
            <w:tcW w:w="840" w:type="dxa"/>
            <w:vAlign w:val="bottom"/>
          </w:tcPr>
          <w:p>
            <w:pPr>
              <w:spacing w:after="0"/>
              <w:rPr>
                <w:sz w:val="17"/>
                <w:szCs w:val="17"/>
                <w:color w:val="auto"/>
              </w:rPr>
            </w:pPr>
          </w:p>
        </w:tc>
        <w:tc>
          <w:tcPr>
            <w:tcW w:w="32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Luxembourg</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New</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New York 10043</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5 Carmelite</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w:t>
            </w:r>
          </w:p>
        </w:tc>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69 Route d'Esch</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 Agency &amp; Trust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London</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EC4Y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0PA</w:t>
            </w:r>
          </w:p>
        </w:tc>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L-2953 Luxembourg</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519" w:firstLine="948"/>
        <w:spacing w:after="0" w:line="268" w:lineRule="auto"/>
        <w:rPr>
          <w:sz w:val="20"/>
          <w:szCs w:val="20"/>
          <w:color w:val="auto"/>
        </w:rPr>
      </w:pPr>
      <w:r>
        <w:rPr>
          <w:rFonts w:ascii="Courier New" w:cs="Courier New" w:eastAsia="Courier New" w:hAnsi="Courier New"/>
          <w:sz w:val="16"/>
          <w:szCs w:val="16"/>
          <w:color w:val="auto"/>
        </w:rPr>
        <w:t>The Debentures are convertible into common shares of beneficial interest of the Issuer, par value $.01 per share, at a conversion rate of</w:t>
      </w:r>
    </w:p>
    <w:p>
      <w:pPr>
        <w:ind w:right="1779"/>
        <w:spacing w:after="0" w:line="236" w:lineRule="auto"/>
        <w:rPr>
          <w:sz w:val="20"/>
          <w:szCs w:val="20"/>
          <w:color w:val="auto"/>
        </w:rPr>
      </w:pPr>
      <w:r>
        <w:rPr>
          <w:rFonts w:ascii="Courier New" w:cs="Courier New" w:eastAsia="Courier New" w:hAnsi="Courier New"/>
          <w:sz w:val="18"/>
          <w:szCs w:val="18"/>
          <w:color w:val="auto"/>
        </w:rPr>
        <w:t>27.7778 shares per US$1,000 principal amount of Debentures, which is equivalent to a conversion price of US$36.00 per share. The conversion right will expire on the Redemption Date.</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Citibank, N.A.,</w:t>
      </w:r>
    </w:p>
    <w:p>
      <w:pPr>
        <w:jc w:val="right"/>
        <w:ind w:right="1779"/>
        <w:spacing w:after="0" w:line="238" w:lineRule="auto"/>
        <w:rPr>
          <w:sz w:val="20"/>
          <w:szCs w:val="20"/>
          <w:color w:val="auto"/>
        </w:rPr>
      </w:pPr>
      <w:r>
        <w:rPr>
          <w:rFonts w:ascii="Courier New" w:cs="Courier New" w:eastAsia="Courier New" w:hAnsi="Courier New"/>
          <w:sz w:val="18"/>
          <w:szCs w:val="18"/>
          <w:color w:val="auto"/>
        </w:rPr>
        <w:t>as Fiscal Agent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23, 2003</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2019-12-11T18:11:49Z</dcterms:created>
  <dcterms:modified xsi:type="dcterms:W3CDTF">2019-12-11T18:11:49Z</dcterms:modified>
</cp:coreProperties>
</file>