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30, 2019</w:t>
      </w:r>
    </w:p>
    <w:p>
      <w:pPr>
        <w:spacing w:after="0" w:line="200" w:lineRule="exact"/>
        <w:rPr>
          <w:sz w:val="24"/>
          <w:szCs w:val="24"/>
          <w:color w:val="auto"/>
        </w:rPr>
      </w:pPr>
    </w:p>
    <w:p>
      <w:pPr>
        <w:spacing w:after="0" w:line="36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Federal Realty Investment Trust</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36" w:lineRule="exact"/>
        <w:rPr>
          <w:sz w:val="24"/>
          <w:szCs w:val="24"/>
          <w:color w:val="auto"/>
        </w:rPr>
      </w:pPr>
    </w:p>
    <w:tbl>
      <w:tblPr>
        <w:tblLayout w:type="fixed"/>
        <w:tblInd w:w="200" w:type="dxa"/>
        <w:tblCellMar>
          <w:top w:w="0" w:type="dxa"/>
          <w:left w:w="0" w:type="dxa"/>
          <w:bottom w:w="0" w:type="dxa"/>
          <w:right w:w="0" w:type="dxa"/>
        </w:tblCellMar>
      </w:tblPr>
      <w:tr>
        <w:trPr>
          <w:trHeight w:val="238"/>
        </w:trPr>
        <w:tc>
          <w:tcPr>
            <w:tcW w:w="4960" w:type="dxa"/>
            <w:vAlign w:val="bottom"/>
            <w:gridSpan w:val="3"/>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1-07533</w:t>
            </w:r>
          </w:p>
        </w:tc>
        <w:tc>
          <w:tcPr>
            <w:tcW w:w="600" w:type="dxa"/>
            <w:vAlign w:val="bottom"/>
          </w:tcPr>
          <w:p>
            <w:pPr>
              <w:spacing w:after="0"/>
              <w:rPr>
                <w:sz w:val="20"/>
                <w:szCs w:val="20"/>
                <w:color w:val="auto"/>
              </w:rPr>
            </w:pPr>
          </w:p>
        </w:tc>
        <w:tc>
          <w:tcPr>
            <w:tcW w:w="3820" w:type="dxa"/>
            <w:vAlign w:val="bottom"/>
            <w:gridSpan w:val="2"/>
          </w:tcPr>
          <w:p>
            <w:pPr>
              <w:jc w:val="center"/>
              <w:ind w:left="1413"/>
              <w:spacing w:after="0"/>
              <w:rPr>
                <w:sz w:val="20"/>
                <w:szCs w:val="20"/>
                <w:color w:val="auto"/>
              </w:rPr>
            </w:pPr>
            <w:r>
              <w:rPr>
                <w:rFonts w:ascii="Times New Roman" w:cs="Times New Roman" w:eastAsia="Times New Roman" w:hAnsi="Times New Roman"/>
                <w:sz w:val="18"/>
                <w:szCs w:val="18"/>
                <w:b w:val="1"/>
                <w:bCs w:val="1"/>
                <w:color w:val="auto"/>
              </w:rPr>
              <w:t>52-0782497</w:t>
            </w:r>
          </w:p>
        </w:tc>
      </w:tr>
      <w:tr>
        <w:trPr>
          <w:trHeight w:val="169"/>
        </w:trPr>
        <w:tc>
          <w:tcPr>
            <w:tcW w:w="4960" w:type="dxa"/>
            <w:vAlign w:val="bottom"/>
            <w:gridSpan w:val="3"/>
          </w:tcPr>
          <w:p>
            <w:pPr>
              <w:jc w:val="center"/>
              <w:ind w:right="1590"/>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w:t>
            </w:r>
          </w:p>
        </w:tc>
        <w:tc>
          <w:tcPr>
            <w:tcW w:w="1720" w:type="dxa"/>
            <w:vAlign w:val="bottom"/>
            <w:gridSpan w:val="2"/>
          </w:tcPr>
          <w:p>
            <w:pPr>
              <w:jc w:val="center"/>
              <w:ind w:right="700"/>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600" w:type="dxa"/>
            <w:vAlign w:val="bottom"/>
          </w:tcPr>
          <w:p>
            <w:pPr>
              <w:spacing w:after="0"/>
              <w:rPr>
                <w:sz w:val="14"/>
                <w:szCs w:val="14"/>
                <w:color w:val="auto"/>
              </w:rPr>
            </w:pPr>
          </w:p>
        </w:tc>
        <w:tc>
          <w:tcPr>
            <w:tcW w:w="3220" w:type="dxa"/>
            <w:vAlign w:val="bottom"/>
          </w:tcPr>
          <w:p>
            <w:pPr>
              <w:jc w:val="center"/>
              <w:ind w:left="850"/>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4960" w:type="dxa"/>
            <w:vAlign w:val="bottom"/>
            <w:gridSpan w:val="3"/>
          </w:tcPr>
          <w:p>
            <w:pPr>
              <w:jc w:val="center"/>
              <w:ind w:right="1590"/>
              <w:spacing w:after="0"/>
              <w:rPr>
                <w:sz w:val="20"/>
                <w:szCs w:val="20"/>
                <w:color w:val="auto"/>
              </w:rPr>
            </w:pPr>
            <w:r>
              <w:rPr>
                <w:rFonts w:ascii="Times New Roman" w:cs="Times New Roman" w:eastAsia="Times New Roman" w:hAnsi="Times New Roman"/>
                <w:sz w:val="13"/>
                <w:szCs w:val="13"/>
                <w:b w:val="1"/>
                <w:bCs w:val="1"/>
                <w:color w:val="auto"/>
                <w:w w:val="96"/>
              </w:rPr>
              <w:t>of incorporation)</w:t>
            </w:r>
          </w:p>
        </w:tc>
        <w:tc>
          <w:tcPr>
            <w:tcW w:w="1720" w:type="dxa"/>
            <w:vAlign w:val="bottom"/>
            <w:gridSpan w:val="2"/>
          </w:tcPr>
          <w:p>
            <w:pPr>
              <w:jc w:val="center"/>
              <w:ind w:right="680"/>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600" w:type="dxa"/>
            <w:vAlign w:val="bottom"/>
          </w:tcPr>
          <w:p>
            <w:pPr>
              <w:spacing w:after="0"/>
              <w:rPr>
                <w:sz w:val="14"/>
                <w:szCs w:val="14"/>
                <w:color w:val="auto"/>
              </w:rPr>
            </w:pPr>
          </w:p>
        </w:tc>
        <w:tc>
          <w:tcPr>
            <w:tcW w:w="3220" w:type="dxa"/>
            <w:vAlign w:val="bottom"/>
          </w:tcPr>
          <w:p>
            <w:pPr>
              <w:jc w:val="center"/>
              <w:ind w:left="830"/>
              <w:spacing w:after="0"/>
              <w:rPr>
                <w:sz w:val="20"/>
                <w:szCs w:val="20"/>
                <w:color w:val="auto"/>
              </w:rPr>
            </w:pPr>
            <w:r>
              <w:rPr>
                <w:rFonts w:ascii="Times New Roman" w:cs="Times New Roman" w:eastAsia="Times New Roman" w:hAnsi="Times New Roman"/>
                <w:sz w:val="13"/>
                <w:szCs w:val="13"/>
                <w:b w:val="1"/>
                <w:bCs w:val="1"/>
                <w:color w:val="auto"/>
                <w:w w:val="98"/>
              </w:rPr>
              <w:t>Identification No.)</w:t>
            </w:r>
          </w:p>
        </w:tc>
      </w:tr>
      <w:tr>
        <w:trPr>
          <w:trHeight w:val="597"/>
        </w:trPr>
        <w:tc>
          <w:tcPr>
            <w:tcW w:w="4960" w:type="dxa"/>
            <w:vAlign w:val="bottom"/>
            <w:gridSpan w:val="3"/>
          </w:tcPr>
          <w:p>
            <w:pPr>
              <w:jc w:val="center"/>
              <w:ind w:left="182"/>
              <w:spacing w:after="0"/>
              <w:rPr>
                <w:sz w:val="20"/>
                <w:szCs w:val="20"/>
                <w:color w:val="auto"/>
              </w:rPr>
            </w:pPr>
            <w:r>
              <w:rPr>
                <w:rFonts w:ascii="Times New Roman" w:cs="Times New Roman" w:eastAsia="Times New Roman" w:hAnsi="Times New Roman"/>
                <w:sz w:val="18"/>
                <w:szCs w:val="18"/>
                <w:b w:val="1"/>
                <w:bCs w:val="1"/>
                <w:color w:val="auto"/>
                <w:w w:val="99"/>
              </w:rPr>
              <w:t>1626 East Jefferson Street, Rockville, Maryland</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20" w:type="dxa"/>
            <w:vAlign w:val="bottom"/>
            <w:gridSpan w:val="2"/>
          </w:tcPr>
          <w:p>
            <w:pPr>
              <w:ind w:left="1300"/>
              <w:spacing w:after="0"/>
              <w:rPr>
                <w:sz w:val="20"/>
                <w:szCs w:val="20"/>
                <w:color w:val="auto"/>
              </w:rPr>
            </w:pPr>
            <w:r>
              <w:rPr>
                <w:rFonts w:ascii="Times New Roman" w:cs="Times New Roman" w:eastAsia="Times New Roman" w:hAnsi="Times New Roman"/>
                <w:sz w:val="18"/>
                <w:szCs w:val="18"/>
                <w:b w:val="1"/>
                <w:bCs w:val="1"/>
                <w:color w:val="auto"/>
              </w:rPr>
              <w:t>20852-4041</w:t>
            </w:r>
          </w:p>
        </w:tc>
      </w:tr>
      <w:tr>
        <w:trPr>
          <w:trHeight w:val="200"/>
        </w:trPr>
        <w:tc>
          <w:tcPr>
            <w:tcW w:w="1500" w:type="dxa"/>
            <w:vAlign w:val="bottom"/>
          </w:tcPr>
          <w:p>
            <w:pPr>
              <w:spacing w:after="0"/>
              <w:rPr>
                <w:sz w:val="17"/>
                <w:szCs w:val="17"/>
                <w:color w:val="auto"/>
              </w:rPr>
            </w:pPr>
          </w:p>
        </w:tc>
        <w:tc>
          <w:tcPr>
            <w:tcW w:w="3460" w:type="dxa"/>
            <w:vAlign w:val="bottom"/>
            <w:gridSpan w:val="2"/>
          </w:tcPr>
          <w:p>
            <w:pPr>
              <w:jc w:val="center"/>
              <w:ind w:right="115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20" w:type="dxa"/>
            <w:vAlign w:val="bottom"/>
          </w:tcPr>
          <w:p>
            <w:pPr>
              <w:ind w:left="860"/>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394"/>
        </w:trPr>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700" w:type="dxa"/>
            <w:vAlign w:val="bottom"/>
            <w:gridSpan w:val="5"/>
          </w:tcPr>
          <w:p>
            <w:pPr>
              <w:jc w:val="center"/>
              <w:ind w:right="22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301/998-8100</w:t>
            </w:r>
          </w:p>
        </w:tc>
      </w:tr>
      <w:tr>
        <w:trPr>
          <w:trHeight w:val="405"/>
        </w:trPr>
        <w:tc>
          <w:tcPr>
            <w:tcW w:w="1500" w:type="dxa"/>
            <w:vAlign w:val="bottom"/>
          </w:tcPr>
          <w:p>
            <w:pPr>
              <w:spacing w:after="0"/>
              <w:rPr>
                <w:sz w:val="24"/>
                <w:szCs w:val="24"/>
                <w:color w:val="auto"/>
              </w:rPr>
            </w:pPr>
          </w:p>
        </w:tc>
        <w:tc>
          <w:tcPr>
            <w:tcW w:w="3460" w:type="dxa"/>
            <w:vAlign w:val="bottom"/>
            <w:gridSpan w:val="2"/>
          </w:tcPr>
          <w:p>
            <w:pPr>
              <w:jc w:val="center"/>
              <w:ind w:right="207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82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15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91"/>
        </w:trPr>
        <w:tc>
          <w:tcPr>
            <w:tcW w:w="4960" w:type="dxa"/>
            <w:vAlign w:val="bottom"/>
            <w:gridSpan w:val="3"/>
          </w:tcPr>
          <w:p>
            <w:pPr>
              <w:jc w:val="center"/>
              <w:ind w:right="570"/>
              <w:spacing w:after="0"/>
              <w:rPr>
                <w:sz w:val="20"/>
                <w:szCs w:val="20"/>
                <w:color w:val="auto"/>
              </w:rPr>
            </w:pPr>
            <w:r>
              <w:rPr>
                <w:rFonts w:ascii="Times New Roman" w:cs="Times New Roman" w:eastAsia="Times New Roman" w:hAnsi="Times New Roman"/>
                <w:sz w:val="16"/>
                <w:szCs w:val="16"/>
                <w:color w:val="auto"/>
              </w:rPr>
              <w:t>Common Shares of Beneficial Interest</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6"/>
              </w:rPr>
              <w:t>FRT</w:t>
            </w:r>
          </w:p>
        </w:tc>
        <w:tc>
          <w:tcPr>
            <w:tcW w:w="600" w:type="dxa"/>
            <w:vAlign w:val="bottom"/>
          </w:tcPr>
          <w:p>
            <w:pPr>
              <w:spacing w:after="0"/>
              <w:rPr>
                <w:sz w:val="24"/>
                <w:szCs w:val="24"/>
                <w:color w:val="auto"/>
              </w:rPr>
            </w:pPr>
          </w:p>
        </w:tc>
        <w:tc>
          <w:tcPr>
            <w:tcW w:w="32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43"/>
        </w:trPr>
        <w:tc>
          <w:tcPr>
            <w:tcW w:w="4960" w:type="dxa"/>
            <w:vAlign w:val="bottom"/>
            <w:gridSpan w:val="3"/>
          </w:tcPr>
          <w:p>
            <w:pPr>
              <w:jc w:val="center"/>
              <w:ind w:right="570"/>
              <w:spacing w:after="0"/>
              <w:rPr>
                <w:sz w:val="20"/>
                <w:szCs w:val="20"/>
                <w:color w:val="auto"/>
              </w:rPr>
            </w:pPr>
            <w:r>
              <w:rPr>
                <w:rFonts w:ascii="Times New Roman" w:cs="Times New Roman" w:eastAsia="Times New Roman" w:hAnsi="Times New Roman"/>
                <w:sz w:val="16"/>
                <w:szCs w:val="16"/>
                <w:color w:val="auto"/>
              </w:rPr>
              <w:t>$.01 par value per share, with associated Common Share Purchase</w:t>
            </w:r>
          </w:p>
        </w:tc>
        <w:tc>
          <w:tcPr>
            <w:tcW w:w="1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20" w:type="dxa"/>
            <w:vAlign w:val="bottom"/>
          </w:tcPr>
          <w:p>
            <w:pPr>
              <w:spacing w:after="0"/>
              <w:rPr>
                <w:sz w:val="21"/>
                <w:szCs w:val="21"/>
                <w:color w:val="auto"/>
              </w:rPr>
            </w:pPr>
          </w:p>
        </w:tc>
      </w:tr>
      <w:tr>
        <w:trPr>
          <w:trHeight w:val="210"/>
        </w:trPr>
        <w:tc>
          <w:tcPr>
            <w:tcW w:w="1500" w:type="dxa"/>
            <w:vAlign w:val="bottom"/>
          </w:tcPr>
          <w:p>
            <w:pPr>
              <w:spacing w:after="0"/>
              <w:rPr>
                <w:sz w:val="18"/>
                <w:szCs w:val="18"/>
                <w:color w:val="auto"/>
              </w:rPr>
            </w:pPr>
          </w:p>
        </w:tc>
        <w:tc>
          <w:tcPr>
            <w:tcW w:w="3460" w:type="dxa"/>
            <w:vAlign w:val="bottom"/>
            <w:gridSpan w:val="2"/>
          </w:tcPr>
          <w:p>
            <w:pPr>
              <w:jc w:val="center"/>
              <w:ind w:right="2070"/>
              <w:spacing w:after="0"/>
              <w:rPr>
                <w:sz w:val="20"/>
                <w:szCs w:val="20"/>
                <w:color w:val="auto"/>
              </w:rPr>
            </w:pPr>
            <w:r>
              <w:rPr>
                <w:rFonts w:ascii="Times New Roman" w:cs="Times New Roman" w:eastAsia="Times New Roman" w:hAnsi="Times New Roman"/>
                <w:sz w:val="16"/>
                <w:szCs w:val="16"/>
                <w:color w:val="auto"/>
              </w:rPr>
              <w:t>Rights</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20" w:type="dxa"/>
            <w:vAlign w:val="bottom"/>
          </w:tcPr>
          <w:p>
            <w:pPr>
              <w:spacing w:after="0"/>
              <w:rPr>
                <w:sz w:val="18"/>
                <w:szCs w:val="18"/>
                <w:color w:val="auto"/>
              </w:rPr>
            </w:pPr>
          </w:p>
        </w:tc>
      </w:tr>
      <w:tr>
        <w:trPr>
          <w:trHeight w:val="452"/>
        </w:trPr>
        <w:tc>
          <w:tcPr>
            <w:tcW w:w="4960" w:type="dxa"/>
            <w:vAlign w:val="bottom"/>
            <w:gridSpan w:val="3"/>
          </w:tcPr>
          <w:p>
            <w:pPr>
              <w:jc w:val="center"/>
              <w:ind w:right="570"/>
              <w:spacing w:after="0"/>
              <w:rPr>
                <w:sz w:val="20"/>
                <w:szCs w:val="20"/>
                <w:color w:val="auto"/>
              </w:rPr>
            </w:pPr>
            <w:r>
              <w:rPr>
                <w:rFonts w:ascii="Times New Roman" w:cs="Times New Roman" w:eastAsia="Times New Roman" w:hAnsi="Times New Roman"/>
                <w:sz w:val="16"/>
                <w:szCs w:val="16"/>
                <w:color w:val="auto"/>
              </w:rPr>
              <w:t>Depositary Shares, each representing 1/1000 of a share</w:t>
            </w: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3"/>
              </w:rPr>
              <w:t>FRT-C</w:t>
            </w:r>
          </w:p>
        </w:tc>
        <w:tc>
          <w:tcPr>
            <w:tcW w:w="600" w:type="dxa"/>
            <w:vAlign w:val="bottom"/>
          </w:tcPr>
          <w:p>
            <w:pPr>
              <w:spacing w:after="0"/>
              <w:rPr>
                <w:sz w:val="24"/>
                <w:szCs w:val="24"/>
                <w:color w:val="auto"/>
              </w:rPr>
            </w:pPr>
          </w:p>
        </w:tc>
        <w:tc>
          <w:tcPr>
            <w:tcW w:w="322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40" w:lineRule="exact"/>
        <w:rPr>
          <w:sz w:val="24"/>
          <w:szCs w:val="24"/>
          <w:color w:val="auto"/>
        </w:rPr>
      </w:pPr>
    </w:p>
    <w:p>
      <w:pPr>
        <w:jc w:val="center"/>
        <w:ind w:right="6640"/>
        <w:spacing w:after="0"/>
        <w:rPr>
          <w:sz w:val="20"/>
          <w:szCs w:val="20"/>
          <w:color w:val="auto"/>
        </w:rPr>
      </w:pPr>
      <w:r>
        <w:rPr>
          <w:rFonts w:ascii="Times New Roman" w:cs="Times New Roman" w:eastAsia="Times New Roman" w:hAnsi="Times New Roman"/>
          <w:sz w:val="16"/>
          <w:szCs w:val="16"/>
          <w:color w:val="auto"/>
        </w:rPr>
        <w:t>of 5.00% Series C Cumulative Redeemable Preferred Stock, $.01 par</w:t>
      </w:r>
    </w:p>
    <w:p>
      <w:pPr>
        <w:spacing w:after="0" w:line="26" w:lineRule="exact"/>
        <w:rPr>
          <w:sz w:val="24"/>
          <w:szCs w:val="24"/>
          <w:color w:val="auto"/>
        </w:rPr>
      </w:pPr>
    </w:p>
    <w:p>
      <w:pPr>
        <w:jc w:val="center"/>
        <w:ind w:right="6640"/>
        <w:spacing w:after="0"/>
        <w:rPr>
          <w:sz w:val="20"/>
          <w:szCs w:val="20"/>
          <w:color w:val="auto"/>
        </w:rPr>
      </w:pPr>
      <w:r>
        <w:rPr>
          <w:rFonts w:ascii="Times New Roman" w:cs="Times New Roman" w:eastAsia="Times New Roman" w:hAnsi="Times New Roman"/>
          <w:sz w:val="16"/>
          <w:szCs w:val="16"/>
          <w:color w:val="auto"/>
        </w:rPr>
        <w:t>value per share</w:t>
      </w:r>
    </w:p>
    <w:p>
      <w:pPr>
        <w:spacing w:after="0" w:line="200" w:lineRule="exact"/>
        <w:rPr>
          <w:sz w:val="24"/>
          <w:szCs w:val="24"/>
          <w:color w:val="auto"/>
        </w:rPr>
      </w:pP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rFonts w:ascii="MS PGothic" w:cs="MS PGothic" w:eastAsia="MS PGothic" w:hAnsi="MS PGothic"/>
          <w:sz w:val="18"/>
          <w:szCs w:val="18"/>
          <w:color w:val="auto"/>
        </w:rPr>
      </w:pPr>
    </w:p>
    <w:p>
      <w:pPr>
        <w:ind w:left="500" w:hanging="465"/>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198" w:lineRule="exact"/>
        <w:rPr>
          <w:rFonts w:ascii="MS PGothic" w:cs="MS PGothic" w:eastAsia="MS PGothic" w:hAnsi="MS PGothic"/>
          <w:sz w:val="18"/>
          <w:szCs w:val="18"/>
          <w:color w:val="auto"/>
        </w:rPr>
      </w:pPr>
    </w:p>
    <w:p>
      <w:pPr>
        <w:ind w:left="500" w:hanging="465"/>
        <w:spacing w:after="0" w:line="282" w:lineRule="auto"/>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checkmark if the registrant has elected not use the extended transition period for complying with any new or revised financial accounting standards provided pursuant to Section 13(a) of the Exchange Act.</w:t>
      </w:r>
    </w:p>
    <w:p>
      <w:pPr>
        <w:sectPr>
          <w:pgSz w:w="11900" w:h="16838" w:orient="portrait"/>
          <w:cols w:equalWidth="0" w:num="1">
            <w:col w:w="11340"/>
          </w:cols>
          <w:pgMar w:left="240" w:top="67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24" w:lineRule="exact"/>
        <w:rPr>
          <w:sz w:val="20"/>
          <w:szCs w:val="20"/>
          <w:color w:val="auto"/>
        </w:rPr>
      </w:pPr>
    </w:p>
    <w:p>
      <w:pPr>
        <w:ind w:firstLine="648"/>
        <w:spacing w:after="0" w:line="265" w:lineRule="auto"/>
        <w:rPr>
          <w:sz w:val="20"/>
          <w:szCs w:val="20"/>
          <w:color w:val="auto"/>
        </w:rPr>
      </w:pPr>
      <w:r>
        <w:rPr>
          <w:rFonts w:ascii="Times New Roman" w:cs="Times New Roman" w:eastAsia="Times New Roman" w:hAnsi="Times New Roman"/>
          <w:sz w:val="21"/>
          <w:szCs w:val="21"/>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66" w:lineRule="exact"/>
        <w:rPr>
          <w:sz w:val="20"/>
          <w:szCs w:val="20"/>
          <w:color w:val="auto"/>
        </w:rPr>
      </w:pPr>
    </w:p>
    <w:p>
      <w:pPr>
        <w:jc w:val="both"/>
        <w:ind w:right="20" w:firstLine="648"/>
        <w:spacing w:after="0" w:line="257" w:lineRule="auto"/>
        <w:rPr>
          <w:sz w:val="20"/>
          <w:szCs w:val="20"/>
          <w:color w:val="auto"/>
        </w:rPr>
      </w:pPr>
      <w:r>
        <w:rPr>
          <w:rFonts w:ascii="Times New Roman" w:cs="Times New Roman" w:eastAsia="Times New Roman" w:hAnsi="Times New Roman"/>
          <w:sz w:val="22"/>
          <w:szCs w:val="22"/>
          <w:color w:val="auto"/>
        </w:rPr>
        <w:t>On August 1, 2019, Federal Realty Investment Trust issued supplemental data pertaining to its operations, as well as a press release, to report its financial results for the quarter ended June 30, 2019. The supplemental data and press release are furnished as Exhibit 99.1 hereto.</w:t>
      </w:r>
    </w:p>
    <w:p>
      <w:pPr>
        <w:spacing w:after="0" w:line="16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22"/>
          <w:szCs w:val="22"/>
          <w:b w:val="1"/>
          <w:bCs w:val="1"/>
          <w:color w:val="auto"/>
        </w:rPr>
        <w:t>Item 9.01.</w:t>
      </w:r>
      <w:r>
        <w:rPr>
          <w:sz w:val="20"/>
          <w:szCs w:val="20"/>
          <w:color w:val="auto"/>
        </w:rPr>
        <w:tab/>
      </w:r>
      <w:r>
        <w:rPr>
          <w:rFonts w:ascii="Times New Roman" w:cs="Times New Roman" w:eastAsia="Times New Roman" w:hAnsi="Times New Roman"/>
          <w:sz w:val="21"/>
          <w:szCs w:val="21"/>
          <w:b w:val="1"/>
          <w:bCs w:val="1"/>
          <w:color w:val="auto"/>
        </w:rPr>
        <w:t>Financial Statements and Exhibits.</w:t>
      </w:r>
    </w:p>
    <w:p>
      <w:pPr>
        <w:spacing w:after="0" w:line="23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Exhibits</w:t>
      </w:r>
    </w:p>
    <w:p>
      <w:pPr>
        <w:spacing w:after="0" w:line="233" w:lineRule="exact"/>
        <w:rPr>
          <w:sz w:val="20"/>
          <w:szCs w:val="20"/>
          <w:color w:val="auto"/>
        </w:rPr>
      </w:pPr>
    </w:p>
    <w:p>
      <w:pPr>
        <w:ind w:left="1960"/>
        <w:spacing w:after="0"/>
        <w:tabs>
          <w:tab w:leader="none" w:pos="2540" w:val="left"/>
        </w:tabs>
        <w:rPr>
          <w:sz w:val="20"/>
          <w:szCs w:val="20"/>
          <w:color w:val="auto"/>
        </w:rPr>
      </w:pPr>
      <w:r>
        <w:rPr>
          <w:rFonts w:ascii="Times New Roman" w:cs="Times New Roman" w:eastAsia="Times New Roman" w:hAnsi="Times New Roman"/>
          <w:sz w:val="22"/>
          <w:szCs w:val="22"/>
          <w:color w:val="auto"/>
        </w:rPr>
        <w:t>99.1</w:t>
      </w:r>
      <w:r>
        <w:rPr>
          <w:sz w:val="20"/>
          <w:szCs w:val="20"/>
          <w:color w:val="auto"/>
        </w:rPr>
        <w:tab/>
      </w:r>
      <w:r>
        <w:rPr>
          <w:rFonts w:ascii="Times New Roman" w:cs="Times New Roman" w:eastAsia="Times New Roman" w:hAnsi="Times New Roman"/>
          <w:sz w:val="21"/>
          <w:szCs w:val="21"/>
          <w:color w:val="auto"/>
        </w:rPr>
        <w:t>Supplemental information at June 30, 2019 (including press release dated August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00" w:lineRule="exact"/>
        <w:rPr>
          <w:sz w:val="20"/>
          <w:szCs w:val="20"/>
          <w:color w:val="auto"/>
        </w:rPr>
      </w:pPr>
    </w:p>
    <w:p>
      <w:pPr>
        <w:spacing w:after="0" w:line="240" w:lineRule="exact"/>
        <w:rPr>
          <w:sz w:val="20"/>
          <w:szCs w:val="20"/>
          <w:color w:val="auto"/>
        </w:rPr>
      </w:pPr>
    </w:p>
    <w:p>
      <w:pPr>
        <w:ind w:right="100"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FEDERAL REALTY INVESTMENT TRUST</w:t>
      </w:r>
    </w:p>
    <w:p>
      <w:pPr>
        <w:spacing w:after="0" w:line="372" w:lineRule="exact"/>
        <w:rPr>
          <w:sz w:val="20"/>
          <w:szCs w:val="20"/>
          <w:color w:val="auto"/>
        </w:rPr>
      </w:pPr>
    </w:p>
    <w:p>
      <w:pPr>
        <w:ind w:left="1120"/>
        <w:spacing w:after="0"/>
        <w:tabs>
          <w:tab w:leader="none" w:pos="1780" w:val="left"/>
          <w:tab w:leader="none" w:pos="4960" w:val="left"/>
        </w:tabs>
        <w:rPr>
          <w:sz w:val="20"/>
          <w:szCs w:val="20"/>
          <w:color w:val="auto"/>
        </w:rPr>
      </w:pPr>
      <w:r>
        <w:rPr>
          <w:rFonts w:ascii="Times New Roman" w:cs="Times New Roman" w:eastAsia="Times New Roman" w:hAnsi="Times New Roman"/>
          <w:sz w:val="22"/>
          <w:szCs w:val="22"/>
          <w:color w:val="auto"/>
        </w:rPr>
        <w:t>Date:</w:t>
        <w:tab/>
        <w:t>August 1, 2019</w:t>
      </w:r>
      <w:r>
        <w:rPr>
          <w:sz w:val="20"/>
          <w:szCs w:val="20"/>
          <w:color w:val="auto"/>
        </w:rPr>
        <w:tab/>
      </w:r>
      <w:r>
        <w:rPr>
          <w:rFonts w:ascii="Times New Roman" w:cs="Times New Roman" w:eastAsia="Times New Roman" w:hAnsi="Times New Roman"/>
          <w:sz w:val="21"/>
          <w:szCs w:val="21"/>
          <w:u w:val="single" w:color="auto"/>
          <w:color w:val="auto"/>
        </w:rPr>
        <w:t>/s/ Daniel Guglielmone</w:t>
      </w:r>
    </w:p>
    <w:p>
      <w:pPr>
        <w:spacing w:after="0" w:line="36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Daniel Guglielmone</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Chief Financial Officer and Treasurer</w:t>
      </w:r>
    </w:p>
    <w:p>
      <w:pPr>
        <w:sectPr>
          <w:pgSz w:w="11900" w:h="16838" w:orient="portrait"/>
          <w:cols w:equalWidth="0" w:num="1">
            <w:col w:w="11380"/>
          </w:cols>
          <w:pgMar w:left="240" w:top="797" w:right="279" w:bottom="1440" w:gutter="0" w:footer="0" w:header="0"/>
        </w:sectPr>
      </w:pPr>
    </w:p>
    <w:bookmarkStart w:id="2" w:name="page3"/>
    <w:bookmarkEnd w:id="2"/>
    <w:p>
      <w:pPr>
        <w:jc w:val="right"/>
        <w:ind w:right="3719"/>
        <w:spacing w:after="0"/>
        <w:rPr>
          <w:sz w:val="20"/>
          <w:szCs w:val="20"/>
          <w:color w:val="auto"/>
        </w:rPr>
      </w:pPr>
      <w:r>
        <w:rPr>
          <w:rFonts w:ascii="Times New Roman" w:cs="Times New Roman" w:eastAsia="Times New Roman" w:hAnsi="Times New Roman"/>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2"/>
          <w:szCs w:val="22"/>
          <w:u w:val="single" w:color="auto"/>
          <w:color w:val="auto"/>
        </w:rPr>
        <w:t>Exh No.</w:t>
      </w:r>
      <w:r>
        <w:rPr>
          <w:sz w:val="20"/>
          <w:szCs w:val="20"/>
          <w:color w:val="auto"/>
        </w:rPr>
        <w:tab/>
      </w:r>
      <w:r>
        <w:rPr>
          <w:rFonts w:ascii="Times New Roman" w:cs="Times New Roman" w:eastAsia="Times New Roman" w:hAnsi="Times New Roman"/>
          <w:sz w:val="21"/>
          <w:szCs w:val="21"/>
          <w:u w:val="single" w:color="auto"/>
          <w:color w:val="auto"/>
        </w:rPr>
        <w:t>Exhibit</w:t>
      </w:r>
    </w:p>
    <w:p>
      <w:pPr>
        <w:spacing w:after="0" w:line="30" w:lineRule="exact"/>
        <w:rPr>
          <w:sz w:val="20"/>
          <w:szCs w:val="20"/>
          <w:color w:val="auto"/>
        </w:rPr>
      </w:pPr>
    </w:p>
    <w:p>
      <w:pPr>
        <w:spacing w:after="0"/>
        <w:tabs>
          <w:tab w:leader="none" w:pos="720" w:val="left"/>
        </w:tabs>
        <w:rPr>
          <w:rFonts w:ascii="Times New Roman" w:cs="Times New Roman" w:eastAsia="Times New Roman" w:hAnsi="Times New Roman"/>
          <w:sz w:val="22"/>
          <w:szCs w:val="22"/>
          <w:color w:val="0000FF"/>
        </w:rPr>
      </w:pPr>
      <w:hyperlink w:anchor="page4">
        <w:r>
          <w:rPr>
            <w:rFonts w:ascii="Times New Roman" w:cs="Times New Roman" w:eastAsia="Times New Roman" w:hAnsi="Times New Roman"/>
            <w:sz w:val="22"/>
            <w:szCs w:val="22"/>
            <w:u w:val="single" w:color="auto"/>
            <w:color w:val="0000FF"/>
          </w:rPr>
          <w:t>99.1</w:t>
        </w:r>
      </w:hyperlink>
      <w:r>
        <w:rPr>
          <w:rFonts w:ascii="Times New Roman" w:cs="Times New Roman" w:eastAsia="Times New Roman" w:hAnsi="Times New Roman"/>
          <w:sz w:val="22"/>
          <w:szCs w:val="22"/>
          <w:color w:val="0000FF"/>
        </w:rPr>
        <w:tab/>
      </w:r>
      <w:r>
        <w:rPr>
          <w:rFonts w:ascii="Times New Roman" w:cs="Times New Roman" w:eastAsia="Times New Roman" w:hAnsi="Times New Roman"/>
          <w:sz w:val="21"/>
          <w:szCs w:val="21"/>
          <w:color w:val="0000FF"/>
        </w:rPr>
        <w:t>Supplemental Information at June 30, 2019</w:t>
      </w:r>
    </w:p>
    <w:p>
      <w:pPr>
        <w:sectPr>
          <w:pgSz w:w="11900" w:h="16838" w:orient="portrait"/>
          <w:cols w:equalWidth="0" w:num="1">
            <w:col w:w="10219"/>
          </w:cols>
          <w:pgMar w:left="240" w:top="585"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2019</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w:t>
            </w:r>
          </w:p>
        </w:tc>
        <w:tc>
          <w:tcPr>
            <w:tcW w:w="87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Second Quarter 2019 Earnings Press Release</w:t>
            </w:r>
          </w:p>
        </w:tc>
        <w:tc>
          <w:tcPr>
            <w:tcW w:w="200" w:type="dxa"/>
            <w:vAlign w:val="bottom"/>
            <w:gridSpan w:val="3"/>
            <w:shd w:val="clear" w:color="auto" w:fill="CCEEFF"/>
          </w:tcPr>
          <w:p>
            <w:pPr>
              <w:jc w:val="right"/>
              <w:ind w:right="20"/>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Consolidated Income Statements</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Times New Roman" w:cs="Times New Roman" w:eastAsia="Times New Roman" w:hAnsi="Times New Roman"/>
                <w:sz w:val="18"/>
                <w:szCs w:val="18"/>
                <w:color w:val="auto"/>
              </w:rPr>
              <w:t>Consolidated Balance Sheets</w:t>
            </w: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Funds From Operations / Other Supplemental Information</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Times New Roman" w:cs="Times New Roman" w:eastAsia="Times New Roman" w:hAnsi="Times New Roman"/>
                <w:sz w:val="18"/>
                <w:szCs w:val="18"/>
                <w:color w:val="auto"/>
              </w:rPr>
              <w:t>Market Data</w:t>
            </w: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3">
              <w:r>
                <w:rPr>
                  <w:rFonts w:ascii="Times New Roman" w:cs="Times New Roman" w:eastAsia="Times New Roman" w:hAnsi="Times New Roman"/>
                  <w:sz w:val="18"/>
                  <w:szCs w:val="18"/>
                  <w:color w:val="0000EE"/>
                  <w:w w:val="88"/>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Times New Roman" w:cs="Times New Roman" w:eastAsia="Times New Roman" w:hAnsi="Times New Roman"/>
                <w:sz w:val="18"/>
                <w:szCs w:val="18"/>
                <w:color w:val="auto"/>
              </w:rPr>
              <w:t>Components of Rental Income</w:t>
            </w:r>
          </w:p>
        </w:tc>
        <w:tc>
          <w:tcPr>
            <w:tcW w:w="200" w:type="dxa"/>
            <w:vAlign w:val="bottom"/>
            <w:gridSpan w:val="3"/>
          </w:tcPr>
          <w:p>
            <w:pPr>
              <w:jc w:val="right"/>
              <w:ind w:right="20"/>
              <w:spacing w:after="0" w:line="202" w:lineRule="exact"/>
              <w:rPr>
                <w:rFonts w:ascii="Times New Roman" w:cs="Times New Roman" w:eastAsia="Times New Roman" w:hAnsi="Times New Roman"/>
                <w:sz w:val="18"/>
                <w:szCs w:val="18"/>
                <w:color w:val="0000EE"/>
                <w:w w:val="88"/>
              </w:rPr>
            </w:pPr>
            <w:hyperlink w:anchor="page14">
              <w:r>
                <w:rPr>
                  <w:rFonts w:ascii="Times New Roman" w:cs="Times New Roman" w:eastAsia="Times New Roman" w:hAnsi="Times New Roman"/>
                  <w:sz w:val="18"/>
                  <w:szCs w:val="18"/>
                  <w:color w:val="0000EE"/>
                  <w:w w:val="88"/>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Times New Roman" w:cs="Times New Roman" w:eastAsia="Times New Roman" w:hAnsi="Times New Roman"/>
                <w:sz w:val="18"/>
                <w:szCs w:val="18"/>
                <w:color w:val="auto"/>
              </w:rPr>
              <w:t>Comparable Property Information</w:t>
            </w:r>
          </w:p>
        </w:tc>
        <w:tc>
          <w:tcPr>
            <w:tcW w:w="200" w:type="dxa"/>
            <w:vAlign w:val="bottom"/>
            <w:gridSpan w:val="3"/>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5">
              <w:r>
                <w:rPr>
                  <w:rFonts w:ascii="Times New Roman" w:cs="Times New Roman" w:eastAsia="Times New Roman" w:hAnsi="Times New Roman"/>
                  <w:sz w:val="18"/>
                  <w:szCs w:val="18"/>
                  <w:color w:val="0000EE"/>
                  <w:w w:val="88"/>
                </w:rPr>
                <w:t>12</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272" w:lineRule="exact"/>
        <w:rPr>
          <w:sz w:val="20"/>
          <w:szCs w:val="20"/>
          <w:color w:val="auto"/>
        </w:rPr>
      </w:pPr>
    </w:p>
    <w:p>
      <w:pPr>
        <w:ind w:left="900" w:hanging="873"/>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Debt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87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Summary of Outstanding Debt and Finance Lease Liabilities</w:t>
            </w:r>
          </w:p>
        </w:tc>
        <w:tc>
          <w:tcPr>
            <w:tcW w:w="200" w:type="dxa"/>
            <w:vAlign w:val="bottom"/>
            <w:gridSpan w:val="2"/>
          </w:tcPr>
          <w:p>
            <w:pPr>
              <w:jc w:val="right"/>
              <w:ind w:right="20"/>
              <w:spacing w:after="0"/>
              <w:rPr>
                <w:rFonts w:ascii="Times New Roman" w:cs="Times New Roman" w:eastAsia="Times New Roman" w:hAnsi="Times New Roman"/>
                <w:sz w:val="18"/>
                <w:szCs w:val="18"/>
                <w:color w:val="0000EE"/>
                <w:w w:val="88"/>
              </w:rPr>
            </w:pPr>
            <w:hyperlink w:anchor="page17">
              <w:r>
                <w:rPr>
                  <w:rFonts w:ascii="Times New Roman" w:cs="Times New Roman" w:eastAsia="Times New Roman" w:hAnsi="Times New Roman"/>
                  <w:sz w:val="18"/>
                  <w:szCs w:val="18"/>
                  <w:color w:val="0000EE"/>
                  <w:w w:val="88"/>
                </w:rPr>
                <w:t>13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Times New Roman" w:cs="Times New Roman" w:eastAsia="Times New Roman" w:hAnsi="Times New Roman"/>
                <w:sz w:val="18"/>
                <w:szCs w:val="18"/>
                <w:color w:val="auto"/>
              </w:rPr>
              <w:t>Summary of Debt Maturities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19">
              <w:r>
                <w:rPr>
                  <w:rFonts w:ascii="Times New Roman" w:cs="Times New Roman" w:eastAsia="Times New Roman" w:hAnsi="Times New Roman"/>
                  <w:sz w:val="18"/>
                  <w:szCs w:val="18"/>
                  <w:color w:val="0000EE"/>
                  <w:w w:val="88"/>
                </w:rPr>
                <w:t>15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4</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Summary of Redevelopment Opportunities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0">
              <w:r>
                <w:rPr>
                  <w:rFonts w:ascii="Times New Roman" w:cs="Times New Roman" w:eastAsia="Times New Roman" w:hAnsi="Times New Roman"/>
                  <w:sz w:val="18"/>
                  <w:szCs w:val="18"/>
                  <w:color w:val="0000EE"/>
                  <w:w w:val="88"/>
                </w:rPr>
                <w:t>16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5</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Assembly Row, Pike &amp; Rose, and Santana Row</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1">
              <w:r>
                <w:rPr>
                  <w:rFonts w:ascii="Times New Roman" w:cs="Times New Roman" w:eastAsia="Times New Roman" w:hAnsi="Times New Roman"/>
                  <w:sz w:val="18"/>
                  <w:szCs w:val="18"/>
                  <w:color w:val="0000EE"/>
                  <w:w w:val="88"/>
                </w:rPr>
                <w:t>17</w:t>
              </w:r>
            </w:hyperlink>
          </w:p>
        </w:tc>
      </w:tr>
      <w:tr>
        <w:trPr>
          <w:trHeight w:val="32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6</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Future Redevelopment Opportunities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2">
              <w:r>
                <w:rPr>
                  <w:rFonts w:ascii="Times New Roman" w:cs="Times New Roman" w:eastAsia="Times New Roman" w:hAnsi="Times New Roman"/>
                  <w:sz w:val="18"/>
                  <w:szCs w:val="18"/>
                  <w:color w:val="0000EE"/>
                  <w:w w:val="88"/>
                </w:rPr>
                <w:t>18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7</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3">
              <w:r>
                <w:rPr>
                  <w:rFonts w:ascii="Times New Roman" w:cs="Times New Roman" w:eastAsia="Times New Roman" w:hAnsi="Times New Roman"/>
                  <w:sz w:val="18"/>
                  <w:szCs w:val="18"/>
                  <w:color w:val="0000EE"/>
                  <w:w w:val="88"/>
                </w:rPr>
                <w:t>19</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8</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Retail Leasing Summary</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7">
              <w:r>
                <w:rPr>
                  <w:rFonts w:ascii="Times New Roman" w:cs="Times New Roman" w:eastAsia="Times New Roman" w:hAnsi="Times New Roman"/>
                  <w:sz w:val="18"/>
                  <w:szCs w:val="18"/>
                  <w:color w:val="0000EE"/>
                  <w:w w:val="88"/>
                </w:rPr>
                <w:t>23</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Lease Expirations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8">
              <w:r>
                <w:rPr>
                  <w:rFonts w:ascii="Times New Roman" w:cs="Times New Roman" w:eastAsia="Times New Roman" w:hAnsi="Times New Roman"/>
                  <w:sz w:val="18"/>
                  <w:szCs w:val="18"/>
                  <w:color w:val="0000EE"/>
                  <w:w w:val="88"/>
                </w:rPr>
                <w:t>24</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Portfolio Leased Statistics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29">
              <w:r>
                <w:rPr>
                  <w:rFonts w:ascii="Times New Roman" w:cs="Times New Roman" w:eastAsia="Times New Roman" w:hAnsi="Times New Roman"/>
                  <w:sz w:val="18"/>
                  <w:szCs w:val="18"/>
                  <w:color w:val="0000EE"/>
                  <w:w w:val="88"/>
                </w:rPr>
                <w:t>25</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Summary of Top 25 Tenants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0">
              <w:r>
                <w:rPr>
                  <w:rFonts w:ascii="Times New Roman" w:cs="Times New Roman" w:eastAsia="Times New Roman" w:hAnsi="Times New Roman"/>
                  <w:sz w:val="18"/>
                  <w:szCs w:val="18"/>
                  <w:color w:val="0000EE"/>
                  <w:w w:val="88"/>
                </w:rPr>
                <w:t>26</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12</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Reconciliation of FFO Guidance</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1">
              <w:r>
                <w:rPr>
                  <w:rFonts w:ascii="Times New Roman" w:cs="Times New Roman" w:eastAsia="Times New Roman" w:hAnsi="Times New Roman"/>
                  <w:sz w:val="18"/>
                  <w:szCs w:val="18"/>
                  <w:color w:val="0000EE"/>
                  <w:w w:val="88"/>
                </w:rPr>
                <w:t>27</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8720" w:type="dxa"/>
            <w:vAlign w:val="bottom"/>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Times New Roman" w:cs="Times New Roman" w:eastAsia="Times New Roman" w:hAnsi="Times New Roman"/>
                <w:sz w:val="18"/>
                <w:szCs w:val="18"/>
                <w:color w:val="0000EE"/>
                <w:w w:val="88"/>
              </w:rPr>
            </w:pPr>
            <w:hyperlink w:anchor="page32">
              <w:r>
                <w:rPr>
                  <w:rFonts w:ascii="Times New Roman" w:cs="Times New Roman" w:eastAsia="Times New Roman" w:hAnsi="Times New Roman"/>
                  <w:sz w:val="18"/>
                  <w:szCs w:val="18"/>
                  <w:color w:val="0000EE"/>
                  <w:w w:val="88"/>
                </w:rPr>
                <w:t>28</w:t>
              </w:r>
            </w:hyperlink>
          </w:p>
        </w:tc>
      </w:tr>
      <w:tr>
        <w:trPr>
          <w:trHeight w:val="284"/>
        </w:trPr>
        <w:tc>
          <w:tcPr>
            <w:tcW w:w="540" w:type="dxa"/>
            <w:vAlign w:val="bottom"/>
            <w:tcBorders>
              <w:top w:val="single" w:sz="8" w:color="CCEEFF"/>
            </w:tcBorders>
          </w:tcPr>
          <w:p>
            <w:pPr>
              <w:spacing w:after="0"/>
              <w:rPr>
                <w:sz w:val="24"/>
                <w:szCs w:val="24"/>
                <w:color w:val="auto"/>
              </w:rPr>
            </w:pPr>
          </w:p>
        </w:tc>
        <w:tc>
          <w:tcPr>
            <w:tcW w:w="872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01154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301/998-8100</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460"/>
          </w:cols>
          <w:pgMar w:left="1220" w:top="738" w:right="12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Language</w:t>
      </w:r>
    </w:p>
    <w:p>
      <w:pPr>
        <w:spacing w:after="0" w:line="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84" w:lineRule="exact"/>
        <w:rPr>
          <w:sz w:val="20"/>
          <w:szCs w:val="20"/>
          <w:color w:val="auto"/>
        </w:rPr>
      </w:pPr>
    </w:p>
    <w:p>
      <w:pPr>
        <w:ind w:left="980" w:right="140" w:hanging="324"/>
        <w:spacing w:after="0" w:line="26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tenants will not pay rent, may vacate early or may file for bankruptcy or that we may be unable to renew leases or re-let space at favorable rents as leases expire;</w:t>
      </w:r>
    </w:p>
    <w:p>
      <w:pPr>
        <w:ind w:left="980" w:right="2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8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Times New Roman" w:cs="Times New Roman" w:eastAsia="Times New Roman" w:hAnsi="Times New Roman"/>
          <w:sz w:val="18"/>
          <w:szCs w:val="18"/>
          <w:i w:val="1"/>
          <w:iCs w:val="1"/>
          <w:color w:val="auto"/>
        </w:rPr>
      </w:pPr>
    </w:p>
    <w:p>
      <w:pPr>
        <w:ind w:left="980" w:right="4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general economic conditions, including local economic conditions in our geographic markets;</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Times New Roman" w:cs="Times New Roman" w:eastAsia="Times New Roman" w:hAnsi="Times New Roman"/>
          <w:sz w:val="18"/>
          <w:szCs w:val="18"/>
          <w:color w:val="auto"/>
        </w:rPr>
      </w:pPr>
    </w:p>
    <w:p>
      <w:pPr>
        <w:jc w:val="both"/>
        <w:ind w:left="980" w:right="580" w:hanging="324"/>
        <w:spacing w:after="0" w:line="255"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13, 2019.</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576"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drawing>
          <wp:anchor simplePos="0" relativeHeight="251657728" behindDoc="1" locked="0" layoutInCell="0" allowOverlap="1">
            <wp:simplePos x="0" y="0"/>
            <wp:positionH relativeFrom="page">
              <wp:posOffset>2687320</wp:posOffset>
            </wp:positionH>
            <wp:positionV relativeFrom="page">
              <wp:posOffset>620395</wp:posOffset>
            </wp:positionV>
            <wp:extent cx="2195195" cy="591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195195" cy="5918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NEWS RELEASE</w:t>
            </w:r>
          </w:p>
        </w:tc>
        <w:tc>
          <w:tcPr>
            <w:tcW w:w="5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www.federalrealty.com</w:t>
            </w:r>
          </w:p>
        </w:tc>
      </w:tr>
      <w:tr>
        <w:trPr>
          <w:trHeight w:val="431"/>
        </w:trPr>
        <w:tc>
          <w:tcPr>
            <w:tcW w:w="5300" w:type="dxa"/>
            <w:vAlign w:val="bottom"/>
          </w:tcPr>
          <w:p>
            <w:pPr>
              <w:ind w:left="40"/>
              <w:spacing w:after="0"/>
              <w:rPr>
                <w:sz w:val="20"/>
                <w:szCs w:val="20"/>
                <w:color w:val="auto"/>
              </w:rPr>
            </w:pPr>
            <w:r>
              <w:rPr>
                <w:rFonts w:ascii="Arial" w:cs="Arial" w:eastAsia="Arial" w:hAnsi="Arial"/>
                <w:sz w:val="18"/>
                <w:szCs w:val="18"/>
                <w:b w:val="1"/>
                <w:bCs w:val="1"/>
                <w:color w:val="auto"/>
              </w:rPr>
              <w:t>FOR IMMEDIATE RELEASE</w:t>
            </w:r>
          </w:p>
        </w:tc>
        <w:tc>
          <w:tcPr>
            <w:tcW w:w="5460" w:type="dxa"/>
            <w:vAlign w:val="bottom"/>
          </w:tcPr>
          <w:p>
            <w:pPr>
              <w:spacing w:after="0"/>
              <w:rPr>
                <w:sz w:val="24"/>
                <w:szCs w:val="24"/>
                <w:color w:val="auto"/>
              </w:rPr>
            </w:pPr>
          </w:p>
        </w:tc>
      </w:tr>
      <w:tr>
        <w:trPr>
          <w:trHeight w:val="478"/>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Investor Inquiries:</w:t>
            </w:r>
          </w:p>
        </w:tc>
        <w:tc>
          <w:tcPr>
            <w:tcW w:w="5460" w:type="dxa"/>
            <w:vAlign w:val="bottom"/>
          </w:tcPr>
          <w:p>
            <w:pPr>
              <w:jc w:val="right"/>
              <w:spacing w:after="0"/>
              <w:rPr>
                <w:sz w:val="20"/>
                <w:szCs w:val="20"/>
                <w:color w:val="auto"/>
              </w:rPr>
            </w:pPr>
            <w:r>
              <w:rPr>
                <w:rFonts w:ascii="Arial" w:cs="Arial" w:eastAsia="Arial" w:hAnsi="Arial"/>
                <w:sz w:val="18"/>
                <w:szCs w:val="18"/>
                <w:i w:val="1"/>
                <w:iCs w:val="1"/>
                <w:color w:val="auto"/>
              </w:rPr>
              <w:t>Media Inquiries:</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Leah Andress Brady</w:t>
            </w:r>
          </w:p>
        </w:tc>
        <w:tc>
          <w:tcPr>
            <w:tcW w:w="5460" w:type="dxa"/>
            <w:vAlign w:val="bottom"/>
          </w:tcPr>
          <w:p>
            <w:pPr>
              <w:jc w:val="right"/>
              <w:spacing w:after="0"/>
              <w:rPr>
                <w:sz w:val="20"/>
                <w:szCs w:val="20"/>
                <w:color w:val="auto"/>
              </w:rPr>
            </w:pPr>
            <w:r>
              <w:rPr>
                <w:rFonts w:ascii="Arial" w:cs="Arial" w:eastAsia="Arial" w:hAnsi="Arial"/>
                <w:sz w:val="18"/>
                <w:szCs w:val="18"/>
                <w:color w:val="auto"/>
              </w:rPr>
              <w:t>Brenda Pomar</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Investor Relations Senior Manager</w:t>
            </w:r>
          </w:p>
        </w:tc>
        <w:tc>
          <w:tcPr>
            <w:tcW w:w="5460" w:type="dxa"/>
            <w:vAlign w:val="bottom"/>
          </w:tcPr>
          <w:p>
            <w:pPr>
              <w:jc w:val="right"/>
              <w:spacing w:after="0"/>
              <w:rPr>
                <w:sz w:val="20"/>
                <w:szCs w:val="20"/>
                <w:color w:val="auto"/>
              </w:rPr>
            </w:pPr>
            <w:r>
              <w:rPr>
                <w:rFonts w:ascii="Arial" w:cs="Arial" w:eastAsia="Arial" w:hAnsi="Arial"/>
                <w:sz w:val="18"/>
                <w:szCs w:val="18"/>
                <w:color w:val="auto"/>
              </w:rPr>
              <w:t>Corporate Communications Manager</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color w:val="auto"/>
              </w:rPr>
              <w:t>301.998.8265</w:t>
            </w:r>
          </w:p>
        </w:tc>
        <w:tc>
          <w:tcPr>
            <w:tcW w:w="5460" w:type="dxa"/>
            <w:vAlign w:val="bottom"/>
          </w:tcPr>
          <w:p>
            <w:pPr>
              <w:jc w:val="right"/>
              <w:spacing w:after="0"/>
              <w:rPr>
                <w:sz w:val="20"/>
                <w:szCs w:val="20"/>
                <w:color w:val="auto"/>
              </w:rPr>
            </w:pPr>
            <w:r>
              <w:rPr>
                <w:rFonts w:ascii="Arial" w:cs="Arial" w:eastAsia="Arial" w:hAnsi="Arial"/>
                <w:sz w:val="18"/>
                <w:szCs w:val="18"/>
                <w:color w:val="auto"/>
              </w:rPr>
              <w:t>301.998.8316</w:t>
            </w:r>
          </w:p>
        </w:tc>
      </w:tr>
      <w:tr>
        <w:trPr>
          <w:trHeight w:val="257"/>
        </w:trPr>
        <w:tc>
          <w:tcPr>
            <w:tcW w:w="5300" w:type="dxa"/>
            <w:vAlign w:val="bottom"/>
          </w:tcPr>
          <w:p>
            <w:pPr>
              <w:ind w:left="40"/>
              <w:spacing w:after="0"/>
              <w:rPr>
                <w:sz w:val="20"/>
                <w:szCs w:val="20"/>
                <w:color w:val="auto"/>
              </w:rPr>
            </w:pPr>
            <w:r>
              <w:rPr>
                <w:rFonts w:ascii="Arial" w:cs="Arial" w:eastAsia="Arial" w:hAnsi="Arial"/>
                <w:sz w:val="18"/>
                <w:szCs w:val="18"/>
                <w:i w:val="1"/>
                <w:iCs w:val="1"/>
                <w:color w:val="auto"/>
              </w:rPr>
              <w:t>lbrady@federalrealty.com</w:t>
            </w:r>
          </w:p>
        </w:tc>
        <w:tc>
          <w:tcPr>
            <w:tcW w:w="5460" w:type="dxa"/>
            <w:vAlign w:val="bottom"/>
          </w:tcPr>
          <w:p>
            <w:pPr>
              <w:jc w:val="right"/>
              <w:spacing w:after="0"/>
              <w:rPr>
                <w:sz w:val="20"/>
                <w:szCs w:val="20"/>
                <w:color w:val="auto"/>
              </w:rPr>
            </w:pPr>
            <w:r>
              <w:rPr>
                <w:rFonts w:ascii="Arial" w:cs="Arial" w:eastAsia="Arial" w:hAnsi="Arial"/>
                <w:sz w:val="18"/>
                <w:szCs w:val="18"/>
                <w:i w:val="1"/>
                <w:iCs w:val="1"/>
                <w:color w:val="auto"/>
              </w:rPr>
              <w:t>bpomar@federalrealty.com</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2019 Operating Results</w:t>
      </w:r>
    </w:p>
    <w:p>
      <w:pPr>
        <w:spacing w:after="0" w:line="281"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auto"/>
        </w:rPr>
        <w:t xml:space="preserve">ROCKVILLE, Md. (August 1, 2019) - </w:t>
      </w:r>
      <w:r>
        <w:rPr>
          <w:rFonts w:ascii="Arial" w:cs="Arial" w:eastAsia="Arial" w:hAnsi="Arial"/>
          <w:sz w:val="18"/>
          <w:szCs w:val="18"/>
          <w:u w:val="single" w:color="auto"/>
          <w:color w:val="auto"/>
        </w:rPr>
        <w:t>Federal Realty Investment Trust</w:t>
      </w:r>
      <w:r>
        <w:rPr>
          <w:rFonts w:ascii="Arial" w:cs="Arial" w:eastAsia="Arial" w:hAnsi="Arial"/>
          <w:sz w:val="18"/>
          <w:szCs w:val="18"/>
          <w:color w:val="auto"/>
        </w:rPr>
        <w:t xml:space="preserve"> (NYSE:FRT) today reported operating results for its second quarter ended June 30, 2019. For the three months ended June 30, 2019 and 2018, net income available for common shareholders was $1.05 per diluted share and $0.84 per diluted share,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Highlights of the quarter include:</w:t>
      </w:r>
    </w:p>
    <w:p>
      <w:pPr>
        <w:spacing w:after="0" w:line="239" w:lineRule="exact"/>
        <w:rPr>
          <w:sz w:val="20"/>
          <w:szCs w:val="20"/>
          <w:color w:val="auto"/>
        </w:rPr>
      </w:pPr>
    </w:p>
    <w:p>
      <w:pPr>
        <w:ind w:left="660" w:right="20" w:hanging="328"/>
        <w:spacing w:after="0" w:line="359" w:lineRule="auto"/>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Generated funds from operations available for common shareholders (FFO) per diluted share of $1.60 for the quarter compared to $1.55 in second quarter 2018.</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Generated comparable property operating income (POI) growth of 3.5% for the second quarter.</w:t>
      </w:r>
    </w:p>
    <w:p>
      <w:pPr>
        <w:spacing w:after="0" w:line="102" w:lineRule="exact"/>
        <w:rPr>
          <w:rFonts w:ascii="Times New Roman" w:cs="Times New Roman" w:eastAsia="Times New Roman" w:hAnsi="Times New Roman"/>
          <w:sz w:val="18"/>
          <w:szCs w:val="18"/>
          <w:color w:val="auto"/>
        </w:rPr>
      </w:pPr>
    </w:p>
    <w:p>
      <w:pPr>
        <w:ind w:left="660" w:hanging="328"/>
        <w:spacing w:after="0" w:line="3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leases for 378,756 sf of comparable space in the second quarter at an average rent of $42.68 psf and achieved cash basis rollover growth on those comparable spaces of 7%.</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Opportunistically issued $300 million aggregate principal amount of 3.20% Notes due 2029.</w:t>
      </w:r>
    </w:p>
    <w:p>
      <w:pPr>
        <w:spacing w:after="0" w:line="102" w:lineRule="exact"/>
        <w:rPr>
          <w:rFonts w:ascii="Times New Roman" w:cs="Times New Roman" w:eastAsia="Times New Roman" w:hAnsi="Times New Roman"/>
          <w:sz w:val="18"/>
          <w:szCs w:val="18"/>
          <w:color w:val="auto"/>
        </w:rPr>
      </w:pPr>
    </w:p>
    <w:p>
      <w:pPr>
        <w:ind w:left="660" w:hanging="328"/>
        <w:spacing w:after="0" w:line="331" w:lineRule="auto"/>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Amended our revolving credit facility to increase our borrowing capacity to $1.0 billion, extend the maturity date to January 2024, plus two six-month extension options, and lower the spread over LIBOR to 77.5 basis points.</w:t>
      </w:r>
    </w:p>
    <w:p>
      <w:pPr>
        <w:ind w:left="660" w:hanging="328"/>
        <w:spacing w:after="0" w:line="3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the regular quarterly dividend rate on common shares to $1.05 per share, representing the 52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consecutive year of common dividend increases.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Maintained our 2019 FFO per diluted share guidance range of $6.30 - $6.46.</w:t>
      </w:r>
    </w:p>
    <w:p>
      <w:pPr>
        <w:spacing w:after="0" w:line="200" w:lineRule="exact"/>
        <w:rPr>
          <w:sz w:val="20"/>
          <w:szCs w:val="20"/>
          <w:color w:val="auto"/>
        </w:rPr>
      </w:pPr>
    </w:p>
    <w:p>
      <w:pPr>
        <w:spacing w:after="0" w:line="213" w:lineRule="exact"/>
        <w:rPr>
          <w:sz w:val="20"/>
          <w:szCs w:val="20"/>
          <w:color w:val="auto"/>
        </w:rPr>
      </w:pPr>
    </w:p>
    <w:p>
      <w:pPr>
        <w:jc w:val="both"/>
        <w:spacing w:after="0" w:line="374" w:lineRule="auto"/>
        <w:rPr>
          <w:sz w:val="20"/>
          <w:szCs w:val="20"/>
          <w:color w:val="auto"/>
        </w:rPr>
      </w:pPr>
      <w:r>
        <w:rPr>
          <w:rFonts w:ascii="Arial" w:cs="Arial" w:eastAsia="Arial" w:hAnsi="Arial"/>
          <w:sz w:val="18"/>
          <w:szCs w:val="18"/>
          <w:color w:val="auto"/>
        </w:rPr>
        <w:t>“Continuing to reliably grow bottom line results despite headwinds remains our focal point and the second quarter didn't disappoint,” said Donald C. Wood, President and Chief Executive Officer. “Our multi-faceted business plan, including great properties, strong leases, redevelopment and development opportunities, and an advantageous cost of capital all contributed to a solid result and allowed us to increase our dividend to our shareholders for a REIT-record 52 years in a row.”</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00" w:lineRule="exact"/>
        <w:rPr>
          <w:sz w:val="20"/>
          <w:szCs w:val="20"/>
          <w:color w:val="auto"/>
        </w:rPr>
      </w:pPr>
    </w:p>
    <w:p>
      <w:pPr>
        <w:jc w:val="both"/>
        <w:spacing w:after="0" w:line="401" w:lineRule="auto"/>
        <w:rPr>
          <w:sz w:val="20"/>
          <w:szCs w:val="20"/>
          <w:color w:val="auto"/>
        </w:rPr>
      </w:pPr>
      <w:r>
        <w:rPr>
          <w:rFonts w:ascii="Arial" w:cs="Arial" w:eastAsia="Arial" w:hAnsi="Arial"/>
          <w:sz w:val="18"/>
          <w:szCs w:val="18"/>
          <w:color w:val="auto"/>
        </w:rPr>
        <w:t>Net income available for common shareholders was $78.9 million and earnings per diluted share was $1.05 for second quarter 2019 versus $61.6 million and $0.84, respectively, for second quarter 2018.</w:t>
      </w:r>
    </w:p>
    <w:p>
      <w:pPr>
        <w:sectPr>
          <w:pgSz w:w="11900" w:h="16838" w:orient="portrait"/>
          <w:cols w:equalWidth="0" w:num="1">
            <w:col w:w="11420"/>
          </w:cols>
          <w:pgMar w:left="240" w:top="1440" w:right="239" w:bottom="1440" w:gutter="0" w:footer="0" w:header="0"/>
        </w:sect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440" w:right="239" w:bottom="1440" w:gutter="0" w:footer="0" w:header="0"/>
          <w:type w:val="continuous"/>
        </w:sectPr>
      </w:pPr>
    </w:p>
    <w:bookmarkStart w:id="6" w:name="page7"/>
    <w:bookmarkEnd w:id="6"/>
    <w:p>
      <w:pPr>
        <w:jc w:val="both"/>
        <w:spacing w:after="0" w:line="40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In the second quarter 2019, Federal Realty generated FFO of $121.0 million, or $1.60 per diluted share. This compares to FFO of $114.8 million, or $1.55 per diluted share, in second quarter 2018.</w:t>
      </w:r>
    </w:p>
    <w:p>
      <w:pPr>
        <w:spacing w:after="0" w:line="65" w:lineRule="exact"/>
        <w:rPr>
          <w:sz w:val="20"/>
          <w:szCs w:val="20"/>
          <w:color w:val="auto"/>
        </w:rPr>
      </w:pPr>
    </w:p>
    <w:p>
      <w:pPr>
        <w:ind w:right="800"/>
        <w:spacing w:after="0" w:line="40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Results</w:t>
      </w:r>
    </w:p>
    <w:p>
      <w:pPr>
        <w:spacing w:after="0" w:line="241" w:lineRule="exact"/>
        <w:rPr>
          <w:sz w:val="20"/>
          <w:szCs w:val="20"/>
          <w:color w:val="auto"/>
        </w:rPr>
      </w:pPr>
    </w:p>
    <w:p>
      <w:pPr>
        <w:jc w:val="both"/>
        <w:spacing w:after="0" w:line="374" w:lineRule="auto"/>
        <w:rPr>
          <w:sz w:val="20"/>
          <w:szCs w:val="20"/>
          <w:color w:val="auto"/>
        </w:rPr>
      </w:pPr>
      <w:r>
        <w:rPr>
          <w:rFonts w:ascii="Arial" w:cs="Arial" w:eastAsia="Arial" w:hAnsi="Arial"/>
          <w:sz w:val="18"/>
          <w:szCs w:val="18"/>
          <w:color w:val="auto"/>
        </w:rPr>
        <w:t>The overall portfolio was 94.1% leased as of June 30, 2019, and the comparable portfolio was 94.6% leased. In second quarter 2019, comparable property POI increased 3.5%. Comparable property POI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w:t>
      </w:r>
    </w:p>
    <w:p>
      <w:pPr>
        <w:spacing w:after="0" w:line="87" w:lineRule="exact"/>
        <w:rPr>
          <w:sz w:val="20"/>
          <w:szCs w:val="20"/>
          <w:color w:val="auto"/>
        </w:rPr>
      </w:pPr>
    </w:p>
    <w:p>
      <w:pPr>
        <w:jc w:val="both"/>
        <w:spacing w:after="0" w:line="374" w:lineRule="auto"/>
        <w:rPr>
          <w:sz w:val="20"/>
          <w:szCs w:val="20"/>
          <w:color w:val="auto"/>
        </w:rPr>
      </w:pPr>
      <w:r>
        <w:rPr>
          <w:rFonts w:ascii="Arial" w:cs="Arial" w:eastAsia="Arial" w:hAnsi="Arial"/>
          <w:sz w:val="18"/>
          <w:szCs w:val="18"/>
          <w:color w:val="auto"/>
        </w:rPr>
        <w:t>During the second quarter 2019, Federal Realty signed 115 leases for 382,656 square feet of retail space. On a comparable space basis (i.e., spaces for which there was a former tenant), Federal Realty leased 378,756 square feet at an average rent of $42.68 per square foot compared to the average contractual rent of $39.75 per square foot for the last year of the prior leases, representing a cash basis rollover growth on those comparable spaces of 7%.</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Regular Quarterly Dividends</w:t>
      </w:r>
    </w:p>
    <w:p>
      <w:pPr>
        <w:spacing w:after="0" w:line="241" w:lineRule="exact"/>
        <w:rPr>
          <w:sz w:val="20"/>
          <w:szCs w:val="20"/>
          <w:color w:val="auto"/>
        </w:rPr>
      </w:pPr>
    </w:p>
    <w:p>
      <w:pPr>
        <w:jc w:val="both"/>
        <w:spacing w:after="0" w:line="355" w:lineRule="auto"/>
        <w:rPr>
          <w:sz w:val="20"/>
          <w:szCs w:val="20"/>
          <w:color w:val="auto"/>
        </w:rPr>
      </w:pPr>
      <w:r>
        <w:rPr>
          <w:rFonts w:ascii="Arial" w:cs="Arial" w:eastAsia="Arial" w:hAnsi="Arial"/>
          <w:sz w:val="18"/>
          <w:szCs w:val="18"/>
          <w:color w:val="auto"/>
        </w:rPr>
        <w:t>Federal Realty also announced today that its Board of Trustees increased the regular dividend rate on its common shares, declaring a regular quarterly cash dividend of $1.05 per share, resulting in an indicated annual rate of $4.20 per share. The regular common dividend will be payable on October 15, 2019, to common shareholders of record on September 23, 2019. This increase represents the 52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consecutive year that Federal Realty has increased its common dividend, the longest record of consecutive annual dividend increases in the REIT sector, and one of only a small number of companies in any sector to accomplish such a record.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Federal Realty’s Board of Trustees also declared a quarterly cash dividend on its Class C depositary shares, each representing 1/1000 of a</w:t>
      </w:r>
    </w:p>
    <w:p>
      <w:pPr>
        <w:spacing w:after="0" w:line="104" w:lineRule="exact"/>
        <w:rPr>
          <w:sz w:val="20"/>
          <w:szCs w:val="20"/>
          <w:color w:val="auto"/>
        </w:rPr>
      </w:pPr>
    </w:p>
    <w:p>
      <w:pPr>
        <w:jc w:val="both"/>
        <w:ind w:right="20"/>
        <w:spacing w:after="0" w:line="401" w:lineRule="auto"/>
        <w:rPr>
          <w:sz w:val="20"/>
          <w:szCs w:val="20"/>
          <w:color w:val="auto"/>
        </w:rPr>
      </w:pPr>
      <w:r>
        <w:rPr>
          <w:rFonts w:ascii="Arial" w:cs="Arial" w:eastAsia="Arial" w:hAnsi="Arial"/>
          <w:sz w:val="18"/>
          <w:szCs w:val="18"/>
          <w:color w:val="auto"/>
        </w:rPr>
        <w:t>5.000% Series C Cumulative Preferred Share of Beneficial Interest, of $0.3125 per depositary share. All dividends on the depositary shares will be payable on October 15, 2019 to shareholders of record as of September 23, 2019.</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Other Quarterly Activities and Recent Developments</w:t>
      </w:r>
    </w:p>
    <w:p>
      <w:pPr>
        <w:spacing w:after="0" w:line="241" w:lineRule="exact"/>
        <w:rPr>
          <w:sz w:val="20"/>
          <w:szCs w:val="20"/>
          <w:color w:val="auto"/>
        </w:rPr>
      </w:pPr>
    </w:p>
    <w:p>
      <w:pPr>
        <w:jc w:val="both"/>
        <w:spacing w:after="0" w:line="401" w:lineRule="auto"/>
        <w:rPr>
          <w:sz w:val="20"/>
          <w:szCs w:val="20"/>
          <w:color w:val="auto"/>
        </w:rPr>
      </w:pPr>
      <w:r>
        <w:rPr>
          <w:rFonts w:ascii="Arial" w:cs="Arial" w:eastAsia="Arial" w:hAnsi="Arial"/>
          <w:sz w:val="18"/>
          <w:szCs w:val="18"/>
          <w:color w:val="auto"/>
        </w:rPr>
        <w:t>May 28, 2019 - Federal Realty closed on the sale of Free State Shopping Center for $72.0 million. Free State Shopping Center is a 264,000 square foot Giant Food anchored shopping center located in Bowie, Maryland.</w:t>
      </w:r>
    </w:p>
    <w:p>
      <w:pPr>
        <w:spacing w:after="0" w:line="65" w:lineRule="exact"/>
        <w:rPr>
          <w:sz w:val="20"/>
          <w:szCs w:val="20"/>
          <w:color w:val="auto"/>
        </w:rPr>
      </w:pPr>
    </w:p>
    <w:p>
      <w:pPr>
        <w:jc w:val="both"/>
        <w:ind w:right="20"/>
        <w:spacing w:after="0" w:line="381" w:lineRule="auto"/>
        <w:rPr>
          <w:sz w:val="20"/>
          <w:szCs w:val="20"/>
          <w:color w:val="auto"/>
        </w:rPr>
      </w:pPr>
      <w:r>
        <w:rPr>
          <w:rFonts w:ascii="Arial" w:cs="Arial" w:eastAsia="Arial" w:hAnsi="Arial"/>
          <w:sz w:val="18"/>
          <w:szCs w:val="18"/>
          <w:color w:val="auto"/>
        </w:rPr>
        <w:t>June 7, 2019 - Federal Realty issued $300 million aggregate principal amount of 3.20% Notes due 2029 at 99.838% of par value. Federal Realty used the net proceeds from the offering to repay in full the outstanding balance of its unsecured term loan and for general corporate purposes.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008" w:right="239" w:bottom="1440" w:gutter="0" w:footer="0" w:header="0"/>
        </w:sectPr>
      </w:pPr>
    </w:p>
    <w:bookmarkStart w:id="7" w:name="page8"/>
    <w:bookmarkEnd w:id="7"/>
    <w:p>
      <w:pPr>
        <w:jc w:val="both"/>
        <w:spacing w:after="0" w:line="38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July 25, 2019 - Federal Realty completed an amendment of its revolving credit facility to increase the borrowing capacity to $1.0 billion from $800 million and extend the maturity date to January 19, 2024, plus two six-month extension options. The pricing was also lowered to LIBOR plus 77.5 basis points based on the Trust’s current rating.</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Guidance</w:t>
      </w:r>
    </w:p>
    <w:p>
      <w:pPr>
        <w:spacing w:after="0" w:line="241" w:lineRule="exact"/>
        <w:rPr>
          <w:sz w:val="20"/>
          <w:szCs w:val="20"/>
          <w:color w:val="auto"/>
        </w:rPr>
      </w:pPr>
    </w:p>
    <w:p>
      <w:pPr>
        <w:jc w:val="both"/>
        <w:ind w:right="20"/>
        <w:spacing w:after="0" w:line="401" w:lineRule="auto"/>
        <w:rPr>
          <w:sz w:val="20"/>
          <w:szCs w:val="20"/>
          <w:color w:val="auto"/>
        </w:rPr>
      </w:pPr>
      <w:r>
        <w:rPr>
          <w:rFonts w:ascii="Arial" w:cs="Arial" w:eastAsia="Arial" w:hAnsi="Arial"/>
          <w:sz w:val="18"/>
          <w:szCs w:val="18"/>
          <w:color w:val="auto"/>
        </w:rPr>
        <w:t>Federal Realty maintained its 2019 guidance for FFO per diluted share of $6.30 to $6.46 and updated 2019 earnings per diluted share guidance to $3.39 to $3.55.</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41" w:lineRule="exact"/>
        <w:rPr>
          <w:sz w:val="20"/>
          <w:szCs w:val="20"/>
          <w:color w:val="auto"/>
        </w:rPr>
      </w:pPr>
    </w:p>
    <w:p>
      <w:pPr>
        <w:jc w:val="both"/>
        <w:spacing w:after="0" w:line="370"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second quarter 2019 earnings conference call, which is scheduled for Friday, August 2, 2019 at 10:00AM ET. To participate, please call 877.445.3230 five to ten minutes prior to the call start time and use the passcode 9787327 (required). A replay of the webcast will be available on Federal Realty’s website at www.federalrealty.com. A telephonic replay of the conference call will also be available through August 9, 2019 by dialing 855.859.2056; Passcode: 9787327.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Federal Realty</w:t>
      </w:r>
    </w:p>
    <w:p>
      <w:pPr>
        <w:spacing w:after="0" w:line="241" w:lineRule="exact"/>
        <w:rPr>
          <w:sz w:val="20"/>
          <w:szCs w:val="20"/>
          <w:color w:val="auto"/>
        </w:rPr>
      </w:pPr>
    </w:p>
    <w:p>
      <w:pPr>
        <w:jc w:val="both"/>
        <w:spacing w:after="0" w:line="367"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Federal Realty’s mission is to deliver long term, sustainable growth through investing in densely populated, affluent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104 properties include approximately 3,000 tenants, in 24 million square feet, and over 2,600 residential units.</w:t>
      </w:r>
    </w:p>
    <w:p>
      <w:pPr>
        <w:spacing w:after="0" w:line="94" w:lineRule="exact"/>
        <w:rPr>
          <w:sz w:val="20"/>
          <w:szCs w:val="20"/>
          <w:color w:val="auto"/>
        </w:rPr>
      </w:pPr>
    </w:p>
    <w:p>
      <w:pPr>
        <w:ind w:right="280"/>
        <w:spacing w:after="0" w:line="381" w:lineRule="auto"/>
        <w:rPr>
          <w:sz w:val="20"/>
          <w:szCs w:val="20"/>
          <w:color w:val="auto"/>
        </w:rPr>
      </w:pPr>
      <w:r>
        <w:rPr>
          <w:rFonts w:ascii="Arial" w:cs="Arial" w:eastAsia="Arial" w:hAnsi="Arial"/>
          <w:sz w:val="18"/>
          <w:szCs w:val="18"/>
          <w:color w:val="auto"/>
        </w:rPr>
        <w:t>Federal Realty has increased its quarterly dividends to its shareholders for 52 consecutive years, the longest record in the REIT industry. Federal Realty is an S&amp;P 500 index member and its shares are traded on the NYSE under the symbol FRT. For additional information about Federal Realty and its properties, visit www.FederalRealty.com.</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Language</w:t>
      </w:r>
    </w:p>
    <w:p>
      <w:pPr>
        <w:spacing w:after="0" w:line="198" w:lineRule="exact"/>
        <w:rPr>
          <w:sz w:val="20"/>
          <w:szCs w:val="20"/>
          <w:color w:val="auto"/>
        </w:rPr>
      </w:pPr>
    </w:p>
    <w:p>
      <w:pPr>
        <w:ind w:right="140"/>
        <w:spacing w:after="0" w:line="248"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13, 2019, and include the following:</w:t>
      </w:r>
    </w:p>
    <w:p>
      <w:pPr>
        <w:spacing w:after="0" w:line="14" w:lineRule="exact"/>
        <w:rPr>
          <w:sz w:val="20"/>
          <w:szCs w:val="20"/>
          <w:color w:val="auto"/>
        </w:rPr>
      </w:pPr>
    </w:p>
    <w:p>
      <w:pPr>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24" w:lineRule="exact"/>
        <w:rPr>
          <w:rFonts w:ascii="Times New Roman" w:cs="Times New Roman" w:eastAsia="Times New Roman" w:hAnsi="Times New Roman"/>
          <w:sz w:val="18"/>
          <w:szCs w:val="18"/>
          <w:color w:val="auto"/>
        </w:rPr>
      </w:pPr>
    </w:p>
    <w:p>
      <w:pPr>
        <w:ind w:left="660" w:right="20" w:hanging="328"/>
        <w:spacing w:after="0" w:line="300" w:lineRule="auto"/>
        <w:tabs>
          <w:tab w:leader="none" w:pos="6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008" w:right="239" w:bottom="1440" w:gutter="0" w:footer="0" w:header="0"/>
        </w:sectPr>
      </w:pPr>
    </w:p>
    <w:bookmarkStart w:id="8" w:name="page9"/>
    <w:bookmarkEnd w:id="8"/>
    <w:p>
      <w:pPr>
        <w:jc w:val="both"/>
        <w:ind w:left="660" w:hanging="328"/>
        <w:spacing w:after="0" w:line="283"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drawing>
          <wp:anchor simplePos="0" relativeHeight="251657728" behindDoc="1" locked="0" layoutInCell="0" allowOverlap="1">
            <wp:simplePos x="0" y="0"/>
            <wp:positionH relativeFrom="page">
              <wp:posOffset>6134735</wp:posOffset>
            </wp:positionH>
            <wp:positionV relativeFrom="page">
              <wp:posOffset>88900</wp:posOffset>
            </wp:positionV>
            <wp:extent cx="1269365"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269365" cy="377190"/>
                    </a:xfrm>
                    <a:prstGeom prst="rect">
                      <a:avLst/>
                    </a:prstGeom>
                    <a:noFill/>
                  </pic:spPr>
                </pic:pic>
              </a:graphicData>
            </a:graphic>
          </wp:anchor>
        </w:drawing>
        <w:t>risks that we are investing a significant amount in ground-up development projects that may not perform as planned, may be dependent on third parties to deliver critical aspects of certain projects, requires spending a substantial amount upfront in infrastructure, and assumes receipt of public funding which has been committed but not entirely funded;</w:t>
      </w:r>
    </w:p>
    <w:p>
      <w:pPr>
        <w:spacing w:after="0" w:line="24" w:lineRule="exact"/>
        <w:rPr>
          <w:rFonts w:ascii="Times New Roman" w:cs="Times New Roman" w:eastAsia="Times New Roman" w:hAnsi="Times New Roman"/>
          <w:sz w:val="18"/>
          <w:szCs w:val="18"/>
          <w:color w:val="auto"/>
        </w:rPr>
      </w:pPr>
    </w:p>
    <w:p>
      <w:pPr>
        <w:jc w:val="both"/>
        <w:ind w:left="660" w:hanging="328"/>
        <w:spacing w:after="0" w:line="292"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23" w:lineRule="exact"/>
        <w:rPr>
          <w:rFonts w:ascii="Times New Roman" w:cs="Times New Roman" w:eastAsia="Times New Roman" w:hAnsi="Times New Roman"/>
          <w:sz w:val="18"/>
          <w:szCs w:val="18"/>
          <w:color w:val="auto"/>
        </w:rPr>
      </w:pPr>
    </w:p>
    <w:p>
      <w:pPr>
        <w:jc w:val="both"/>
        <w:ind w:left="660" w:right="20" w:hanging="328"/>
        <w:spacing w:after="0" w:line="283"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24" w:lineRule="exact"/>
        <w:rPr>
          <w:rFonts w:ascii="Times New Roman" w:cs="Times New Roman" w:eastAsia="Times New Roman" w:hAnsi="Times New Roman"/>
          <w:sz w:val="18"/>
          <w:szCs w:val="18"/>
          <w:color w:val="auto"/>
        </w:rPr>
      </w:pPr>
    </w:p>
    <w:p>
      <w:pPr>
        <w:jc w:val="both"/>
        <w:ind w:left="660" w:right="20" w:hanging="328"/>
        <w:spacing w:after="0" w:line="302" w:lineRule="auto"/>
        <w:tabs>
          <w:tab w:leader="none" w:pos="6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9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13, 2019.</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993" w:right="23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Income Statements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75"/>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4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23"/>
                <w:szCs w:val="23"/>
                <w:color w:val="auto"/>
              </w:rPr>
            </w:pPr>
          </w:p>
        </w:tc>
        <w:tc>
          <w:tcPr>
            <w:tcW w:w="13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5"/>
        </w:trPr>
        <w:tc>
          <w:tcPr>
            <w:tcW w:w="5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 income</w:t>
            </w:r>
          </w:p>
        </w:tc>
        <w:tc>
          <w:tcPr>
            <w:tcW w:w="10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229,731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224,168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461,223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448,816</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Mortgage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230,465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224,902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462,692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450,307</w:t>
            </w: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7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Rental expenses</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41,438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39,905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85,698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84,678</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Real estate taxes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28,307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56,755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11,422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20,987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16,342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59,057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58,381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118,679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116,491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137,083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135,006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278,217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274,266</w:t>
            </w: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on sale of real estate, net of tax</w:t>
            </w:r>
          </w:p>
        </w:tc>
        <w:tc>
          <w:tcPr>
            <w:tcW w:w="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16,197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16,197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7,288</w:t>
            </w:r>
          </w:p>
        </w:tc>
        <w:tc>
          <w:tcPr>
            <w:tcW w:w="0" w:type="dxa"/>
            <w:vAlign w:val="bottom"/>
          </w:tcPr>
          <w:p>
            <w:pPr>
              <w:spacing w:after="0"/>
              <w:rPr>
                <w:sz w:val="1"/>
                <w:szCs w:val="1"/>
                <w:color w:val="auto"/>
              </w:rPr>
            </w:pPr>
          </w:p>
        </w:tc>
      </w:tr>
      <w:tr>
        <w:trPr>
          <w:trHeight w:val="264"/>
        </w:trPr>
        <w:tc>
          <w:tcPr>
            <w:tcW w:w="5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109,579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93,868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200,672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183,329</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interest income</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(53,950)</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(loss) from partnerships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82,667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65,533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144,470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128,464</w:t>
            </w:r>
          </w:p>
        </w:tc>
        <w:tc>
          <w:tcPr>
            <w:tcW w:w="0" w:type="dxa"/>
            <w:vAlign w:val="bottom"/>
          </w:tcPr>
          <w:p>
            <w:pPr>
              <w:spacing w:after="0"/>
              <w:rPr>
                <w:sz w:val="1"/>
                <w:szCs w:val="1"/>
                <w:color w:val="auto"/>
              </w:rPr>
            </w:pPr>
          </w:p>
        </w:tc>
      </w:tr>
      <w:tr>
        <w:trPr>
          <w:trHeight w:val="243"/>
        </w:trPr>
        <w:tc>
          <w:tcPr>
            <w:tcW w:w="5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THE TRUST</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80,902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63,595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141,046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124,842</w:t>
            </w:r>
          </w:p>
        </w:tc>
        <w:tc>
          <w:tcPr>
            <w:tcW w:w="0" w:type="dxa"/>
            <w:vAlign w:val="bottom"/>
          </w:tcPr>
          <w:p>
            <w:pPr>
              <w:spacing w:after="0"/>
              <w:rPr>
                <w:sz w:val="1"/>
                <w:szCs w:val="1"/>
                <w:color w:val="auto"/>
              </w:rPr>
            </w:pPr>
          </w:p>
        </w:tc>
      </w:tr>
      <w:tr>
        <w:trPr>
          <w:trHeight w:val="243"/>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78,891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61,584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137,025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120,821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80" w:type="dxa"/>
            <w:vAlign w:val="bottom"/>
            <w:vMerge w:val="continue"/>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7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74,713</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72,990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74,458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72,948</w:t>
            </w:r>
          </w:p>
        </w:tc>
        <w:tc>
          <w:tcPr>
            <w:tcW w:w="0" w:type="dxa"/>
            <w:vAlign w:val="bottom"/>
          </w:tcPr>
          <w:p>
            <w:pPr>
              <w:spacing w:after="0"/>
              <w:rPr>
                <w:sz w:val="1"/>
                <w:szCs w:val="1"/>
                <w:color w:val="auto"/>
              </w:rPr>
            </w:pPr>
          </w:p>
        </w:tc>
      </w:tr>
      <w:tr>
        <w:trPr>
          <w:trHeight w:val="237"/>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7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 available for common shareholders</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1"/>
        </w:trPr>
        <w:tc>
          <w:tcPr>
            <w:tcW w:w="52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74,713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72,997</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2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8" w:right="239"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8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262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0" w:type="dxa"/>
            <w:vAlign w:val="bottom"/>
          </w:tcPr>
          <w:p>
            <w:pPr>
              <w:spacing w:after="0"/>
              <w:rPr>
                <w:sz w:val="1"/>
                <w:szCs w:val="1"/>
                <w:color w:val="auto"/>
              </w:rPr>
            </w:pPr>
          </w:p>
        </w:tc>
      </w:tr>
      <w:tr>
        <w:trPr>
          <w:trHeight w:val="190"/>
        </w:trPr>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data)</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8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Real estate, at cost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(including $1,703,069 and $1,701,804 of consolidated variable interest entities, respectively)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7,293,212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7,307,622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Construction-in-progress (including $78,633 and $51,313 of consolidated variable interest entities,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575,229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495,274</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Assets held for sale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16,576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7,874,379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7,819,472</w:t>
            </w:r>
          </w:p>
        </w:tc>
        <w:tc>
          <w:tcPr>
            <w:tcW w:w="0" w:type="dxa"/>
            <w:vAlign w:val="bottom"/>
          </w:tcPr>
          <w:p>
            <w:pPr>
              <w:spacing w:after="0"/>
              <w:rPr>
                <w:sz w:val="1"/>
                <w:szCs w:val="1"/>
                <w:color w:val="auto"/>
              </w:rPr>
            </w:pPr>
          </w:p>
        </w:tc>
      </w:tr>
      <w:tr>
        <w:trPr>
          <w:trHeight w:val="225"/>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Less accumulated depreciation and amortization (including $312,416 and $292,374 of consolidated variable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entities, 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(2,059,143)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real estate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5,726,369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5,760,329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105,903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64,087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142,237</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notes receivable,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30,429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30,429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30,800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26,859</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94,828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Finance lease right of 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53,044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203,498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265,703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6,383,741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8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Mortgages payable, net (including $441,469 and $444,388 of consolidated variable interest entities,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450,883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474,379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71,519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payable, net</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279,027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Senior notes and debentures, net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2,702,737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2,404,279</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177,078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177,922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Dividends payable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78,808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78,207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Security deposits payable</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17,875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74,536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72,068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 and deferred credits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157,524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182,898</w:t>
            </w:r>
          </w:p>
        </w:tc>
        <w:tc>
          <w:tcPr>
            <w:tcW w:w="0" w:type="dxa"/>
            <w:vAlign w:val="bottom"/>
          </w:tcPr>
          <w:p>
            <w:pPr>
              <w:spacing w:after="0"/>
              <w:rPr>
                <w:sz w:val="1"/>
                <w:szCs w:val="1"/>
                <w:color w:val="auto"/>
              </w:rPr>
            </w:pPr>
          </w:p>
        </w:tc>
      </w:tr>
      <w:tr>
        <w:trPr>
          <w:trHeight w:val="237"/>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3,738,385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3,686,106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134,710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136,208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Preferred shares, authorized 15,000,000 shares, $.01 par: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8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5.0% Series C Cumulative Redeemable Preferred Shares, (stated at liquidation preference $25,000 per share),</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6,000 shares issued and outstanding</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25"/>
        </w:trPr>
        <w:tc>
          <w:tcPr>
            <w:tcW w:w="8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5.417% Series 1 Cumulative Convertible Preferred Shares, (stated at liquidation preference $25 per share),</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8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399,896 shares issued and outstanding</w:t>
            </w:r>
          </w:p>
        </w:tc>
        <w:tc>
          <w:tcPr>
            <w:tcW w:w="20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9,997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Common shares of beneficial interest, $.01 par, 100,000,000 shares authorized, 74,950,197 and 74,249,633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shd w:val="clear" w:color="auto" w:fill="CCEEFF"/>
              </w:rPr>
              <w:t>shares issued and outstanding,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3,088,946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3,004,442</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dividends in excess of 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(818,877)</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 of the Trust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2,407,166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2,345,891</w:t>
            </w:r>
          </w:p>
        </w:tc>
        <w:tc>
          <w:tcPr>
            <w:tcW w:w="0" w:type="dxa"/>
            <w:vAlign w:val="bottom"/>
          </w:tcPr>
          <w:p>
            <w:pPr>
              <w:spacing w:after="0"/>
              <w:rPr>
                <w:sz w:val="1"/>
                <w:szCs w:val="1"/>
                <w:color w:val="auto"/>
              </w:rPr>
            </w:pPr>
          </w:p>
        </w:tc>
      </w:tr>
      <w:tr>
        <w:trPr>
          <w:trHeight w:val="243"/>
        </w:trPr>
        <w:tc>
          <w:tcPr>
            <w:tcW w:w="8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121,439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2,510,646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2,467,330</w:t>
            </w:r>
          </w:p>
        </w:tc>
        <w:tc>
          <w:tcPr>
            <w:tcW w:w="0" w:type="dxa"/>
            <w:vAlign w:val="bottom"/>
          </w:tcPr>
          <w:p>
            <w:pPr>
              <w:spacing w:after="0"/>
              <w:rPr>
                <w:sz w:val="1"/>
                <w:szCs w:val="1"/>
                <w:color w:val="auto"/>
              </w:rPr>
            </w:pPr>
          </w:p>
        </w:tc>
      </w:tr>
      <w:tr>
        <w:trPr>
          <w:trHeight w:val="257"/>
        </w:trPr>
        <w:tc>
          <w:tcPr>
            <w:tcW w:w="8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6,383,741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6,289,644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38" w:right="239" w:bottom="36"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738" w:right="239" w:bottom="36" w:gutter="0" w:footer="0" w:header="0"/>
          <w:type w:val="continuous"/>
        </w:sectPr>
      </w:pPr>
    </w:p>
    <w:bookmarkStart w:id="11" w:name="page12"/>
    <w:bookmarkEnd w:id="11"/>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Funds From Operations / Other Supplemental Information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c>
          <w:tcPr>
            <w:tcW w:w="2440" w:type="dxa"/>
            <w:vAlign w:val="bottom"/>
            <w:gridSpan w:val="4"/>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5"/>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08"/>
        </w:trPr>
        <w:tc>
          <w:tcPr>
            <w:tcW w:w="580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Funds from Operations available for common shareholders (FFO) (1) (2)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82,667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65,533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144,470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128,464</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(3,622)</w:t>
            </w: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Gain on sale of real estate, net</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(16,197)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(7,288)</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 of real estate assets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53,323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52,011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106,812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103,362</w:t>
            </w: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Amortization of initial direct costs of leases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9,287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9,302</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Funds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122,565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116,336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240,948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230,218</w:t>
            </w: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Dividends on preferred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(3,750)</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attributable to operating partnership units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1,534</w:t>
            </w: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Income attributable to unvested shares</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(786)</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FFO</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121,005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114,822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237,898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227,216</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91"/>
        </w:trPr>
        <w:tc>
          <w:tcPr>
            <w:tcW w:w="5800" w:type="dxa"/>
            <w:vAlign w:val="bottom"/>
            <w:tcBorders>
              <w:bottom w:val="single" w:sz="8" w:color="CCEEFF"/>
            </w:tcBorders>
            <w:gridSpan w:val="6"/>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 diluted</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75,456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73,880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75,235</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73,859</w:t>
            </w:r>
          </w:p>
        </w:tc>
      </w:tr>
      <w:tr>
        <w:trPr>
          <w:trHeight w:val="251"/>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FFO per diluted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3.08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Summary of Capital Expenditures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Non-maintenance capital expenditures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76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Development, redevelopment and expansions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85,844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74,439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146,255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141,165</w:t>
            </w:r>
          </w:p>
        </w:tc>
      </w:tr>
      <w:tr>
        <w:trPr>
          <w:trHeight w:val="243"/>
        </w:trPr>
        <w:tc>
          <w:tcPr>
            <w:tcW w:w="40" w:type="dxa"/>
            <w:vAlign w:val="bottom"/>
          </w:tcPr>
          <w:p>
            <w:pPr>
              <w:spacing w:after="0"/>
              <w:rPr>
                <w:sz w:val="21"/>
                <w:szCs w:val="21"/>
                <w:color w:val="auto"/>
              </w:rPr>
            </w:pPr>
          </w:p>
        </w:tc>
        <w:tc>
          <w:tcPr>
            <w:tcW w:w="57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Tenant improvements and incentives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19,683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11,685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25,475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23,458</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non-maintenance 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105,527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86,124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171,730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164,623</w:t>
            </w:r>
          </w:p>
        </w:tc>
      </w:tr>
      <w:tr>
        <w:trPr>
          <w:trHeight w:val="243"/>
        </w:trPr>
        <w:tc>
          <w:tcPr>
            <w:tcW w:w="40" w:type="dxa"/>
            <w:vAlign w:val="bottom"/>
          </w:tcPr>
          <w:p>
            <w:pPr>
              <w:spacing w:after="0"/>
              <w:rPr>
                <w:sz w:val="21"/>
                <w:szCs w:val="21"/>
                <w:color w:val="auto"/>
              </w:rPr>
            </w:pPr>
          </w:p>
        </w:tc>
        <w:tc>
          <w:tcPr>
            <w:tcW w:w="57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3,407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4,875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6,457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108,934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89,243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176,605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171,080</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71"/>
        </w:trPr>
        <w:tc>
          <w:tcPr>
            <w:tcW w:w="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Dividends and Payout Ratios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Regular common dividends declared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76,449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73,246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152,555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146,399</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Dividend payout ratio as a percentage of FFO</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84"/>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800" w:type="dxa"/>
            <w:vAlign w:val="bottom"/>
            <w:gridSpan w:val="6"/>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Noncontrolling Interests Supplemental Information (3)</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auto"/>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500" w:type="dxa"/>
            <w:vAlign w:val="bottom"/>
            <w:tcBorders>
              <w:top w:val="single" w:sz="8" w:color="auto"/>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Property operating income (1)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6,194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6,713</w:t>
            </w: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(3,288)</w:t>
            </w:r>
          </w:p>
        </w:tc>
      </w:tr>
      <w:tr>
        <w:trPr>
          <w:trHeight w:val="243"/>
        </w:trPr>
        <w:tc>
          <w:tcPr>
            <w:tcW w:w="580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(1,337)</w:t>
            </w:r>
          </w:p>
        </w:tc>
      </w:tr>
      <w:tr>
        <w:trPr>
          <w:trHeight w:val="27"/>
        </w:trPr>
        <w:tc>
          <w:tcPr>
            <w:tcW w:w="4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5800" w:type="dxa"/>
            <w:vAlign w:val="bottom"/>
            <w:tcBorders>
              <w:bottom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2,034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2,088</w:t>
            </w: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23"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5" w:lineRule="exact"/>
        <w:rPr>
          <w:rFonts w:ascii="Times New Roman" w:cs="Times New Roman" w:eastAsia="Times New Roman" w:hAnsi="Times New Roman"/>
          <w:sz w:val="16"/>
          <w:szCs w:val="16"/>
          <w:color w:val="auto"/>
        </w:rPr>
      </w:pPr>
    </w:p>
    <w:p>
      <w:pPr>
        <w:ind w:left="660" w:right="60" w:hanging="652"/>
        <w:spacing w:after="0" w:line="246"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the adoption of the new lease accounting standard, effective January 1, 2019, certain internal and external legal leasing costs no longer qualify for capitalization. As a result, capitalized leasing costs excluding external commissions decreased to $0.6 million and $1.0 million for the three and six months ended June 30, 2019, respectively, from $2.0 million and $3.6 million for the three and six months ended June 30, 2018, respectively.</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components of "net income attributable to noncontrolling interests," but excludes "income attributable to operating partnership units."</w:t>
      </w:r>
    </w:p>
    <w:p>
      <w:pPr>
        <w:sectPr>
          <w:pgSz w:w="11900" w:h="16838" w:orient="portrait"/>
          <w:cols w:equalWidth="0" w:num="1">
            <w:col w:w="11420"/>
          </w:cols>
          <w:pgMar w:left="240" w:top="73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38" w:right="239" w:bottom="1440" w:gutter="0" w:footer="0" w:header="0"/>
          <w:type w:val="continuous"/>
        </w:sectPr>
      </w:pPr>
    </w:p>
    <w:bookmarkStart w:id="12" w:name="page13"/>
    <w:bookmarkEnd w:id="12"/>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1160" w:type="dxa"/>
            <w:vAlign w:val="bottom"/>
            <w:tcBorders>
              <w:bottom w:val="single" w:sz="8" w:color="auto"/>
            </w:tcBorders>
          </w:tcPr>
          <w:p>
            <w:pPr>
              <w:spacing w:after="0"/>
              <w:rPr>
                <w:sz w:val="16"/>
                <w:szCs w:val="16"/>
                <w:color w:val="auto"/>
              </w:rPr>
            </w:pPr>
          </w:p>
        </w:tc>
      </w:tr>
      <w:tr>
        <w:trPr>
          <w:trHeight w:val="264"/>
        </w:trPr>
        <w:tc>
          <w:tcPr>
            <w:tcW w:w="82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8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920" w:type="dxa"/>
            <w:vAlign w:val="bottom"/>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55"/>
        </w:trPr>
        <w:tc>
          <w:tcPr>
            <w:tcW w:w="8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 Data</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shares outstanding and operating partnership units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74,187</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Market price per common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128.76</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126.55</w:t>
            </w:r>
          </w:p>
        </w:tc>
      </w:tr>
      <w:tr>
        <w:trPr>
          <w:trHeight w:val="237"/>
        </w:trPr>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Common equity market capitalization including operating partnership units</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9,731,295</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9,388,365</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C preferred shares outstanding</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Liquidation price per Series C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25,000</w:t>
            </w:r>
          </w:p>
        </w:tc>
      </w:tr>
      <w:tr>
        <w:trPr>
          <w:trHeight w:val="237"/>
        </w:trPr>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C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Series 1 preferred shares outstanding (2)</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Liquidation price per Series 1 preferred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25.00</w:t>
            </w:r>
          </w:p>
        </w:tc>
      </w:tr>
      <w:tr>
        <w:trPr>
          <w:trHeight w:val="237"/>
        </w:trPr>
        <w:tc>
          <w:tcPr>
            <w:tcW w:w="82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Series 1 preferred equity market capitalization</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10,000</w:t>
            </w:r>
          </w:p>
        </w:tc>
      </w:tr>
      <w:tr>
        <w:trPr>
          <w:trHeight w:val="27"/>
        </w:trPr>
        <w:tc>
          <w:tcPr>
            <w:tcW w:w="8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77"/>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market capitalization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9,891,295</w:t>
            </w:r>
          </w:p>
        </w:tc>
        <w:tc>
          <w:tcPr>
            <w:tcW w:w="6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9,548,365</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 (3)</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3,157,783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3,248,946</w:t>
            </w:r>
          </w:p>
        </w:tc>
      </w:tr>
      <w:tr>
        <w:trPr>
          <w:trHeight w:val="27"/>
        </w:trPr>
        <w:tc>
          <w:tcPr>
            <w:tcW w:w="8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82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spacing w:after="0"/>
              <w:rPr>
                <w:sz w:val="24"/>
                <w:szCs w:val="24"/>
                <w:color w:val="auto"/>
              </w:rPr>
            </w:pPr>
          </w:p>
        </w:tc>
      </w:tr>
      <w:tr>
        <w:trPr>
          <w:trHeight w:val="297"/>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market capitalization</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13,049,078</w:t>
            </w:r>
          </w:p>
        </w:tc>
        <w:tc>
          <w:tcPr>
            <w:tcW w:w="68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12,797,311</w:t>
            </w:r>
          </w:p>
        </w:tc>
      </w:tr>
      <w:tr>
        <w:trPr>
          <w:trHeight w:val="271"/>
        </w:trPr>
        <w:tc>
          <w:tcPr>
            <w:tcW w:w="82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43"/>
        </w:trPr>
        <w:tc>
          <w:tcPr>
            <w:tcW w:w="8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debt to market capitalization at market price per common share</w:t>
            </w:r>
          </w:p>
        </w:tc>
        <w:tc>
          <w:tcPr>
            <w:tcW w:w="30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include 627,171 and 752,036 operating partnership units outstanding at June 30, 2019 and 2018, respectively.</w:t>
      </w:r>
    </w:p>
    <w:p>
      <w:pPr>
        <w:spacing w:after="0" w:line="59"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shares, issued March 8, 2007, are unregistered.</w:t>
      </w:r>
    </w:p>
    <w:p>
      <w:pPr>
        <w:spacing w:after="0" w:line="59" w:lineRule="exact"/>
        <w:rPr>
          <w:rFonts w:ascii="Times New Roman" w:cs="Times New Roman" w:eastAsia="Times New Roman" w:hAnsi="Times New Roman"/>
          <w:sz w:val="16"/>
          <w:szCs w:val="16"/>
          <w:color w:val="auto"/>
        </w:rPr>
      </w:pPr>
    </w:p>
    <w:p>
      <w:pPr>
        <w:jc w:val="both"/>
        <w:ind w:left="660" w:right="80" w:hanging="652"/>
        <w:spacing w:after="0" w:line="263"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debt includes mortgages payable, notes payable, senior notes and debentures, net of premiums/discounts and debt issuance costs from our consolidated balance sheet. The previously reported 2018 balance has been adjusted to exclude capital lease obligations, as finance lease liabilities are no longer included in debt upon the adoption of the new lease accounting standard. See Note 2 of our June 30, 2019 Form 10-Q for additional information regarding the adoption.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738" w:right="239"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0" w:lineRule="exact"/>
        <w:rPr>
          <w:sz w:val="20"/>
          <w:szCs w:val="20"/>
          <w:color w:val="auto"/>
        </w:rPr>
      </w:pPr>
    </w:p>
    <w:p>
      <w:pPr>
        <w:spacing w:after="0" w:line="363" w:lineRule="exact"/>
        <w:rPr>
          <w:sz w:val="20"/>
          <w:szCs w:val="20"/>
          <w:color w:val="auto"/>
        </w:rPr>
      </w:pPr>
    </w:p>
    <w:p>
      <w:pPr>
        <w:ind w:left="40" w:right="260"/>
        <w:spacing w:after="0" w:line="281" w:lineRule="auto"/>
        <w:rPr>
          <w:sz w:val="20"/>
          <w:szCs w:val="20"/>
          <w:color w:val="auto"/>
        </w:rPr>
      </w:pPr>
      <w:r>
        <w:rPr>
          <w:rFonts w:ascii="Times New Roman" w:cs="Times New Roman" w:eastAsia="Times New Roman" w:hAnsi="Times New Roman"/>
          <w:sz w:val="17"/>
          <w:szCs w:val="17"/>
          <w:color w:val="auto"/>
        </w:rPr>
        <w:t>Effective January 1, 2019, we adopted the accounting guidance in ASU 2016-2, Leases (Topic 842), which resulted in several presentation changes with respect to our 2019 Consolidated Income Statements.</w:t>
      </w:r>
    </w:p>
    <w:p>
      <w:pPr>
        <w:spacing w:after="0" w:line="1" w:lineRule="exact"/>
        <w:rPr>
          <w:sz w:val="20"/>
          <w:szCs w:val="20"/>
          <w:color w:val="auto"/>
        </w:rPr>
      </w:pPr>
    </w:p>
    <w:p>
      <w:pPr>
        <w:ind w:left="420" w:right="160" w:hanging="86"/>
        <w:spacing w:after="0" w:line="265" w:lineRule="auto"/>
        <w:tabs>
          <w:tab w:leader="none" w:pos="4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7"/>
          <w:szCs w:val="17"/>
          <w:color w:val="auto"/>
        </w:rPr>
        <w:t>All income from tenant leases are reported as a single line item called “Rental Income.” We have provided below supplemental information with a breakout of the contractual components of the rental income line, however, these breakouts are provided for informational purposes only and should be considered a non-GAAP presentation.</w:t>
      </w:r>
    </w:p>
    <w:p>
      <w:pPr>
        <w:spacing w:after="0" w:line="14" w:lineRule="exact"/>
        <w:rPr>
          <w:rFonts w:ascii="Times New Roman" w:cs="Times New Roman" w:eastAsia="Times New Roman" w:hAnsi="Times New Roman"/>
          <w:sz w:val="9"/>
          <w:szCs w:val="9"/>
          <w:color w:val="auto"/>
        </w:rPr>
      </w:pPr>
    </w:p>
    <w:p>
      <w:pPr>
        <w:jc w:val="both"/>
        <w:ind w:left="420" w:right="120" w:hanging="86"/>
        <w:spacing w:after="0" w:line="281" w:lineRule="auto"/>
        <w:tabs>
          <w:tab w:leader="none" w:pos="4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7"/>
          <w:szCs w:val="17"/>
          <w:color w:val="auto"/>
        </w:rPr>
        <w:t>Real estate taxes paid directly to the taxing authority by our tenants are no longer presented gross as “real estate tax expense” and “rental income” (this amount was approximately $1 million and $3 million for the three and six months ended June 30, 2018, respectively). This change is only reflected in the 2019 results.</w:t>
      </w:r>
    </w:p>
    <w:p>
      <w:pPr>
        <w:spacing w:after="0" w:line="1" w:lineRule="exact"/>
        <w:rPr>
          <w:rFonts w:ascii="Times New Roman" w:cs="Times New Roman" w:eastAsia="Times New Roman" w:hAnsi="Times New Roman"/>
          <w:sz w:val="9"/>
          <w:szCs w:val="9"/>
          <w:color w:val="auto"/>
        </w:rPr>
      </w:pPr>
    </w:p>
    <w:p>
      <w:pPr>
        <w:ind w:left="420" w:right="220" w:hanging="86"/>
        <w:spacing w:after="0" w:line="281" w:lineRule="auto"/>
        <w:tabs>
          <w:tab w:leader="none" w:pos="42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7"/>
          <w:szCs w:val="17"/>
          <w:color w:val="auto"/>
        </w:rPr>
        <w:t>Bad debt expense is no longer reflected in “rental expenses” but instead is a direct reduction of “rental income.” This change is reflected in the 2019 results only, and is a reduction of rental income of less than $1 million and approximately $2 million, respectively, for the three and six months ended June 30, 2019.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r>
      <w:tr>
        <w:trPr>
          <w:trHeight w:val="275"/>
        </w:trPr>
        <w:tc>
          <w:tcPr>
            <w:tcW w:w="520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23"/>
                <w:szCs w:val="23"/>
                <w:color w:val="auto"/>
              </w:rPr>
            </w:pPr>
          </w:p>
        </w:tc>
      </w:tr>
      <w:tr>
        <w:trPr>
          <w:trHeight w:val="264"/>
        </w:trPr>
        <w:tc>
          <w:tcPr>
            <w:tcW w:w="52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5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Minimum rents (1)</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Commercial</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157,206</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153,423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313,352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305,573</w:t>
            </w:r>
          </w:p>
        </w:tc>
      </w:tr>
      <w:tr>
        <w:trPr>
          <w:trHeight w:val="27"/>
        </w:trPr>
        <w:tc>
          <w:tcPr>
            <w:tcW w:w="5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Residential</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19,573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17,105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38,737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33,120</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reimbursements</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40,105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42,531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84,559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87,735</w:t>
            </w:r>
          </w:p>
        </w:tc>
      </w:tr>
      <w:tr>
        <w:trPr>
          <w:trHeight w:val="27"/>
        </w:trPr>
        <w:tc>
          <w:tcPr>
            <w:tcW w:w="5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Percentage rents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5,481</w:t>
            </w:r>
          </w:p>
        </w:tc>
      </w:tr>
      <w:tr>
        <w:trPr>
          <w:trHeight w:val="243"/>
        </w:trPr>
        <w:tc>
          <w:tcPr>
            <w:tcW w:w="5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8,402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20,546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16,907</w:t>
            </w:r>
          </w:p>
        </w:tc>
      </w:tr>
      <w:tr>
        <w:trPr>
          <w:trHeight w:val="27"/>
        </w:trPr>
        <w:tc>
          <w:tcPr>
            <w:tcW w:w="5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rental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229,731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224,168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461,223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448,816</w:t>
            </w:r>
          </w:p>
        </w:tc>
      </w:tr>
      <w:tr>
        <w:trPr>
          <w:trHeight w:val="20"/>
        </w:trPr>
        <w:tc>
          <w:tcPr>
            <w:tcW w:w="5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59" w:lineRule="exact"/>
        <w:rPr>
          <w:sz w:val="20"/>
          <w:szCs w:val="20"/>
          <w:color w:val="auto"/>
        </w:rPr>
      </w:pPr>
    </w:p>
    <w:p>
      <w:pPr>
        <w:ind w:left="660" w:right="140" w:hanging="652"/>
        <w:spacing w:after="0" w:line="258"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rents include $2.9 million and $1.4 million for the three months ended June 30, 2019 and 2018, respectively, and $4.3 million and $3.3 million for the six months ended June 30, 2019 and 2018, respectively, to recognize minimum rents on a straight-line basis. In addition, minimum rents include $1.4 million and $1.0 million for the three months ended June 30, 2019 and 2018, respectively, and $3.2 million and $1.8 million for the six months ended June 30, 2019 and 2018, respectively, to recognize income from the amortization of in-place leases.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38" w:right="239"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Comparable Property Information</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80" w:lineRule="exact"/>
        <w:rPr>
          <w:sz w:val="20"/>
          <w:szCs w:val="20"/>
          <w:color w:val="auto"/>
        </w:rPr>
      </w:pPr>
    </w:p>
    <w:p>
      <w:pPr>
        <w:ind w:left="40" w:right="220"/>
        <w:spacing w:after="0" w:line="255" w:lineRule="auto"/>
        <w:rPr>
          <w:sz w:val="20"/>
          <w:szCs w:val="20"/>
          <w:color w:val="auto"/>
        </w:rPr>
      </w:pPr>
      <w:r>
        <w:rPr>
          <w:rFonts w:ascii="Times New Roman" w:cs="Times New Roman" w:eastAsia="Times New Roman" w:hAnsi="Times New Roman"/>
          <w:sz w:val="17"/>
          <w:szCs w:val="17"/>
          <w:color w:val="auto"/>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Q2 include: Assembly Row - Phase 2, CocoWalk, Olivo at Mission Hills, Pike &amp; Rose, The Shops at Sunset Place, Towson Residential, 700 Santana Row, a portion of Graham Park Plaza, and all properties acquired or disposed of from Q2 2018 to Q2 2019. Comparable Property property operating income (“Comparable Property POI”) is a non-GAAP measure used by management in evaluating the operating performance of our properties period over period.</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Reconciliation of GAAP operating income to Comparable Property POI</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6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6"/>
                <w:szCs w:val="16"/>
                <w:color w:val="auto"/>
              </w:rPr>
            </w:pPr>
          </w:p>
        </w:tc>
      </w:tr>
      <w:tr>
        <w:trPr>
          <w:trHeight w:val="275"/>
        </w:trPr>
        <w:tc>
          <w:tcPr>
            <w:tcW w:w="7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100" w:type="dxa"/>
            <w:vAlign w:val="bottom"/>
          </w:tcPr>
          <w:p>
            <w:pPr>
              <w:spacing w:after="0"/>
              <w:rPr>
                <w:sz w:val="23"/>
                <w:szCs w:val="23"/>
                <w:color w:val="auto"/>
              </w:rPr>
            </w:pPr>
          </w:p>
        </w:tc>
      </w:tr>
      <w:tr>
        <w:trPr>
          <w:trHeight w:val="264"/>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Operating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109,579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93,868</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59,057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58,381</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11,422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8,413</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Gain on sale of real estate, net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(16,197)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(3,972)</w:t>
            </w:r>
          </w:p>
        </w:tc>
        <w:tc>
          <w:tcPr>
            <w:tcW w:w="1100" w:type="dxa"/>
            <w:vAlign w:val="bottom"/>
          </w:tcPr>
          <w:p>
            <w:pPr>
              <w:spacing w:after="0"/>
              <w:rPr>
                <w:sz w:val="23"/>
                <w:szCs w:val="23"/>
                <w:color w:val="auto"/>
              </w:rPr>
            </w:pPr>
          </w:p>
        </w:tc>
      </w:tr>
      <w:tr>
        <w:trPr>
          <w:trHeight w:val="237"/>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operating income (POI)</w:t>
            </w:r>
          </w:p>
        </w:tc>
        <w:tc>
          <w:tcPr>
            <w:tcW w:w="3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8"/>
                <w:szCs w:val="18"/>
                <w:color w:val="auto"/>
              </w:rPr>
              <w:t>163,861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156,690</w:t>
            </w:r>
          </w:p>
        </w:tc>
        <w:tc>
          <w:tcPr>
            <w:tcW w:w="1100" w:type="dxa"/>
            <w:vAlign w:val="bottom"/>
          </w:tcPr>
          <w:p>
            <w:pPr>
              <w:spacing w:after="0"/>
              <w:rPr>
                <w:sz w:val="20"/>
                <w:szCs w:val="20"/>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Less: Non-comparable POI - acquisitions/dispositions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(1,657)</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Less: Non-comparable POI - redevelopment, development &amp; other</w:t>
            </w:r>
          </w:p>
        </w:tc>
        <w:tc>
          <w:tcPr>
            <w:tcW w:w="320" w:type="dxa"/>
            <w:vAlign w:val="bottom"/>
          </w:tcPr>
          <w:p>
            <w:pPr>
              <w:spacing w:after="0"/>
              <w:rPr>
                <w:sz w:val="21"/>
                <w:szCs w:val="21"/>
                <w:color w:val="auto"/>
              </w:rPr>
            </w:pP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(14,151)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(11,352)</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Comparable Property POI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148,721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143,681</w:t>
            </w:r>
          </w:p>
        </w:tc>
        <w:tc>
          <w:tcPr>
            <w:tcW w:w="1100" w:type="dxa"/>
            <w:vAlign w:val="bottom"/>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Additional information regarding the components of Comparable Property POI</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7"/>
        </w:trPr>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24"/>
                <w:szCs w:val="24"/>
                <w:color w:val="auto"/>
              </w:rPr>
            </w:pPr>
          </w:p>
        </w:tc>
      </w:tr>
      <w:tr>
        <w:trPr>
          <w:trHeight w:val="275"/>
        </w:trPr>
        <w:tc>
          <w:tcPr>
            <w:tcW w:w="7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100" w:type="dxa"/>
            <w:vAlign w:val="bottom"/>
          </w:tcPr>
          <w:p>
            <w:pPr>
              <w:spacing w:after="0"/>
              <w:rPr>
                <w:sz w:val="23"/>
                <w:szCs w:val="23"/>
                <w:color w:val="auto"/>
              </w:rPr>
            </w:pPr>
          </w:p>
        </w:tc>
      </w:tr>
      <w:tr>
        <w:trPr>
          <w:trHeight w:val="264"/>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64"/>
        </w:trPr>
        <w:tc>
          <w:tcPr>
            <w:tcW w:w="7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55"/>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Rental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205,812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202,728</w:t>
            </w:r>
          </w:p>
        </w:tc>
        <w:tc>
          <w:tcPr>
            <w:tcW w:w="1100" w:type="dxa"/>
            <w:vAlign w:val="bottom"/>
            <w:tcBorders>
              <w:bottom w:val="single" w:sz="8" w:color="CCEEFF"/>
            </w:tcBorders>
            <w:shd w:val="clear" w:color="auto" w:fill="CCEEFF"/>
          </w:tcPr>
          <w:p>
            <w:pPr>
              <w:spacing w:after="0"/>
              <w:rPr>
                <w:sz w:val="22"/>
                <w:szCs w:val="22"/>
                <w:color w:val="auto"/>
              </w:rPr>
            </w:pPr>
          </w:p>
        </w:tc>
      </w:tr>
      <w:tr>
        <w:trPr>
          <w:trHeight w:val="270"/>
        </w:trPr>
        <w:tc>
          <w:tcPr>
            <w:tcW w:w="7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Rental expenses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(34,698)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(33,267)</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Real estate taxes</w:t>
            </w:r>
          </w:p>
        </w:tc>
        <w:tc>
          <w:tcPr>
            <w:tcW w:w="320" w:type="dxa"/>
            <w:vAlign w:val="bottom"/>
          </w:tcPr>
          <w:p>
            <w:pPr>
              <w:spacing w:after="0"/>
              <w:rPr>
                <w:sz w:val="21"/>
                <w:szCs w:val="21"/>
                <w:color w:val="auto"/>
              </w:rPr>
            </w:pPr>
          </w:p>
        </w:tc>
        <w:tc>
          <w:tcPr>
            <w:tcW w:w="12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(22,393)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(25,780)</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r>
      <w:tr>
        <w:trPr>
          <w:trHeight w:val="244"/>
        </w:trPr>
        <w:tc>
          <w:tcPr>
            <w:tcW w:w="7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(57,091)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(59,047)</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216"/>
        </w:trPr>
        <w:tc>
          <w:tcPr>
            <w:tcW w:w="7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Comparable Property POI</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148,721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143,681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7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Comparable Property POI as a percentage of total POI</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100" w:type="dxa"/>
            <w:vAlign w:val="bottom"/>
            <w:tcBorders>
              <w:bottom w:val="single" w:sz="8" w:color="CCEEFF"/>
            </w:tcBorders>
            <w:shd w:val="clear" w:color="auto" w:fill="CCEEFF"/>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Comparable Property - Occupancy Statistics (1)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92"/>
        </w:trPr>
        <w:tc>
          <w:tcPr>
            <w:tcW w:w="71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At June 30,</w:t>
            </w:r>
          </w:p>
        </w:tc>
        <w:tc>
          <w:tcPr>
            <w:tcW w:w="106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264"/>
        </w:trPr>
        <w:tc>
          <w:tcPr>
            <w:tcW w:w="71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Pr>
          <w:p>
            <w:pPr>
              <w:spacing w:after="0"/>
              <w:rPr>
                <w:sz w:val="22"/>
                <w:szCs w:val="22"/>
                <w:color w:val="auto"/>
              </w:rPr>
            </w:pPr>
          </w:p>
        </w:tc>
      </w:tr>
      <w:tr>
        <w:trPr>
          <w:trHeight w:val="249"/>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GLA - comparable commercial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22,387,000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22,399,000</w:t>
            </w:r>
          </w:p>
        </w:tc>
        <w:tc>
          <w:tcPr>
            <w:tcW w:w="1100" w:type="dxa"/>
            <w:vAlign w:val="bottom"/>
          </w:tcPr>
          <w:p>
            <w:pPr>
              <w:spacing w:after="0"/>
              <w:rPr>
                <w:sz w:val="21"/>
                <w:szCs w:val="21"/>
                <w:color w:val="auto"/>
              </w:rPr>
            </w:pPr>
          </w:p>
        </w:tc>
      </w:tr>
      <w:tr>
        <w:trPr>
          <w:trHeight w:val="243"/>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 % - comparable commercial properties</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100" w:type="dxa"/>
            <w:vAlign w:val="bottom"/>
          </w:tcPr>
          <w:p>
            <w:pPr>
              <w:spacing w:after="0"/>
              <w:rPr>
                <w:sz w:val="21"/>
                <w:szCs w:val="21"/>
                <w:color w:val="auto"/>
              </w:rPr>
            </w:pPr>
          </w:p>
        </w:tc>
      </w:tr>
      <w:tr>
        <w:trPr>
          <w:trHeight w:val="27"/>
        </w:trPr>
        <w:tc>
          <w:tcPr>
            <w:tcW w:w="7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Occupancy % - comparable commercial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100" w:type="dxa"/>
            <w:vAlign w:val="bottom"/>
          </w:tcPr>
          <w:p>
            <w:pPr>
              <w:spacing w:after="0"/>
              <w:rPr>
                <w:sz w:val="21"/>
                <w:szCs w:val="21"/>
                <w:color w:val="auto"/>
              </w:rPr>
            </w:pPr>
          </w:p>
        </w:tc>
      </w:tr>
      <w:tr>
        <w:trPr>
          <w:trHeight w:val="432"/>
        </w:trPr>
        <w:tc>
          <w:tcPr>
            <w:tcW w:w="714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Comparable Property - Summary of Capital Expenditures (2)</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7"/>
        </w:trPr>
        <w:tc>
          <w:tcPr>
            <w:tcW w:w="7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4"/>
          </w:tcPr>
          <w:p>
            <w:pPr>
              <w:jc w:val="center"/>
              <w:ind w:right="1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24"/>
                <w:szCs w:val="24"/>
                <w:color w:val="auto"/>
              </w:rPr>
            </w:pPr>
          </w:p>
        </w:tc>
      </w:tr>
      <w:tr>
        <w:trPr>
          <w:trHeight w:val="275"/>
        </w:trPr>
        <w:tc>
          <w:tcPr>
            <w:tcW w:w="7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3"/>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Borders>
              <w:bottom w:val="single" w:sz="8" w:color="auto"/>
            </w:tcBorders>
          </w:tcPr>
          <w:p>
            <w:pPr>
              <w:spacing w:after="0"/>
              <w:rPr>
                <w:sz w:val="23"/>
                <w:szCs w:val="23"/>
                <w:color w:val="auto"/>
              </w:rPr>
            </w:pPr>
          </w:p>
        </w:tc>
        <w:tc>
          <w:tcPr>
            <w:tcW w:w="1100" w:type="dxa"/>
            <w:vAlign w:val="bottom"/>
          </w:tcPr>
          <w:p>
            <w:pPr>
              <w:spacing w:after="0"/>
              <w:rPr>
                <w:sz w:val="23"/>
                <w:szCs w:val="23"/>
                <w:color w:val="auto"/>
              </w:rPr>
            </w:pPr>
          </w:p>
        </w:tc>
      </w:tr>
      <w:tr>
        <w:trPr>
          <w:trHeight w:val="264"/>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Pr>
          <w:p>
            <w:pPr>
              <w:spacing w:after="0"/>
              <w:rPr>
                <w:sz w:val="22"/>
                <w:szCs w:val="22"/>
                <w:color w:val="auto"/>
              </w:rPr>
            </w:pPr>
          </w:p>
        </w:tc>
      </w:tr>
      <w:tr>
        <w:trPr>
          <w:trHeight w:val="250"/>
        </w:trPr>
        <w:tc>
          <w:tcPr>
            <w:tcW w:w="7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5"/>
        </w:trPr>
        <w:tc>
          <w:tcPr>
            <w:tcW w:w="7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shd w:val="clear" w:color="auto" w:fill="CCEEFF"/>
              </w:rPr>
              <w:t>Redevelopment and tenant improvements and incentives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35,153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25,631</w:t>
            </w:r>
          </w:p>
        </w:tc>
        <w:tc>
          <w:tcPr>
            <w:tcW w:w="1100" w:type="dxa"/>
            <w:vAlign w:val="bottom"/>
          </w:tcPr>
          <w:p>
            <w:pPr>
              <w:spacing w:after="0"/>
              <w:rPr>
                <w:sz w:val="22"/>
                <w:szCs w:val="22"/>
                <w:color w:val="auto"/>
              </w:rPr>
            </w:pPr>
          </w:p>
        </w:tc>
      </w:tr>
      <w:tr>
        <w:trPr>
          <w:trHeight w:val="243"/>
        </w:trPr>
        <w:tc>
          <w:tcPr>
            <w:tcW w:w="7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tcPr>
          <w:p>
            <w:pPr>
              <w:spacing w:after="0"/>
              <w:rPr>
                <w:sz w:val="21"/>
                <w:szCs w:val="21"/>
                <w:color w:val="auto"/>
              </w:rPr>
            </w:pPr>
          </w:p>
        </w:tc>
        <w:tc>
          <w:tcPr>
            <w:tcW w:w="122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3,007</w:t>
            </w:r>
          </w:p>
        </w:tc>
        <w:tc>
          <w:tcPr>
            <w:tcW w:w="1100" w:type="dxa"/>
            <w:vAlign w:val="bottom"/>
          </w:tcPr>
          <w:p>
            <w:pPr>
              <w:spacing w:after="0"/>
              <w:rPr>
                <w:sz w:val="21"/>
                <w:szCs w:val="21"/>
                <w:color w:val="auto"/>
              </w:rPr>
            </w:pPr>
          </w:p>
        </w:tc>
      </w:tr>
      <w:tr>
        <w:trPr>
          <w:trHeight w:val="27"/>
        </w:trPr>
        <w:tc>
          <w:tcPr>
            <w:tcW w:w="7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7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38,304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28,638</w:t>
            </w:r>
          </w:p>
        </w:tc>
        <w:tc>
          <w:tcPr>
            <w:tcW w:w="1100" w:type="dxa"/>
            <w:vAlign w:val="bottom"/>
          </w:tcPr>
          <w:p>
            <w:pPr>
              <w:spacing w:after="0"/>
              <w:rPr>
                <w:sz w:val="20"/>
                <w:szCs w:val="20"/>
                <w:color w:val="auto"/>
              </w:rPr>
            </w:pPr>
          </w:p>
        </w:tc>
      </w:tr>
      <w:tr>
        <w:trPr>
          <w:trHeight w:val="27"/>
        </w:trPr>
        <w:tc>
          <w:tcPr>
            <w:tcW w:w="7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100" w:type="dxa"/>
            <w:vAlign w:val="bottom"/>
          </w:tcPr>
          <w:p>
            <w:pPr>
              <w:spacing w:after="0"/>
              <w:rPr>
                <w:sz w:val="2"/>
                <w:szCs w:val="2"/>
                <w:color w:val="auto"/>
              </w:rPr>
            </w:pPr>
          </w:p>
        </w:tc>
      </w:tr>
    </w:tbl>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720" w:hanging="685"/>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25 for entire portfolio occupancy statistics.</w:t>
      </w:r>
    </w:p>
    <w:p>
      <w:pPr>
        <w:spacing w:after="0" w:line="72" w:lineRule="exact"/>
        <w:rPr>
          <w:rFonts w:ascii="Times New Roman" w:cs="Times New Roman" w:eastAsia="Times New Roman" w:hAnsi="Times New Roman"/>
          <w:sz w:val="16"/>
          <w:szCs w:val="16"/>
          <w:color w:val="auto"/>
        </w:rPr>
      </w:pPr>
    </w:p>
    <w:p>
      <w:pPr>
        <w:ind w:left="720" w:hanging="685"/>
        <w:spacing w:after="0"/>
        <w:tabs>
          <w:tab w:leader="none" w:pos="72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page 9 for "Summary of Capital Expenditures" for our entire portfolio.</w:t>
      </w:r>
    </w:p>
    <w:p>
      <w:pPr>
        <w:sectPr>
          <w:pgSz w:w="11900" w:h="16838" w:orient="portrait"/>
          <w:cols w:equalWidth="0" w:num="1">
            <w:col w:w="11420"/>
          </w:cols>
          <w:pgMar w:left="240" w:top="738" w:right="239" w:bottom="0"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38" w:right="239" w:bottom="0" w:gutter="0" w:footer="0" w:header="0"/>
          <w:type w:val="continuous"/>
        </w:sectPr>
      </w:pPr>
    </w:p>
    <w:bookmarkStart w:id="15" w:name="page16"/>
    <w:bookmarkEnd w:id="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Outstanding Debt and Finance Lease Liabilities</w:t>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As of June 30, 2019</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Stated maturity date</w:t>
            </w:r>
          </w:p>
        </w:tc>
        <w:tc>
          <w:tcPr>
            <w:tcW w:w="100" w:type="dxa"/>
            <w:vAlign w:val="bottom"/>
            <w:vMerge w:val="restart"/>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vMerge w:val="restart"/>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effective rate (4)</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Mortgages Payable (1)</w:t>
            </w:r>
          </w:p>
        </w:tc>
        <w:tc>
          <w:tcPr>
            <w:tcW w:w="2760" w:type="dxa"/>
            <w:vAlign w:val="bottom"/>
            <w:tcBorders>
              <w:bottom w:val="single" w:sz="8" w:color="CCEEFF"/>
            </w:tcBorders>
            <w:gridSpan w:val="4"/>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i w:val="1"/>
                <w:iCs w:val="1"/>
                <w:color w:val="auto"/>
              </w:rPr>
              <w:t>Secured fixed rate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Shops at Sunset Place</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9/1/2020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63,326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29th Place</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5.91%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3,999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Sylmar Towne Center</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6/6/2021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16,819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Plaza Del Sol</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12/1/2021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8,321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AVENUE at White Marsh</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52,705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Montrose Crossing</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68,411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Azalea</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11/1/2025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Bell Gardens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12,808</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Plaza El Segundo</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The Grove at Shrewsbury (East)</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9/1/2027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Brook 35</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11,500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Chelsea</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5,770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452,259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920"/>
              <w:spacing w:after="0"/>
              <w:rPr>
                <w:sz w:val="20"/>
                <w:szCs w:val="20"/>
                <w:color w:val="auto"/>
              </w:rPr>
            </w:pPr>
            <w:r>
              <w:rPr>
                <w:rFonts w:ascii="Times New Roman" w:cs="Times New Roman" w:eastAsia="Times New Roman" w:hAnsi="Times New Roman"/>
                <w:sz w:val="16"/>
                <w:szCs w:val="16"/>
                <w:color w:val="auto"/>
              </w:rPr>
              <w:t>Net unamortized premium and debt issuance costs</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Total mortgages payable, net</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450,883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4.03%</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Revolving credit facility (2)</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4/20/2020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LIBOR + 0.825%</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8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Various through 2028</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4,229</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4,229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auto"/>
              </w:rPr>
              <w:t>Total notes payable,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4,163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11.68%</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(5)</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Senior notes and debentures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Unsecured fixed rate</w:t>
            </w:r>
          </w:p>
        </w:tc>
        <w:tc>
          <w:tcPr>
            <w:tcW w:w="1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2.55%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1/15/2021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3.00%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2.75%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3.95%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7.48% debentures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29,200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7/15/2027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475,000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6.82% medium term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8/1/2027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3.20%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6/15/2029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gridSpan w:val="6"/>
          </w:tcPr>
          <w:p>
            <w:pPr>
              <w:ind w:left="360"/>
              <w:spacing w:after="0"/>
              <w:rPr>
                <w:sz w:val="20"/>
                <w:szCs w:val="20"/>
                <w:color w:val="auto"/>
              </w:rPr>
            </w:pPr>
            <w:r>
              <w:rPr>
                <w:rFonts w:ascii="Times New Roman" w:cs="Times New Roman" w:eastAsia="Times New Roman" w:hAnsi="Times New Roman"/>
                <w:sz w:val="16"/>
                <w:szCs w:val="16"/>
                <w:color w:val="auto"/>
              </w:rPr>
              <w:t>4.50% notes</w:t>
            </w:r>
          </w:p>
        </w:tc>
        <w:tc>
          <w:tcPr>
            <w:tcW w:w="170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12/1/2044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550,000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3.625% notes</w:t>
            </w:r>
          </w:p>
        </w:tc>
        <w:tc>
          <w:tcPr>
            <w:tcW w:w="1700" w:type="dxa"/>
            <w:vAlign w:val="bottom"/>
            <w:tcBorders>
              <w:bottom w:val="single" w:sz="8" w:color="CCEEFF"/>
            </w:tcBorders>
            <w:shd w:val="clear" w:color="auto" w:fill="CCEEFF"/>
          </w:tcPr>
          <w:p>
            <w:pPr>
              <w:jc w:val="center"/>
              <w:ind w:right="79"/>
              <w:spacing w:after="0"/>
              <w:rPr>
                <w:sz w:val="20"/>
                <w:szCs w:val="20"/>
                <w:color w:val="auto"/>
              </w:rPr>
            </w:pPr>
            <w:r>
              <w:rPr>
                <w:rFonts w:ascii="Times New Roman" w:cs="Times New Roman" w:eastAsia="Times New Roman" w:hAnsi="Times New Roman"/>
                <w:sz w:val="16"/>
                <w:szCs w:val="16"/>
                <w:color w:val="auto"/>
              </w:rPr>
              <w:t>8/1/2046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auto"/>
              </w:rPr>
              <w:t>Subtotal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2,719,200</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Net unamortized discount and debt issuance costs</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(16,463)</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40" w:type="dxa"/>
            <w:vAlign w:val="bottom"/>
            <w:gridSpan w:val="6"/>
          </w:tcPr>
          <w:p>
            <w:pPr>
              <w:ind w:left="700"/>
              <w:spacing w:after="0"/>
              <w:rPr>
                <w:sz w:val="20"/>
                <w:szCs w:val="20"/>
                <w:color w:val="auto"/>
              </w:rPr>
            </w:pPr>
            <w:r>
              <w:rPr>
                <w:rFonts w:ascii="Times New Roman" w:cs="Times New Roman" w:eastAsia="Times New Roman" w:hAnsi="Times New Roman"/>
                <w:sz w:val="16"/>
                <w:szCs w:val="16"/>
                <w:color w:val="auto"/>
              </w:rPr>
              <w:t>Total senior notes and debentures, net</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2,702,737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Borders>
              <w:bottom w:val="single" w:sz="8" w:color="CCEEFF"/>
            </w:tcBorders>
          </w:tcPr>
          <w:p>
            <w:pPr>
              <w:spacing w:after="0"/>
              <w:rPr>
                <w:sz w:val="24"/>
                <w:szCs w:val="24"/>
                <w:color w:val="auto"/>
              </w:rPr>
            </w:pPr>
          </w:p>
        </w:tc>
        <w:tc>
          <w:tcPr>
            <w:tcW w:w="4240" w:type="dxa"/>
            <w:vAlign w:val="bottom"/>
            <w:tcBorders>
              <w:bottom w:val="single" w:sz="8" w:color="CCEEFF"/>
            </w:tcBorders>
            <w:gridSpan w:val="6"/>
          </w:tcPr>
          <w:p>
            <w:pPr>
              <w:ind w:left="360"/>
              <w:spacing w:after="0"/>
              <w:rPr>
                <w:sz w:val="20"/>
                <w:szCs w:val="20"/>
                <w:color w:val="auto"/>
              </w:rPr>
            </w:pPr>
            <w:r>
              <w:rPr>
                <w:rFonts w:ascii="Times New Roman" w:cs="Times New Roman" w:eastAsia="Times New Roman" w:hAnsi="Times New Roman"/>
                <w:sz w:val="16"/>
                <w:szCs w:val="16"/>
                <w:color w:val="auto"/>
              </w:rPr>
              <w:t>Total net debt</w:t>
            </w: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3,157,783</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jc w:val="right"/>
              <w:ind w:right="5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4240" w:type="dxa"/>
            <w:vAlign w:val="bottom"/>
            <w:tcBorders>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Various</w:t>
            </w:r>
          </w:p>
        </w:tc>
        <w:tc>
          <w:tcPr>
            <w:tcW w:w="1800" w:type="dxa"/>
            <w:vAlign w:val="bottom"/>
            <w:tcBorders>
              <w:bottom w:val="single" w:sz="8" w:color="CCEEFF"/>
            </w:tcBorders>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color w:val="auto"/>
                <w:w w:val="99"/>
              </w:rPr>
              <w:t>Various through 2106</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Various</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72,068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8.03%</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260" w:type="dxa"/>
            <w:vAlign w:val="bottom"/>
            <w:tcBorders>
              <w:bottom w:val="single" w:sz="8" w:color="CCEEFF"/>
            </w:tcBorders>
            <w:gridSpan w:val="7"/>
          </w:tcPr>
          <w:p>
            <w:pPr>
              <w:ind w:left="20"/>
              <w:spacing w:after="0"/>
              <w:rPr>
                <w:sz w:val="20"/>
                <w:szCs w:val="20"/>
                <w:color w:val="auto"/>
              </w:rPr>
            </w:pPr>
            <w:r>
              <w:rPr>
                <w:rFonts w:ascii="Times New Roman" w:cs="Times New Roman" w:eastAsia="Times New Roman" w:hAnsi="Times New Roman"/>
                <w:sz w:val="16"/>
                <w:szCs w:val="16"/>
                <w:color w:val="auto"/>
              </w:rPr>
              <w:t>Total debt and finance lease liabilities</w:t>
            </w:r>
          </w:p>
        </w:tc>
        <w:tc>
          <w:tcPr>
            <w:tcW w:w="1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3,229,851</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Total fixed rate debt and finance lease liabilities, net</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3,229,851</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gridSpan w:val="7"/>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variable rate debt</w:t>
            </w:r>
          </w:p>
        </w:tc>
        <w:tc>
          <w:tcPr>
            <w:tcW w:w="1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2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Total debt and finance lease liabilites, net</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3,229,851</w:t>
            </w:r>
          </w:p>
        </w:tc>
        <w:tc>
          <w:tcPr>
            <w:tcW w:w="10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3.86%</w:t>
            </w:r>
          </w:p>
        </w:tc>
        <w:tc>
          <w:tcPr>
            <w:tcW w:w="4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6"/>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5" w:right="239" w:bottom="0" w:gutter="0" w:footer="0" w:header="0"/>
        </w:sectPr>
      </w:pP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60" w:top="745" w:right="239" w:bottom="0" w:gutter="0" w:footer="0" w:header="0"/>
          <w:type w:val="continuous"/>
        </w:sectPr>
      </w:pPr>
    </w:p>
    <w:bookmarkStart w:id="17" w:name="page18"/>
    <w:bookmarkEnd w:id="17"/>
    <w:tbl>
      <w:tblPr>
        <w:tblLayout w:type="fixed"/>
        <w:tblInd w:w="7440" w:type="dxa"/>
        <w:tblCellMar>
          <w:top w:w="0" w:type="dxa"/>
          <w:left w:w="0" w:type="dxa"/>
          <w:bottom w:w="0" w:type="dxa"/>
          <w:right w:w="0" w:type="dxa"/>
        </w:tblCellMar>
      </w:tblPr>
      <w:tr>
        <w:trPr>
          <w:trHeight w:val="190"/>
        </w:trPr>
        <w:tc>
          <w:tcPr>
            <w:tcW w:w="20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75"/>
        </w:trPr>
        <w:tc>
          <w:tcPr>
            <w:tcW w:w="660" w:type="dxa"/>
            <w:vAlign w:val="bottom"/>
          </w:tcPr>
          <w:p>
            <w:pPr>
              <w:spacing w:after="0"/>
              <w:rPr>
                <w:sz w:val="23"/>
                <w:szCs w:val="23"/>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23"/>
                <w:szCs w:val="23"/>
                <w:color w:val="auto"/>
              </w:rPr>
            </w:pPr>
          </w:p>
        </w:tc>
        <w:tc>
          <w:tcPr>
            <w:tcW w:w="1260" w:type="dxa"/>
            <w:vAlign w:val="bottom"/>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64"/>
        </w:trPr>
        <w:tc>
          <w:tcPr>
            <w:tcW w:w="66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6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2018</w:t>
            </w:r>
          </w:p>
        </w:tc>
      </w:tr>
    </w:tbl>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Operational Statistics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Ratio of EBITDAre to combined fixed charges and preferred share dividends (6)</w:t>
            </w:r>
          </w:p>
        </w:tc>
        <w:tc>
          <w:tcPr>
            <w:tcW w:w="1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4.37x</w:t>
            </w:r>
          </w:p>
        </w:tc>
        <w:tc>
          <w:tcPr>
            <w:tcW w:w="1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4.20x</w:t>
            </w:r>
          </w:p>
        </w:tc>
        <w:tc>
          <w:tcPr>
            <w:tcW w:w="1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4.27x</w:t>
            </w:r>
          </w:p>
        </w:tc>
        <w:tc>
          <w:tcPr>
            <w:tcW w:w="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4.16x</w:t>
            </w:r>
          </w:p>
        </w:tc>
      </w:tr>
      <w:tr>
        <w:trPr>
          <w:trHeight w:val="33"/>
        </w:trPr>
        <w:tc>
          <w:tcPr>
            <w:tcW w:w="678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5" w:lineRule="exact"/>
        <w:rPr>
          <w:sz w:val="20"/>
          <w:szCs w:val="20"/>
          <w:color w:val="auto"/>
        </w:rPr>
      </w:pPr>
    </w:p>
    <w:p>
      <w:pPr>
        <w:ind w:left="660" w:right="100" w:hanging="652"/>
        <w:spacing w:after="0" w:line="281"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Mortgages payable does not include our share of the debt on our unconsolidated real estate partnerships. At June 30, 2019, our share was approximately $54.2 million. At June 30, 2019, our noncontrolling interests share of mortgages payable was $56.7 million.</w:t>
      </w:r>
    </w:p>
    <w:p>
      <w:pPr>
        <w:spacing w:after="0" w:line="14" w:lineRule="exact"/>
        <w:rPr>
          <w:rFonts w:ascii="Times New Roman" w:cs="Times New Roman" w:eastAsia="Times New Roman" w:hAnsi="Times New Roman"/>
          <w:sz w:val="14"/>
          <w:szCs w:val="14"/>
          <w:color w:val="auto"/>
        </w:rPr>
      </w:pPr>
    </w:p>
    <w:p>
      <w:pPr>
        <w:ind w:left="660" w:right="180" w:hanging="652"/>
        <w:spacing w:after="0" w:line="255"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drawn under our revolving credit facility during the three and six months ended June 30, 2019 was $81.0 million and $116.5 million, respectively. The weighted average interest rate on borrowings under our revolving credit facility, before amortization of debt fees, for both the three and six months ended June 30, 2019 was 3.2%. On July 25, 2019, we amended our revolving credit facility to increase our borrowing capacity to $1.0 billion and extend the maturity date to January 19, 2024. We also lowered the spread over LIBOR to 77.5 basis points.</w:t>
      </w:r>
    </w:p>
    <w:p>
      <w:pPr>
        <w:spacing w:after="0" w:line="18"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remaining term on our debt is 11 years.</w:t>
      </w:r>
    </w:p>
    <w:p>
      <w:pPr>
        <w:spacing w:after="0" w:line="55"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includes the amortization of any debt issuance costs and discounts and premiums, if applicable, except as described in Note 5.</w:t>
      </w:r>
    </w:p>
    <w:p>
      <w:pPr>
        <w:spacing w:after="0" w:line="55" w:lineRule="exact"/>
        <w:rPr>
          <w:rFonts w:ascii="Times New Roman" w:cs="Times New Roman" w:eastAsia="Times New Roman" w:hAnsi="Times New Roman"/>
          <w:sz w:val="14"/>
          <w:szCs w:val="14"/>
          <w:color w:val="auto"/>
        </w:rPr>
      </w:pPr>
    </w:p>
    <w:p>
      <w:pPr>
        <w:ind w:left="660" w:right="40" w:hanging="652"/>
        <w:spacing w:after="0" w:line="281"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effective interest rate excludes $0.5 million in quarterly financing fees and quarterly debt fee amortization on our revolving credit facility which had no outstanding balance on June 30, 2019.</w:t>
      </w:r>
    </w:p>
    <w:p>
      <w:pPr>
        <w:spacing w:after="0" w:line="1" w:lineRule="exact"/>
        <w:rPr>
          <w:rFonts w:ascii="Times New Roman" w:cs="Times New Roman" w:eastAsia="Times New Roman" w:hAnsi="Times New Roman"/>
          <w:sz w:val="14"/>
          <w:szCs w:val="14"/>
          <w:color w:val="auto"/>
        </w:rPr>
      </w:pPr>
    </w:p>
    <w:p>
      <w:pPr>
        <w:ind w:left="660" w:right="380" w:hanging="652"/>
        <w:spacing w:after="0" w:line="282"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Fixed charges consist of interest on borrowed funds and finance leases (including capitalized interest), amortization of debt discount/premium and debt costs, and the portion of rent expense representing an interest factor. EBITDAre is reconciled to net income in the Glossary of Terms.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804" w:right="239"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Cumulative</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 of Debt</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80" w:type="dxa"/>
            <w:vAlign w:val="bottom"/>
          </w:tcPr>
          <w:p>
            <w:pPr>
              <w:spacing w:after="0"/>
              <w:rPr>
                <w:sz w:val="18"/>
                <w:szCs w:val="18"/>
                <w:color w:val="auto"/>
              </w:rPr>
            </w:pPr>
          </w:p>
        </w:tc>
        <w:tc>
          <w:tcPr>
            <w:tcW w:w="174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80" w:type="dxa"/>
            <w:vAlign w:val="bottom"/>
          </w:tcPr>
          <w:p>
            <w:pPr>
              <w:spacing w:after="0"/>
              <w:rPr>
                <w:sz w:val="18"/>
                <w:szCs w:val="18"/>
                <w:color w:val="auto"/>
              </w:rPr>
            </w:pPr>
          </w:p>
        </w:tc>
        <w:tc>
          <w:tcPr>
            <w:tcW w:w="1720" w:type="dxa"/>
            <w:vAlign w:val="bottom"/>
            <w:gridSpan w:val="2"/>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300" w:type="dxa"/>
            <w:vAlign w:val="bottom"/>
          </w:tcPr>
          <w:p>
            <w:pPr>
              <w:spacing w:after="0"/>
              <w:rPr>
                <w:sz w:val="18"/>
                <w:szCs w:val="18"/>
                <w:color w:val="auto"/>
              </w:rPr>
            </w:pPr>
          </w:p>
        </w:tc>
        <w:tc>
          <w:tcPr>
            <w:tcW w:w="13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3,134</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3,134</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5,559</w:t>
            </w: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60,593</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66,152</w:t>
            </w:r>
          </w:p>
        </w:tc>
        <w:tc>
          <w:tcPr>
            <w:tcW w:w="3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55"/>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9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3,677</w:t>
            </w:r>
          </w:p>
        </w:tc>
        <w:tc>
          <w:tcPr>
            <w:tcW w:w="5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277,546</w:t>
            </w:r>
          </w:p>
        </w:tc>
        <w:tc>
          <w:tcPr>
            <w:tcW w:w="5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281,223</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11.1%</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366,323</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367,776</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22.7%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1,517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275,000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276,517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31.4%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1,455</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300,000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301,455</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40.9%</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1,026</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40,000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41,026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42.2%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753</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39,886</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40,639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43.5%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617</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683,600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684,217</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65.0%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611</w:t>
            </w: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611</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65.0%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1,438</w:t>
            </w:r>
          </w:p>
        </w:tc>
        <w:tc>
          <w:tcPr>
            <w:tcW w:w="5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1,111,500</w:t>
            </w: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1,112,938</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4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21,240</w:t>
            </w:r>
          </w:p>
        </w:tc>
        <w:tc>
          <w:tcPr>
            <w:tcW w:w="5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3,154,448</w:t>
            </w:r>
          </w:p>
        </w:tc>
        <w:tc>
          <w:tcPr>
            <w:tcW w:w="56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line="263" w:lineRule="exact"/>
              <w:rPr>
                <w:sz w:val="20"/>
                <w:szCs w:val="20"/>
                <w:color w:val="auto"/>
              </w:rPr>
            </w:pPr>
            <w:r>
              <w:rPr>
                <w:rFonts w:ascii="Times New Roman" w:cs="Times New Roman" w:eastAsia="Times New Roman" w:hAnsi="Times New Roman"/>
                <w:sz w:val="18"/>
                <w:szCs w:val="18"/>
                <w:color w:val="auto"/>
              </w:rPr>
              <w:t xml:space="preserve">3,175,688  </w:t>
            </w:r>
            <w:r>
              <w:rPr>
                <w:rFonts w:ascii="Times New Roman" w:cs="Times New Roman" w:eastAsia="Times New Roman" w:hAnsi="Times New Roman"/>
                <w:sz w:val="28"/>
                <w:szCs w:val="28"/>
                <w:color w:val="auto"/>
                <w:vertAlign w:val="subscript"/>
              </w:rPr>
              <w:t>(1)</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Times New Roman" w:cs="Times New Roman" w:eastAsia="Times New Roman" w:hAnsi="Times New Roman"/>
                <w:sz w:val="16"/>
                <w:szCs w:val="16"/>
                <w:color w:val="auto"/>
              </w:rPr>
              <w:t>Notes:</w:t>
            </w:r>
          </w:p>
        </w:tc>
        <w:tc>
          <w:tcPr>
            <w:tcW w:w="980" w:type="dxa"/>
            <w:vAlign w:val="bottom"/>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ind w:left="660" w:right="320" w:hanging="652"/>
        <w:spacing w:after="0" w:line="281"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total debt maturities differ from the total reported on the consolidated balance sheet due to the unamortized net premium/discount and debt issuance costs on certain mortgage loans, notes payable, and senior notes as of June 30, 2019.</w:t>
      </w:r>
    </w:p>
    <w:p>
      <w:pPr>
        <w:spacing w:after="0" w:line="1"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reflects the weighted average interest rate on debt maturing in the respective year.</w:t>
      </w:r>
    </w:p>
    <w:p>
      <w:pPr>
        <w:spacing w:after="0" w:line="59" w:lineRule="exact"/>
        <w:rPr>
          <w:rFonts w:ascii="Times New Roman" w:cs="Times New Roman" w:eastAsia="Times New Roman" w:hAnsi="Times New Roman"/>
          <w:sz w:val="16"/>
          <w:szCs w:val="16"/>
          <w:color w:val="auto"/>
        </w:rPr>
      </w:pPr>
    </w:p>
    <w:p>
      <w:pPr>
        <w:ind w:left="660" w:right="220" w:hanging="652"/>
        <w:spacing w:after="0" w:line="263" w:lineRule="auto"/>
        <w:tabs>
          <w:tab w:leader="none" w:pos="6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rate excludes $0.5 million in quarterly financing fees and quarterly debt fee amortization on our revolving credit facility, which had no outstanding balance at June 30, 2019. On July 25, 2019, we amended our revolving credit facility to increase our borrowing capacity to $1.0 billion and extend the maturity date to January 19, 2024.</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738" w:right="239"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The following redevelopment opportunities have received or will shortly receive all necessary approvals to proceed and are actively being worked on by the Trust.</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Projected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Cost to</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Anticipated</w:t>
            </w:r>
          </w:p>
        </w:tc>
        <w:tc>
          <w:tcPr>
            <w:tcW w:w="0" w:type="dxa"/>
            <w:vAlign w:val="bottom"/>
          </w:tcPr>
          <w:p>
            <w:pPr>
              <w:spacing w:after="0"/>
              <w:rPr>
                <w:sz w:val="1"/>
                <w:szCs w:val="1"/>
                <w:color w:val="auto"/>
              </w:rPr>
            </w:pPr>
          </w:p>
        </w:tc>
      </w:tr>
      <w:tr>
        <w:trPr>
          <w:trHeight w:val="149"/>
        </w:trPr>
        <w:tc>
          <w:tcPr>
            <w:tcW w:w="152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44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4920" w:type="dxa"/>
            <w:vAlign w:val="bottom"/>
            <w:vMerge w:val="restart"/>
          </w:tcPr>
          <w:p>
            <w:pPr>
              <w:ind w:left="214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86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0" w:type="dxa"/>
            <w:vAlign w:val="bottom"/>
          </w:tcPr>
          <w:p>
            <w:pPr>
              <w:spacing w:after="0"/>
              <w:rPr>
                <w:sz w:val="1"/>
                <w:szCs w:val="1"/>
                <w:color w:val="auto"/>
              </w:rPr>
            </w:pPr>
          </w:p>
        </w:tc>
      </w:tr>
      <w:tr>
        <w:trPr>
          <w:trHeight w:val="195"/>
        </w:trPr>
        <w:tc>
          <w:tcPr>
            <w:tcW w:w="152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ROI (2)</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Cost (1)</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w:t>
            </w:r>
          </w:p>
        </w:tc>
        <w:tc>
          <w:tcPr>
            <w:tcW w:w="0" w:type="dxa"/>
            <w:vAlign w:val="bottom"/>
          </w:tcPr>
          <w:p>
            <w:pPr>
              <w:spacing w:after="0"/>
              <w:rPr>
                <w:sz w:val="1"/>
                <w:szCs w:val="1"/>
                <w:color w:val="auto"/>
              </w:rPr>
            </w:pPr>
          </w:p>
        </w:tc>
      </w:tr>
      <w:tr>
        <w:trPr>
          <w:trHeight w:val="259"/>
        </w:trPr>
        <w:tc>
          <w:tcPr>
            <w:tcW w:w="15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 millions)</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52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Darien</w:t>
            </w:r>
          </w:p>
        </w:tc>
        <w:tc>
          <w:tcPr>
            <w:tcW w:w="1440" w:type="dxa"/>
            <w:vAlign w:val="bottom"/>
            <w:shd w:val="clear" w:color="auto" w:fill="CCEEFF"/>
          </w:tcPr>
          <w:p>
            <w:pPr>
              <w:ind w:left="120"/>
              <w:spacing w:after="0" w:line="153" w:lineRule="exact"/>
              <w:rPr>
                <w:sz w:val="20"/>
                <w:szCs w:val="20"/>
                <w:color w:val="auto"/>
              </w:rPr>
            </w:pPr>
            <w:r>
              <w:rPr>
                <w:rFonts w:ascii="Times New Roman" w:cs="Times New Roman" w:eastAsia="Times New Roman" w:hAnsi="Times New Roman"/>
                <w:sz w:val="14"/>
                <w:szCs w:val="14"/>
                <w:color w:val="auto"/>
              </w:rPr>
              <w:t>Darien, CT</w:t>
            </w:r>
          </w:p>
        </w:tc>
        <w:tc>
          <w:tcPr>
            <w:tcW w:w="4920" w:type="dxa"/>
            <w:vAlign w:val="bottom"/>
            <w:shd w:val="clear" w:color="auto" w:fill="CCEEFF"/>
          </w:tcPr>
          <w:p>
            <w:pPr>
              <w:ind w:left="160"/>
              <w:spacing w:after="0" w:line="153" w:lineRule="exact"/>
              <w:rPr>
                <w:sz w:val="20"/>
                <w:szCs w:val="20"/>
                <w:color w:val="auto"/>
              </w:rPr>
            </w:pPr>
            <w:r>
              <w:rPr>
                <w:rFonts w:ascii="Times New Roman" w:cs="Times New Roman" w:eastAsia="Times New Roman" w:hAnsi="Times New Roman"/>
                <w:sz w:val="14"/>
                <w:szCs w:val="14"/>
                <w:color w:val="auto"/>
              </w:rPr>
              <w:t>Demolition of a 45,000 square foot anchor space to construct 75,000 square feet</w:t>
            </w:r>
          </w:p>
        </w:tc>
        <w:tc>
          <w:tcPr>
            <w:tcW w:w="8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6%</w:t>
            </w:r>
          </w:p>
        </w:tc>
        <w:tc>
          <w:tcPr>
            <w:tcW w:w="8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$110 - $120</w:t>
            </w:r>
          </w:p>
        </w:tc>
        <w:tc>
          <w:tcPr>
            <w:tcW w:w="78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4"/>
                <w:szCs w:val="14"/>
                <w:color w:val="auto"/>
              </w:rPr>
              <w:t>$4</w:t>
            </w:r>
          </w:p>
        </w:tc>
        <w:tc>
          <w:tcPr>
            <w:tcW w:w="1020" w:type="dxa"/>
            <w:vAlign w:val="bottom"/>
            <w:shd w:val="clear" w:color="auto" w:fill="CCEEFF"/>
          </w:tcPr>
          <w:p>
            <w:pPr>
              <w:jc w:val="center"/>
              <w:spacing w:after="0" w:line="153" w:lineRule="exact"/>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of new retail space, 122 rental apartments, and 720 parking spaces</w:t>
            </w: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CocoWalk</w:t>
            </w:r>
          </w:p>
        </w:tc>
        <w:tc>
          <w:tcPr>
            <w:tcW w:w="14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Coconut Grove, FL</w:t>
            </w:r>
          </w:p>
        </w:tc>
        <w:tc>
          <w:tcPr>
            <w:tcW w:w="492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Shopping center redevelopment to include demolition of three story east wing of</w:t>
            </w:r>
          </w:p>
        </w:tc>
        <w:tc>
          <w:tcPr>
            <w:tcW w:w="860" w:type="dxa"/>
            <w:vAlign w:val="bottom"/>
          </w:tcPr>
          <w:p>
            <w:pPr>
              <w:jc w:val="right"/>
              <w:ind w:right="108"/>
              <w:spacing w:after="0" w:line="153" w:lineRule="exact"/>
              <w:rPr>
                <w:sz w:val="20"/>
                <w:szCs w:val="20"/>
                <w:color w:val="auto"/>
              </w:rPr>
            </w:pPr>
            <w:r>
              <w:rPr>
                <w:rFonts w:ascii="Times New Roman" w:cs="Times New Roman" w:eastAsia="Times New Roman" w:hAnsi="Times New Roman"/>
                <w:sz w:val="14"/>
                <w:szCs w:val="14"/>
                <w:color w:val="auto"/>
              </w:rPr>
              <w:t>6%-7%</w:t>
            </w:r>
          </w:p>
        </w:tc>
        <w:tc>
          <w:tcPr>
            <w:tcW w:w="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$75 - $80</w:t>
            </w: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$35</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the property and construction of a 106,000 square foot 5-story office/retail</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building including 24,000 square feet of retail</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Jordan Downs Plaza (5)</w:t>
            </w:r>
          </w:p>
        </w:tc>
        <w:tc>
          <w:tcPr>
            <w:tcW w:w="14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Los Angeles, CA</w:t>
            </w:r>
          </w:p>
        </w:tc>
        <w:tc>
          <w:tcPr>
            <w:tcW w:w="492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Development of a new 113,000 square foot single-story grocery anchored</w:t>
            </w:r>
          </w:p>
        </w:tc>
        <w:tc>
          <w:tcPr>
            <w:tcW w:w="8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7%</w:t>
            </w:r>
          </w:p>
        </w:tc>
        <w:tc>
          <w:tcPr>
            <w:tcW w:w="8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$38 - $42</w:t>
            </w:r>
          </w:p>
        </w:tc>
        <w:tc>
          <w:tcPr>
            <w:tcW w:w="7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$27</w:t>
            </w:r>
          </w:p>
        </w:tc>
        <w:tc>
          <w:tcPr>
            <w:tcW w:w="102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neighborhood shopping center</w:t>
            </w: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Brick Plaza</w:t>
            </w:r>
          </w:p>
        </w:tc>
        <w:tc>
          <w:tcPr>
            <w:tcW w:w="14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Brick, NJ</w:t>
            </w:r>
          </w:p>
        </w:tc>
        <w:tc>
          <w:tcPr>
            <w:tcW w:w="492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Redevelopment and repositioning of anchor tenant and small shop spaces to</w:t>
            </w: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7%</w:t>
            </w:r>
          </w:p>
        </w:tc>
        <w:tc>
          <w:tcPr>
            <w:tcW w:w="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$30</w:t>
            </w: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$23</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transform property into a market dominant center</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Bala Cynwyd</w:t>
            </w:r>
          </w:p>
        </w:tc>
        <w:tc>
          <w:tcPr>
            <w:tcW w:w="14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Bala Cynwyd, PA</w:t>
            </w:r>
          </w:p>
        </w:tc>
        <w:tc>
          <w:tcPr>
            <w:tcW w:w="492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New 87 unit residential apartment building to be constructed on underutilized</w:t>
            </w:r>
          </w:p>
        </w:tc>
        <w:tc>
          <w:tcPr>
            <w:tcW w:w="8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6%</w:t>
            </w:r>
          </w:p>
        </w:tc>
        <w:tc>
          <w:tcPr>
            <w:tcW w:w="8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$23</w:t>
            </w:r>
          </w:p>
        </w:tc>
        <w:tc>
          <w:tcPr>
            <w:tcW w:w="7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$7</w:t>
            </w:r>
          </w:p>
        </w:tc>
        <w:tc>
          <w:tcPr>
            <w:tcW w:w="102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land behind our existing shopping center</w:t>
            </w: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Melville Mall</w:t>
            </w:r>
          </w:p>
        </w:tc>
        <w:tc>
          <w:tcPr>
            <w:tcW w:w="14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Huntington, NY</w:t>
            </w:r>
          </w:p>
        </w:tc>
        <w:tc>
          <w:tcPr>
            <w:tcW w:w="492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Development of a new 15,000 square foot pad site consisting of two multi-tenant</w:t>
            </w: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8%</w:t>
            </w:r>
          </w:p>
        </w:tc>
        <w:tc>
          <w:tcPr>
            <w:tcW w:w="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$11</w:t>
            </w: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$3</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93"/>
        </w:trPr>
        <w:tc>
          <w:tcPr>
            <w:tcW w:w="15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retail buildings</w:t>
            </w:r>
          </w:p>
        </w:tc>
        <w:tc>
          <w:tcPr>
            <w:tcW w:w="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52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Montrose Crossing</w:t>
            </w:r>
          </w:p>
        </w:tc>
        <w:tc>
          <w:tcPr>
            <w:tcW w:w="1440" w:type="dxa"/>
            <w:vAlign w:val="bottom"/>
            <w:shd w:val="clear" w:color="auto" w:fill="CCEEFF"/>
          </w:tcPr>
          <w:p>
            <w:pPr>
              <w:ind w:left="120"/>
              <w:spacing w:after="0" w:line="158" w:lineRule="exact"/>
              <w:rPr>
                <w:sz w:val="20"/>
                <w:szCs w:val="20"/>
                <w:color w:val="auto"/>
              </w:rPr>
            </w:pPr>
            <w:r>
              <w:rPr>
                <w:rFonts w:ascii="Times New Roman" w:cs="Times New Roman" w:eastAsia="Times New Roman" w:hAnsi="Times New Roman"/>
                <w:sz w:val="14"/>
                <w:szCs w:val="14"/>
                <w:color w:val="auto"/>
              </w:rPr>
              <w:t>Rockville, MD</w:t>
            </w:r>
          </w:p>
        </w:tc>
        <w:tc>
          <w:tcPr>
            <w:tcW w:w="492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Demolition of 10,000 square foot restaurant building to construct an 18,000</w:t>
            </w:r>
          </w:p>
        </w:tc>
        <w:tc>
          <w:tcPr>
            <w:tcW w:w="86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11%</w:t>
            </w:r>
          </w:p>
        </w:tc>
        <w:tc>
          <w:tcPr>
            <w:tcW w:w="8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$10</w:t>
            </w:r>
          </w:p>
        </w:tc>
        <w:tc>
          <w:tcPr>
            <w:tcW w:w="780" w:type="dxa"/>
            <w:vAlign w:val="bottom"/>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$8</w:t>
            </w:r>
          </w:p>
        </w:tc>
        <w:tc>
          <w:tcPr>
            <w:tcW w:w="1020" w:type="dxa"/>
            <w:vAlign w:val="bottom"/>
            <w:shd w:val="clear" w:color="auto" w:fill="CCEEFF"/>
          </w:tcPr>
          <w:p>
            <w:pPr>
              <w:jc w:val="center"/>
              <w:spacing w:after="0" w:line="158" w:lineRule="exact"/>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98"/>
        </w:trPr>
        <w:tc>
          <w:tcPr>
            <w:tcW w:w="15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square foot multi-tenant pad building</w:t>
            </w: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5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Pike 7 Plaza</w:t>
            </w:r>
          </w:p>
        </w:tc>
        <w:tc>
          <w:tcPr>
            <w:tcW w:w="14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Vienna, VA</w:t>
            </w:r>
          </w:p>
        </w:tc>
        <w:tc>
          <w:tcPr>
            <w:tcW w:w="4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Addition of 8,300 square foot multi-tenant retail pad building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208"/>
        </w:trPr>
        <w:tc>
          <w:tcPr>
            <w:tcW w:w="1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Wildwood</w:t>
            </w:r>
          </w:p>
        </w:tc>
        <w:tc>
          <w:tcPr>
            <w:tcW w:w="1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Bethesda, MD</w:t>
            </w:r>
          </w:p>
        </w:tc>
        <w:tc>
          <w:tcPr>
            <w:tcW w:w="4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4,900 square foot south end building expansion and site improvements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2019</w:t>
            </w:r>
          </w:p>
        </w:tc>
        <w:tc>
          <w:tcPr>
            <w:tcW w:w="0" w:type="dxa"/>
            <w:vAlign w:val="bottom"/>
          </w:tcPr>
          <w:p>
            <w:pPr>
              <w:spacing w:after="0"/>
              <w:rPr>
                <w:sz w:val="1"/>
                <w:szCs w:val="1"/>
                <w:color w:val="auto"/>
              </w:rPr>
            </w:pPr>
          </w:p>
        </w:tc>
      </w:tr>
      <w:tr>
        <w:trPr>
          <w:trHeight w:val="153"/>
        </w:trPr>
        <w:tc>
          <w:tcPr>
            <w:tcW w:w="152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Willow Lawn</w:t>
            </w:r>
          </w:p>
        </w:tc>
        <w:tc>
          <w:tcPr>
            <w:tcW w:w="144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Richmond, VA</w:t>
            </w:r>
          </w:p>
        </w:tc>
        <w:tc>
          <w:tcPr>
            <w:tcW w:w="492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Conversion of vacant 5,000 square foot pad building to retail use to accommodate</w:t>
            </w: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9%</w:t>
            </w:r>
          </w:p>
        </w:tc>
        <w:tc>
          <w:tcPr>
            <w:tcW w:w="8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w:t>
            </w:r>
          </w:p>
        </w:tc>
        <w:tc>
          <w:tcPr>
            <w:tcW w:w="78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$2</w:t>
            </w:r>
          </w:p>
        </w:tc>
        <w:tc>
          <w:tcPr>
            <w:tcW w:w="102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Stabilized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2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new 3,500 square foot fast casual restaurant tenant. Remainder of pad building to</w:t>
            </w: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52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492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be demolished to construct new 2,200 square foot Starbucks pad site.</w:t>
            </w:r>
          </w:p>
        </w:tc>
        <w:tc>
          <w:tcPr>
            <w:tcW w:w="8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9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Active Redevelopment projects (4)</w:t>
            </w:r>
          </w:p>
        </w:tc>
        <w:tc>
          <w:tcPr>
            <w:tcW w:w="49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$315 - $334</w:t>
            </w:r>
          </w:p>
        </w:tc>
        <w:tc>
          <w:tcPr>
            <w:tcW w:w="7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520" w:type="dxa"/>
            <w:vAlign w:val="bottom"/>
            <w:tcBorders>
              <w:bottom w:val="single" w:sz="8" w:color="CCEEFF"/>
            </w:tcBorders>
            <w:shd w:val="clear" w:color="auto" w:fill="CCEEFF"/>
          </w:tcPr>
          <w:p>
            <w:pPr>
              <w:spacing w:after="0"/>
              <w:rPr>
                <w:sz w:val="5"/>
                <w:szCs w:val="5"/>
                <w:color w:val="auto"/>
              </w:rPr>
            </w:pPr>
          </w:p>
        </w:tc>
        <w:tc>
          <w:tcPr>
            <w:tcW w:w="1440" w:type="dxa"/>
            <w:vAlign w:val="bottom"/>
            <w:tcBorders>
              <w:bottom w:val="single" w:sz="8" w:color="CCEEFF"/>
            </w:tcBorders>
            <w:shd w:val="clear" w:color="auto" w:fill="CCEEFF"/>
          </w:tcPr>
          <w:p>
            <w:pPr>
              <w:spacing w:after="0"/>
              <w:rPr>
                <w:sz w:val="5"/>
                <w:szCs w:val="5"/>
                <w:color w:val="auto"/>
              </w:rPr>
            </w:pPr>
          </w:p>
        </w:tc>
        <w:tc>
          <w:tcPr>
            <w:tcW w:w="4920" w:type="dxa"/>
            <w:vAlign w:val="bottom"/>
            <w:tcBorders>
              <w:bottom w:val="single" w:sz="8" w:color="CCEEFF"/>
            </w:tcBorders>
            <w:shd w:val="clear" w:color="auto" w:fill="CCEEFF"/>
          </w:tcPr>
          <w:p>
            <w:pPr>
              <w:spacing w:after="0"/>
              <w:rPr>
                <w:sz w:val="5"/>
                <w:szCs w:val="5"/>
                <w:color w:val="auto"/>
              </w:rPr>
            </w:pPr>
          </w:p>
        </w:tc>
        <w:tc>
          <w:tcPr>
            <w:tcW w:w="860" w:type="dxa"/>
            <w:vAlign w:val="bottom"/>
            <w:tcBorders>
              <w:bottom w:val="single" w:sz="8" w:color="auto"/>
            </w:tcBorders>
            <w:shd w:val="clear" w:color="auto" w:fill="CCEEFF"/>
          </w:tcPr>
          <w:p>
            <w:pPr>
              <w:spacing w:after="0"/>
              <w:rPr>
                <w:sz w:val="5"/>
                <w:szCs w:val="5"/>
                <w:color w:val="auto"/>
              </w:rPr>
            </w:pPr>
          </w:p>
        </w:tc>
        <w:tc>
          <w:tcPr>
            <w:tcW w:w="880" w:type="dxa"/>
            <w:vAlign w:val="bottom"/>
            <w:tcBorders>
              <w:bottom w:val="single" w:sz="8" w:color="auto"/>
            </w:tcBorders>
            <w:shd w:val="clear" w:color="auto" w:fill="CCEEFF"/>
          </w:tcPr>
          <w:p>
            <w:pPr>
              <w:spacing w:after="0"/>
              <w:rPr>
                <w:sz w:val="5"/>
                <w:szCs w:val="5"/>
                <w:color w:val="auto"/>
              </w:rPr>
            </w:pPr>
          </w:p>
        </w:tc>
        <w:tc>
          <w:tcPr>
            <w:tcW w:w="780" w:type="dxa"/>
            <w:vAlign w:val="bottom"/>
            <w:tcBorders>
              <w:bottom w:val="single" w:sz="8" w:color="auto"/>
            </w:tcBorders>
            <w:shd w:val="clear" w:color="auto" w:fill="CCEEFF"/>
          </w:tcPr>
          <w:p>
            <w:pPr>
              <w:spacing w:after="0"/>
              <w:rPr>
                <w:sz w:val="5"/>
                <w:szCs w:val="5"/>
                <w:color w:val="auto"/>
              </w:rPr>
            </w:pPr>
          </w:p>
        </w:tc>
        <w:tc>
          <w:tcPr>
            <w:tcW w:w="102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17" w:lineRule="exact"/>
        <w:rPr>
          <w:sz w:val="20"/>
          <w:szCs w:val="20"/>
          <w:color w:val="auto"/>
        </w:rPr>
      </w:pPr>
    </w:p>
    <w:p>
      <w:pPr>
        <w:ind w:left="660" w:hanging="652"/>
        <w:spacing w:after="0" w:line="241"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41" w:lineRule="auto"/>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Stabilization is generally the year in which 90% physical occupancy of the redeveloped space is achieved. Economic stabilization may occur at a later point in time.</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subtotals and totals reflect cost weighted-average ROIs.</w:t>
      </w:r>
    </w:p>
    <w:p>
      <w:pPr>
        <w:spacing w:after="0" w:line="1"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cost is net of the proceeds we will receive from our New Market Tax Credit structure. See Note 3 of our December 31, 2018 Form 10-K for additional information.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58" w:right="239"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Assembly Row, Pike &amp; Rose, and Santana Row</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Projected POI Delivered</w:t>
            </w: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(as a % of Total)</w:t>
            </w:r>
          </w:p>
        </w:tc>
        <w:tc>
          <w:tcPr>
            <w:tcW w:w="2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For Year Ended December 31,</w:t>
            </w:r>
          </w:p>
        </w:tc>
        <w:tc>
          <w:tcPr>
            <w:tcW w:w="2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740" w:type="dxa"/>
            <w:vAlign w:val="bottom"/>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7"/>
              </w:rPr>
              <w:t>Projected</w:t>
            </w:r>
          </w:p>
        </w:tc>
        <w:tc>
          <w:tcPr>
            <w:tcW w:w="3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6"/>
              </w:rPr>
              <w:t>Costs to</w:t>
            </w:r>
          </w:p>
        </w:tc>
        <w:tc>
          <w:tcPr>
            <w:tcW w:w="7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3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Property (1)</w:t>
            </w:r>
          </w:p>
        </w:tc>
        <w:tc>
          <w:tcPr>
            <w:tcW w:w="28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74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4"/>
                <w:szCs w:val="14"/>
                <w:b w:val="1"/>
                <w:bCs w:val="1"/>
                <w:color w:val="auto"/>
                <w:w w:val="94"/>
              </w:rPr>
              <w:t>ROI (3)</w:t>
            </w:r>
          </w:p>
        </w:tc>
        <w:tc>
          <w:tcPr>
            <w:tcW w:w="3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Cost (4)</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Date</w:t>
            </w:r>
          </w:p>
        </w:tc>
        <w:tc>
          <w:tcPr>
            <w:tcW w:w="120" w:type="dxa"/>
            <w:vAlign w:val="bottom"/>
          </w:tcPr>
          <w:p>
            <w:pPr>
              <w:spacing w:after="0"/>
              <w:rPr>
                <w:sz w:val="21"/>
                <w:szCs w:val="21"/>
                <w:color w:val="auto"/>
              </w:rPr>
            </w:pPr>
          </w:p>
        </w:tc>
        <w:tc>
          <w:tcPr>
            <w:tcW w:w="700" w:type="dxa"/>
            <w:vAlign w:val="bottom"/>
            <w:tcBorders>
              <w:bottom w:val="single" w:sz="8" w:color="auto"/>
            </w:tcBorders>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2"/>
              </w:rPr>
              <w:t>2019</w:t>
            </w:r>
          </w:p>
        </w:tc>
        <w:tc>
          <w:tcPr>
            <w:tcW w:w="1100" w:type="dxa"/>
            <w:vAlign w:val="bottom"/>
            <w:tcBorders>
              <w:bottom w:val="single" w:sz="8" w:color="auto"/>
            </w:tcBorders>
            <w:gridSpan w:val="2"/>
          </w:tcPr>
          <w:p>
            <w:pPr>
              <w:jc w:val="center"/>
              <w:ind w:left="13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20" w:type="dxa"/>
            <w:vAlign w:val="bottom"/>
          </w:tcPr>
          <w:p>
            <w:pPr>
              <w:spacing w:after="0"/>
              <w:rPr>
                <w:sz w:val="21"/>
                <w:szCs w:val="21"/>
                <w:color w:val="auto"/>
              </w:rPr>
            </w:pPr>
          </w:p>
        </w:tc>
        <w:tc>
          <w:tcPr>
            <w:tcW w:w="27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Expected Opening Timeframe</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89"/>
              </w:rPr>
              <w:t>(in</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millions)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8"/>
              </w:rPr>
              <w:t>millions)</w:t>
            </w: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2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Assembly Row, </w:t>
            </w:r>
            <w:r>
              <w:rPr>
                <w:rFonts w:ascii="Times New Roman" w:cs="Times New Roman" w:eastAsia="Times New Roman" w:hAnsi="Times New Roman"/>
                <w:sz w:val="14"/>
                <w:szCs w:val="14"/>
                <w:b w:val="1"/>
                <w:bCs w:val="1"/>
                <w:i w:val="1"/>
                <w:iCs w:val="1"/>
                <w:color w:val="auto"/>
              </w:rPr>
              <w:t>Somerville, MA</w:t>
            </w: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34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Phase II</w:t>
            </w: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- 161,000 SF of retail</w:t>
            </w:r>
          </w:p>
        </w:tc>
        <w:tc>
          <w:tcPr>
            <w:tcW w:w="7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6"/>
              </w:rPr>
              <w:t>7%</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shd w:val="clear" w:color="auto" w:fill="CCEEFF"/>
              </w:rPr>
              <w:t>$290 - 305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$293</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4"/>
                <w:szCs w:val="14"/>
                <w:color w:val="auto"/>
              </w:rPr>
              <w:t>90%</w:t>
            </w:r>
          </w:p>
        </w:tc>
        <w:tc>
          <w:tcPr>
            <w:tcW w:w="122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Stabilized</w:t>
            </w:r>
          </w:p>
        </w:tc>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130,000 square feet of retail has opened,</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- 447 residential units</w:t>
            </w: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shd w:val="clear" w:color="auto" w:fill="CCEEFF"/>
              </w:rPr>
              <w:t>remaining</w:t>
            </w: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- 158 boutique hotel rooms</w:t>
            </w: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4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shd w:val="clear" w:color="auto" w:fill="CCEEFF"/>
              </w:rPr>
              <w:t>tenants projected to open through 2019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building opened in September 2017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20" w:type="dxa"/>
            <w:vAlign w:val="bottom"/>
            <w:gridSpan w:val="4"/>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with</w:t>
            </w: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deliveries through 3Q 2018</w:t>
            </w:r>
          </w:p>
        </w:tc>
        <w:tc>
          <w:tcPr>
            <w:tcW w:w="0" w:type="dxa"/>
            <w:vAlign w:val="bottom"/>
          </w:tcPr>
          <w:p>
            <w:pPr>
              <w:spacing w:after="0"/>
              <w:rPr>
                <w:sz w:val="1"/>
                <w:szCs w:val="1"/>
                <w:color w:val="auto"/>
              </w:rPr>
            </w:pPr>
          </w:p>
        </w:tc>
      </w:tr>
      <w:tr>
        <w:trPr>
          <w:trHeight w:val="177"/>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741,500 SF Partners Healthcare office space</w:t>
            </w: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(built by Partners) opened in 2016</w:t>
            </w: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Hotel opened in 3Q18</w:t>
            </w: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- 122 for-sale condominium units</w:t>
            </w:r>
          </w:p>
        </w:tc>
        <w:tc>
          <w:tcPr>
            <w:tcW w:w="74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$81</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$81</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Closings commenced 1Q 2018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Phase III</w:t>
            </w: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- 277,000 SF of office</w:t>
            </w:r>
          </w:p>
        </w:tc>
        <w:tc>
          <w:tcPr>
            <w:tcW w:w="7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6"/>
              </w:rPr>
              <w:t>6%</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shd w:val="clear" w:color="auto" w:fill="CCEEFF"/>
              </w:rPr>
              <w:t>$465 - 485</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shd w:val="clear" w:color="auto" w:fill="CCEEFF"/>
              </w:rPr>
              <w:t>104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4"/>
                <w:szCs w:val="14"/>
                <w:color w:val="auto"/>
                <w:w w:val="99"/>
              </w:rPr>
              <w:t>—</w:t>
            </w:r>
          </w:p>
        </w:tc>
        <w:tc>
          <w:tcPr>
            <w:tcW w:w="2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7"/>
                <w:shd w:val="clear" w:color="auto" w:fill="CCEEFF"/>
              </w:rPr>
              <w:t>150,000 square feet of office space pre-leased</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- 500 residential units</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shd w:val="clear" w:color="auto" w:fill="CCEEFF"/>
              </w:rPr>
              <w:t>Openings projected to begin in 2022</w:t>
            </w: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- 56,000 SF of retail</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Future Phases</w:t>
            </w: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- 1.5M SF of commercial</w:t>
            </w:r>
          </w:p>
        </w:tc>
        <w:tc>
          <w:tcPr>
            <w:tcW w:w="74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2"/>
              </w:rPr>
              <w:t>TBD</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TBD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- 329 residential units</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3"/>
        </w:trPr>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240" w:type="dxa"/>
            <w:vAlign w:val="bottom"/>
            <w:gridSpan w:val="6"/>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Pike &amp; Rose, </w:t>
            </w:r>
            <w:r>
              <w:rPr>
                <w:rFonts w:ascii="Times New Roman" w:cs="Times New Roman" w:eastAsia="Times New Roman" w:hAnsi="Times New Roman"/>
                <w:sz w:val="14"/>
                <w:szCs w:val="14"/>
                <w:b w:val="1"/>
                <w:bCs w:val="1"/>
                <w:i w:val="1"/>
                <w:iCs w:val="1"/>
                <w:color w:val="auto"/>
              </w:rPr>
              <w:t>North Bethesda, MD</w:t>
            </w:r>
          </w:p>
        </w:tc>
        <w:tc>
          <w:tcPr>
            <w:tcW w:w="7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340" w:type="dxa"/>
            <w:vAlign w:val="bottom"/>
            <w:tcBorders>
              <w:top w:val="single" w:sz="8" w:color="auto"/>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2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00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Phase II</w:t>
            </w: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- 216,000 SF of retail</w:t>
            </w:r>
          </w:p>
        </w:tc>
        <w:tc>
          <w:tcPr>
            <w:tcW w:w="74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6"/>
              </w:rPr>
              <w:t>6%</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$200 - 207</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2"/>
              </w:rPr>
              <w:t>$201</w:t>
            </w:r>
          </w:p>
        </w:tc>
        <w:tc>
          <w:tcPr>
            <w:tcW w:w="120" w:type="dxa"/>
            <w:vAlign w:val="bottom"/>
          </w:tcPr>
          <w:p>
            <w:pPr>
              <w:spacing w:after="0"/>
              <w:rPr>
                <w:sz w:val="14"/>
                <w:szCs w:val="14"/>
                <w:color w:val="auto"/>
              </w:rPr>
            </w:pP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4"/>
                <w:szCs w:val="14"/>
                <w:color w:val="auto"/>
              </w:rPr>
              <w:t>80%</w:t>
            </w:r>
          </w:p>
        </w:tc>
        <w:tc>
          <w:tcPr>
            <w:tcW w:w="122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Stabilized</w:t>
            </w: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196,000 square feet of retail has opened,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color w:val="auto"/>
              </w:rPr>
              <w:t>- 272 residential units</w:t>
            </w: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- 177 boutique hotel rooms</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tenants projected to open through 2019</w:t>
            </w: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w w:val="97"/>
              </w:rPr>
              <w:t>Residential building opened in August 2017 with</w:t>
            </w:r>
          </w:p>
        </w:tc>
        <w:tc>
          <w:tcPr>
            <w:tcW w:w="0" w:type="dxa"/>
            <w:vAlign w:val="bottom"/>
          </w:tcPr>
          <w:p>
            <w:pPr>
              <w:spacing w:after="0"/>
              <w:rPr>
                <w:sz w:val="1"/>
                <w:szCs w:val="1"/>
                <w:color w:val="auto"/>
              </w:rPr>
            </w:pPr>
          </w:p>
        </w:tc>
      </w:tr>
      <w:tr>
        <w:trPr>
          <w:trHeight w:val="174"/>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deliveries through 2Q 2018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Hotel opened in 1Q18</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- 99 for-sale condominium units</w:t>
            </w:r>
          </w:p>
        </w:tc>
        <w:tc>
          <w:tcPr>
            <w:tcW w:w="7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(6)</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shd w:val="clear" w:color="auto" w:fill="CCEEFF"/>
              </w:rPr>
              <w:t>$62</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rPr>
              <w:t>$62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Closings commenced 1Q 2018</w:t>
            </w: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Phase III</w:t>
            </w: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- 212,000 SF of office</w:t>
            </w:r>
          </w:p>
        </w:tc>
        <w:tc>
          <w:tcPr>
            <w:tcW w:w="74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8"/>
              </w:rPr>
              <w:t>6-7%</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$128 - 135</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$50</w:t>
            </w:r>
          </w:p>
        </w:tc>
        <w:tc>
          <w:tcPr>
            <w:tcW w:w="120" w:type="dxa"/>
            <w:vAlign w:val="bottom"/>
          </w:tcPr>
          <w:p>
            <w:pPr>
              <w:spacing w:after="0"/>
              <w:rPr>
                <w:sz w:val="14"/>
                <w:szCs w:val="14"/>
                <w:color w:val="auto"/>
              </w:rPr>
            </w:pP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w:t>
            </w: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Opening projected to begin in 2021</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- 4,000 SF of retail</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Future Phases</w:t>
            </w: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- 740,000 SF of commercial</w:t>
            </w:r>
          </w:p>
        </w:tc>
        <w:tc>
          <w:tcPr>
            <w:tcW w:w="7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shd w:val="clear" w:color="auto" w:fill="CCEEFF"/>
              </w:rPr>
              <w:t>TBD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- 741 residential units</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2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Santana Row, </w:t>
            </w:r>
            <w:r>
              <w:rPr>
                <w:rFonts w:ascii="Times New Roman" w:cs="Times New Roman" w:eastAsia="Times New Roman" w:hAnsi="Times New Roman"/>
                <w:sz w:val="14"/>
                <w:szCs w:val="14"/>
                <w:b w:val="1"/>
                <w:bCs w:val="1"/>
                <w:i w:val="1"/>
                <w:iCs w:val="1"/>
                <w:color w:val="auto"/>
              </w:rPr>
              <w:t>San Jose, CA</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34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700 Santana Row</w:t>
            </w: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- 301,000 SF of office</w:t>
            </w:r>
          </w:p>
        </w:tc>
        <w:tc>
          <w:tcPr>
            <w:tcW w:w="7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8"/>
              </w:rPr>
              <w:t>7-8%</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5"/>
                <w:shd w:val="clear" w:color="auto" w:fill="CCEEFF"/>
              </w:rPr>
              <w:t>$210 - 220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rPr>
              <w:t>$170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center"/>
              <w:ind w:left="132"/>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4"/>
                <w:szCs w:val="14"/>
                <w:color w:val="auto"/>
                <w:shd w:val="clear" w:color="auto" w:fill="CCEEFF"/>
              </w:rPr>
              <w:t>90%</w:t>
            </w: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shd w:val="clear" w:color="auto" w:fill="CCEEFF"/>
              </w:rPr>
              <w:t>Commenced construction 4Q 2016</w:t>
            </w: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- 18,000 SF of retail &amp; 1,300 parking spaces</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4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shd w:val="clear" w:color="auto" w:fill="CCEEFF"/>
              </w:rPr>
              <w:t>Retail openings projected to begin in late 2019</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Redevelopment of Santana Row Park including</w:t>
            </w: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540" w:type="dxa"/>
            <w:vAlign w:val="bottom"/>
            <w:gridSpan w:val="3"/>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the installation of a new retail pavilion</w:t>
            </w: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5"/>
                <w:shd w:val="clear" w:color="auto" w:fill="CCEEFF"/>
              </w:rPr>
              <w:t>Office 100% leased, opening in 2020</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2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40" w:type="dxa"/>
            <w:vAlign w:val="bottom"/>
            <w:gridSpan w:val="2"/>
            <w:vMerge w:val="continue"/>
            <w:shd w:val="clear" w:color="auto" w:fill="CCEEFF"/>
          </w:tcPr>
          <w:p>
            <w:pPr>
              <w:spacing w:after="0"/>
              <w:rPr>
                <w:sz w:val="7"/>
                <w:szCs w:val="7"/>
                <w:color w:val="auto"/>
              </w:rPr>
            </w:pPr>
          </w:p>
        </w:tc>
        <w:tc>
          <w:tcPr>
            <w:tcW w:w="680" w:type="dxa"/>
            <w:vAlign w:val="bottom"/>
            <w:gridSpan w:val="2"/>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21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240" w:type="dxa"/>
            <w:vAlign w:val="bottom"/>
            <w:gridSpan w:val="6"/>
          </w:tcPr>
          <w:p>
            <w:pPr>
              <w:ind w:left="40"/>
              <w:spacing w:after="0"/>
              <w:rPr>
                <w:sz w:val="20"/>
                <w:szCs w:val="20"/>
                <w:color w:val="auto"/>
              </w:rPr>
            </w:pPr>
            <w:r>
              <w:rPr>
                <w:rFonts w:ascii="Times New Roman" w:cs="Times New Roman" w:eastAsia="Times New Roman" w:hAnsi="Times New Roman"/>
                <w:sz w:val="14"/>
                <w:szCs w:val="14"/>
                <w:color w:val="auto"/>
              </w:rPr>
              <w:t>Santana West - Phase I  - 360,000 SF of commercial</w:t>
            </w:r>
          </w:p>
        </w:tc>
        <w:tc>
          <w:tcPr>
            <w:tcW w:w="74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8"/>
              </w:rPr>
              <w:t>6-7%</w:t>
            </w:r>
          </w:p>
        </w:tc>
        <w:tc>
          <w:tcPr>
            <w:tcW w:w="3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$250 - 270</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$21</w:t>
            </w:r>
          </w:p>
        </w:tc>
        <w:tc>
          <w:tcPr>
            <w:tcW w:w="120" w:type="dxa"/>
            <w:vAlign w:val="bottom"/>
          </w:tcPr>
          <w:p>
            <w:pPr>
              <w:spacing w:after="0"/>
              <w:rPr>
                <w:sz w:val="14"/>
                <w:szCs w:val="14"/>
                <w:color w:val="auto"/>
              </w:rPr>
            </w:pPr>
          </w:p>
        </w:tc>
        <w:tc>
          <w:tcPr>
            <w:tcW w:w="700" w:type="dxa"/>
            <w:vAlign w:val="bottom"/>
          </w:tcPr>
          <w:p>
            <w:pPr>
              <w:jc w:val="center"/>
              <w:ind w:left="132"/>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Pr>
          <w:p>
            <w:pPr>
              <w:spacing w:after="0"/>
              <w:rPr>
                <w:sz w:val="14"/>
                <w:szCs w:val="14"/>
                <w:color w:val="auto"/>
              </w:rPr>
            </w:pPr>
          </w:p>
        </w:tc>
        <w:tc>
          <w:tcPr>
            <w:tcW w:w="7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color w:val="auto"/>
                <w:w w:val="99"/>
              </w:rPr>
              <w:t>—</w:t>
            </w:r>
          </w:p>
        </w:tc>
        <w:tc>
          <w:tcPr>
            <w:tcW w:w="27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Openings projected to begin in 2021</w:t>
            </w: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6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- 1,750 parking spaces</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shd w:val="clear" w:color="auto" w:fill="CCEEFF"/>
              </w:rPr>
              <w:t>Future Phases</w:t>
            </w: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- 321,000 SF of commercial</w:t>
            </w:r>
          </w:p>
        </w:tc>
        <w:tc>
          <w:tcPr>
            <w:tcW w:w="74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w w:val="92"/>
                <w:shd w:val="clear" w:color="auto" w:fill="CCEEFF"/>
              </w:rPr>
              <w:t>TBD</w:t>
            </w: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2"/>
                <w:shd w:val="clear" w:color="auto" w:fill="CCEEFF"/>
              </w:rPr>
              <w:t>TBD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860" w:type="dxa"/>
            <w:vAlign w:val="bottom"/>
            <w:gridSpan w:val="4"/>
            <w:shd w:val="clear" w:color="auto" w:fill="CCEEFF"/>
          </w:tcPr>
          <w:p>
            <w:pPr>
              <w:ind w:left="40"/>
              <w:spacing w:after="0" w:line="136" w:lineRule="exact"/>
              <w:rPr>
                <w:sz w:val="20"/>
                <w:szCs w:val="20"/>
                <w:color w:val="auto"/>
              </w:rPr>
            </w:pPr>
            <w:r>
              <w:rPr>
                <w:rFonts w:ascii="Times New Roman" w:cs="Times New Roman" w:eastAsia="Times New Roman" w:hAnsi="Times New Roman"/>
                <w:sz w:val="14"/>
                <w:szCs w:val="14"/>
                <w:color w:val="auto"/>
              </w:rPr>
              <w:t>- 395 residential units</w:t>
            </w:r>
          </w:p>
        </w:tc>
        <w:tc>
          <w:tcPr>
            <w:tcW w:w="7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60" w:type="dxa"/>
            <w:vAlign w:val="bottom"/>
            <w:gridSpan w:val="4"/>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- 620,000 SF of commercial across from Santana</w:t>
            </w:r>
          </w:p>
        </w:tc>
        <w:tc>
          <w:tcPr>
            <w:tcW w:w="7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Row</w:t>
            </w: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200" w:lineRule="exact"/>
        <w:rPr>
          <w:sz w:val="20"/>
          <w:szCs w:val="20"/>
          <w:color w:val="auto"/>
        </w:rPr>
      </w:pPr>
    </w:p>
    <w:p>
      <w:pPr>
        <w:ind w:left="500" w:right="300" w:hanging="465"/>
        <w:spacing w:after="0" w:line="305" w:lineRule="auto"/>
        <w:tabs>
          <w:tab w:leader="none" w:pos="50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opening dates, total cost, projected return on investment (ROI), and projected POI percentages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ind w:left="500" w:right="60" w:hanging="465"/>
        <w:spacing w:after="0" w:line="241" w:lineRule="auto"/>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figures reflect (i) the projected POI (herein defined) for the stated year divided by (ii) the current projected annual stabilized POI for the Property. These percentages are projections only and we cannot give any assurances that these amounts will actually be achieved.</w:t>
      </w:r>
    </w:p>
    <w:p>
      <w:pPr>
        <w:spacing w:after="0" w:line="27"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Projected ROI for development projects reflects the unleveraged Property Operating Income (POI) generated by the development and is calculated as POI divided by cost.</w:t>
      </w:r>
    </w:p>
    <w:p>
      <w:pPr>
        <w:spacing w:after="0" w:line="4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Projected costs for Assembly Row and Pike &amp; Rose include an allocation of infrastructure costs for the entire project. Phase I of Santana West includes an allocation of infrastructure for the Santana</w:t>
      </w:r>
    </w:p>
    <w:p>
      <w:pPr>
        <w:spacing w:after="0" w:line="24"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West site.</w:t>
      </w:r>
    </w:p>
    <w:p>
      <w:pPr>
        <w:spacing w:after="0" w:line="27"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are net of expected reimbursement by third parties and land sale proceeds. Phase II total costs and costs to date include our share of the costs in the hotel.</w:t>
      </w:r>
    </w:p>
    <w:p>
      <w:pPr>
        <w:spacing w:after="0" w:line="41"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Condominiums shown at cost; the projected ROI for Phase II does not assume any incremental profit on the sale of condominium units; for return calculation purposes, condominiums are assumed to be</w:t>
      </w:r>
    </w:p>
    <w:p>
      <w:pPr>
        <w:spacing w:after="0" w:line="24" w:lineRule="exact"/>
        <w:rPr>
          <w:rFonts w:ascii="Times New Roman" w:cs="Times New Roman" w:eastAsia="Times New Roman" w:hAnsi="Times New Roman"/>
          <w:sz w:val="14"/>
          <w:szCs w:val="14"/>
          <w:color w:val="auto"/>
        </w:rPr>
      </w:pPr>
    </w:p>
    <w:p>
      <w:pPr>
        <w:ind w:left="500" w:hanging="465"/>
        <w:spacing w:after="0"/>
        <w:tabs>
          <w:tab w:leader="none" w:pos="5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sold at cost.</w:t>
      </w:r>
    </w:p>
    <w:p>
      <w:pPr>
        <w:sectPr>
          <w:pgSz w:w="11900" w:h="16838" w:orient="portrait"/>
          <w:cols w:equalWidth="0" w:num="1">
            <w:col w:w="11420"/>
          </w:cols>
          <w:pgMar w:left="240" w:top="758"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58" w:right="239" w:bottom="1440" w:gutter="0" w:footer="0" w:header="0"/>
          <w:type w:val="continuous"/>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368" w:lineRule="exact"/>
        <w:rPr>
          <w:sz w:val="20"/>
          <w:szCs w:val="20"/>
          <w:color w:val="auto"/>
        </w:rPr>
      </w:pPr>
    </w:p>
    <w:p>
      <w:pPr>
        <w:ind w:left="40" w:right="40"/>
        <w:spacing w:after="0" w:line="277" w:lineRule="auto"/>
        <w:rPr>
          <w:sz w:val="20"/>
          <w:szCs w:val="20"/>
          <w:color w:val="auto"/>
        </w:rPr>
      </w:pPr>
      <w:r>
        <w:rPr>
          <w:rFonts w:ascii="Times New Roman" w:cs="Times New Roman" w:eastAsia="Times New Roman" w:hAnsi="Times New Roman"/>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14" w:lineRule="exact"/>
        <w:rPr>
          <w:sz w:val="20"/>
          <w:szCs w:val="20"/>
          <w:color w:val="auto"/>
        </w:rPr>
      </w:pPr>
    </w:p>
    <w:p>
      <w:pPr>
        <w:ind w:left="40" w:right="960"/>
        <w:spacing w:after="0" w:line="292" w:lineRule="auto"/>
        <w:rPr>
          <w:sz w:val="20"/>
          <w:szCs w:val="20"/>
          <w:color w:val="auto"/>
        </w:rPr>
      </w:pPr>
      <w:r>
        <w:rPr>
          <w:rFonts w:ascii="Times New Roman" w:cs="Times New Roman" w:eastAsia="Times New Roman" w:hAnsi="Times New Roman"/>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tbl>
      <w:tblPr>
        <w:tblLayout w:type="fixed"/>
        <w:tblInd w:w="0" w:type="dxa"/>
        <w:tblCellMar>
          <w:top w:w="0" w:type="dxa"/>
          <w:left w:w="0" w:type="dxa"/>
          <w:bottom w:w="0" w:type="dxa"/>
          <w:right w:w="0" w:type="dxa"/>
        </w:tblCellMar>
      </w:tblP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Escondido Promenade</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Escondido, CA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Mercer Mall</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Lawrenceville, NJ</w:t>
            </w:r>
          </w:p>
        </w:tc>
      </w:tr>
      <w:tr>
        <w:trPr>
          <w:trHeight w:val="237"/>
        </w:trPr>
        <w:tc>
          <w:tcPr>
            <w:tcW w:w="27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Federal Plaza</w:t>
            </w:r>
          </w:p>
        </w:tc>
        <w:tc>
          <w:tcPr>
            <w:tcW w:w="2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Rockville, MD</w:t>
            </w:r>
          </w:p>
        </w:tc>
        <w:tc>
          <w:tcPr>
            <w:tcW w:w="276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Pan Am</w:t>
            </w:r>
          </w:p>
        </w:tc>
        <w:tc>
          <w:tcPr>
            <w:tcW w:w="37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Fairfax, VA</w:t>
            </w: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Flourtown</w:t>
            </w:r>
          </w:p>
        </w:tc>
        <w:tc>
          <w:tcPr>
            <w:tcW w:w="2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Flourtown, PA</w:t>
            </w:r>
          </w:p>
        </w:tc>
        <w:tc>
          <w:tcPr>
            <w:tcW w:w="276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6"/>
                <w:szCs w:val="16"/>
                <w:b w:val="1"/>
                <w:bCs w:val="1"/>
                <w:color w:val="auto"/>
              </w:rPr>
              <w:t>Sylmar Towne Center</w:t>
            </w:r>
          </w:p>
        </w:tc>
        <w:tc>
          <w:tcPr>
            <w:tcW w:w="37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Sylmar, CA</w:t>
            </w:r>
          </w:p>
        </w:tc>
      </w:tr>
      <w:tr>
        <w:trPr>
          <w:trHeight w:val="237"/>
        </w:trPr>
        <w:tc>
          <w:tcPr>
            <w:tcW w:w="270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2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Queens, NY</w:t>
            </w:r>
          </w:p>
        </w:tc>
        <w:tc>
          <w:tcPr>
            <w:tcW w:w="276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3"/>
        </w:trPr>
        <w:tc>
          <w:tcPr>
            <w:tcW w:w="27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270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2760" w:type="dxa"/>
            <w:vAlign w:val="bottom"/>
            <w:shd w:val="clear" w:color="auto" w:fill="CCEEFF"/>
          </w:tcPr>
          <w:p>
            <w:pPr>
              <w:spacing w:after="0"/>
              <w:rPr>
                <w:sz w:val="23"/>
                <w:szCs w:val="23"/>
                <w:color w:val="auto"/>
              </w:rPr>
            </w:pPr>
          </w:p>
        </w:tc>
        <w:tc>
          <w:tcPr>
            <w:tcW w:w="3760" w:type="dxa"/>
            <w:vAlign w:val="bottom"/>
            <w:shd w:val="clear" w:color="auto" w:fill="CCEEFF"/>
          </w:tcPr>
          <w:p>
            <w:pPr>
              <w:spacing w:after="0"/>
              <w:rPr>
                <w:sz w:val="23"/>
                <w:szCs w:val="23"/>
                <w:color w:val="auto"/>
              </w:rPr>
            </w:pPr>
          </w:p>
        </w:tc>
      </w:tr>
    </w:tbl>
    <w:p>
      <w:pPr>
        <w:spacing w:after="0" w:line="11" w:lineRule="exact"/>
        <w:rPr>
          <w:sz w:val="20"/>
          <w:szCs w:val="20"/>
          <w:color w:val="auto"/>
        </w:rPr>
      </w:pPr>
    </w:p>
    <w:p>
      <w:pPr>
        <w:ind w:left="40" w:right="520"/>
        <w:spacing w:after="0" w:line="292" w:lineRule="auto"/>
        <w:rPr>
          <w:sz w:val="20"/>
          <w:szCs w:val="20"/>
          <w:color w:val="auto"/>
        </w:rPr>
      </w:pPr>
      <w:r>
        <w:rPr>
          <w:rFonts w:ascii="Times New Roman" w:cs="Times New Roman" w:eastAsia="Times New Roman" w:hAnsi="Times New Roman"/>
          <w:sz w:val="16"/>
          <w:szCs w:val="16"/>
          <w:b w:val="1"/>
          <w:bCs w:val="1"/>
          <w:color w:val="auto"/>
        </w:rPr>
        <w:t>Property Expansion or Conversion - Opportunities at successful retail properties to convert previously underutilized land into new GLA and to convert other existing uses into more productive uses for the property.</w:t>
      </w:r>
    </w:p>
    <w:tbl>
      <w:tblPr>
        <w:tblLayout w:type="fixed"/>
        <w:tblInd w:w="0" w:type="dxa"/>
        <w:tblCellMar>
          <w:top w:w="0" w:type="dxa"/>
          <w:left w:w="0" w:type="dxa"/>
          <w:bottom w:w="0" w:type="dxa"/>
          <w:right w:w="0" w:type="dxa"/>
        </w:tblCellMar>
      </w:tblP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Charlottesville, VA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Hastings Ranch Plaza</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Pasadena, CA</w:t>
            </w:r>
          </w:p>
        </w:tc>
      </w:tr>
      <w:tr>
        <w:trPr>
          <w:trHeight w:val="237"/>
        </w:trPr>
        <w:tc>
          <w:tcPr>
            <w:tcW w:w="24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Bethesda Row</w:t>
            </w:r>
          </w:p>
        </w:tc>
        <w:tc>
          <w:tcPr>
            <w:tcW w:w="25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Bethesda, MD</w:t>
            </w:r>
          </w:p>
        </w:tc>
        <w:tc>
          <w:tcPr>
            <w:tcW w:w="28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Plaza El Segundo</w:t>
            </w:r>
          </w:p>
        </w:tc>
        <w:tc>
          <w:tcPr>
            <w:tcW w:w="3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El Segundo, CA</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Crossroads</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Highland Park, IL</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Riverpoint Center</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Chicago, IL</w:t>
            </w:r>
          </w:p>
        </w:tc>
      </w:tr>
      <w:tr>
        <w:trPr>
          <w:trHeight w:val="237"/>
        </w:trPr>
        <w:tc>
          <w:tcPr>
            <w:tcW w:w="24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Dedham Plaza</w:t>
            </w:r>
          </w:p>
        </w:tc>
        <w:tc>
          <w:tcPr>
            <w:tcW w:w="25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Dedham, MA</w:t>
            </w:r>
          </w:p>
        </w:tc>
        <w:tc>
          <w:tcPr>
            <w:tcW w:w="28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The Shops at Sunset Place</w:t>
            </w:r>
          </w:p>
        </w:tc>
        <w:tc>
          <w:tcPr>
            <w:tcW w:w="3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South Miami, FL</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b w:val="1"/>
                <w:bCs w:val="1"/>
                <w:color w:val="auto"/>
              </w:rPr>
              <w:t>Fourth Street</w:t>
            </w:r>
          </w:p>
        </w:tc>
        <w:tc>
          <w:tcPr>
            <w:tcW w:w="25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Berkeley, CA</w:t>
            </w:r>
          </w:p>
        </w:tc>
        <w:tc>
          <w:tcPr>
            <w:tcW w:w="28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Third Street Promenade</w:t>
            </w:r>
          </w:p>
        </w:tc>
        <w:tc>
          <w:tcPr>
            <w:tcW w:w="36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Santa Monica, CA</w:t>
            </w:r>
          </w:p>
        </w:tc>
      </w:tr>
      <w:tr>
        <w:trPr>
          <w:trHeight w:val="237"/>
        </w:trPr>
        <w:tc>
          <w:tcPr>
            <w:tcW w:w="248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Fresh Meadows</w:t>
            </w:r>
          </w:p>
        </w:tc>
        <w:tc>
          <w:tcPr>
            <w:tcW w:w="2540" w:type="dxa"/>
            <w:vAlign w:val="bottom"/>
          </w:tcPr>
          <w:p>
            <w:pPr>
              <w:ind w:left="760"/>
              <w:spacing w:after="0"/>
              <w:rPr>
                <w:sz w:val="20"/>
                <w:szCs w:val="20"/>
                <w:color w:val="auto"/>
              </w:rPr>
            </w:pPr>
            <w:r>
              <w:rPr>
                <w:rFonts w:ascii="Times New Roman" w:cs="Times New Roman" w:eastAsia="Times New Roman" w:hAnsi="Times New Roman"/>
                <w:sz w:val="16"/>
                <w:szCs w:val="16"/>
                <w:color w:val="auto"/>
              </w:rPr>
              <w:t>Queens, NY</w:t>
            </w:r>
          </w:p>
        </w:tc>
        <w:tc>
          <w:tcPr>
            <w:tcW w:w="2800" w:type="dxa"/>
            <w:vAlign w:val="bottom"/>
          </w:tcPr>
          <w:p>
            <w:pPr>
              <w:ind w:left="520"/>
              <w:spacing w:after="0"/>
              <w:rPr>
                <w:sz w:val="20"/>
                <w:szCs w:val="20"/>
                <w:color w:val="auto"/>
              </w:rPr>
            </w:pPr>
            <w:r>
              <w:rPr>
                <w:rFonts w:ascii="Times New Roman" w:cs="Times New Roman" w:eastAsia="Times New Roman" w:hAnsi="Times New Roman"/>
                <w:sz w:val="16"/>
                <w:szCs w:val="16"/>
                <w:b w:val="1"/>
                <w:bCs w:val="1"/>
                <w:color w:val="auto"/>
              </w:rPr>
              <w:t>Wildwood</w:t>
            </w:r>
          </w:p>
        </w:tc>
        <w:tc>
          <w:tcPr>
            <w:tcW w:w="3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Bethesda, MD</w:t>
            </w:r>
          </w:p>
        </w:tc>
      </w:tr>
      <w:tr>
        <w:trPr>
          <w:trHeight w:val="33"/>
        </w:trPr>
        <w:tc>
          <w:tcPr>
            <w:tcW w:w="24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3600" w:type="dxa"/>
            <w:vAlign w:val="bottom"/>
          </w:tcPr>
          <w:p>
            <w:pPr>
              <w:spacing w:after="0"/>
              <w:rPr>
                <w:sz w:val="2"/>
                <w:szCs w:val="2"/>
                <w:color w:val="auto"/>
              </w:rPr>
            </w:pPr>
          </w:p>
        </w:tc>
      </w:tr>
      <w:tr>
        <w:trPr>
          <w:trHeight w:val="284"/>
        </w:trPr>
        <w:tc>
          <w:tcPr>
            <w:tcW w:w="248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3600" w:type="dxa"/>
            <w:vAlign w:val="bottom"/>
            <w:shd w:val="clear" w:color="auto" w:fill="CCEEFF"/>
          </w:tcPr>
          <w:p>
            <w:pPr>
              <w:spacing w:after="0"/>
              <w:rPr>
                <w:sz w:val="24"/>
                <w:szCs w:val="24"/>
                <w:color w:val="auto"/>
              </w:rPr>
            </w:pPr>
          </w:p>
        </w:tc>
      </w:tr>
    </w:tbl>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Residential Opportunities - Opportunity to add residential units to existing retail and mixed-use properties.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Barracks Road</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Charlottesville, VA</w:t>
            </w:r>
          </w:p>
        </w:tc>
        <w:tc>
          <w:tcPr>
            <w:tcW w:w="3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Graham Park Plaza</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Falls Church, VA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2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Bala Cynwyd, PA</w:t>
            </w:r>
          </w:p>
        </w:tc>
        <w:tc>
          <w:tcPr>
            <w:tcW w:w="31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Village at Shirlington</w:t>
            </w:r>
          </w:p>
        </w:tc>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Arlington, VA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580" w:type="dxa"/>
            <w:vAlign w:val="bottom"/>
            <w:gridSpan w:val="2"/>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2580" w:type="dxa"/>
            <w:vAlign w:val="bottom"/>
            <w:gridSpan w:val="2"/>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180" w:type="dxa"/>
            <w:vAlign w:val="bottom"/>
            <w:shd w:val="clear" w:color="auto" w:fill="CCEEFF"/>
          </w:tcPr>
          <w:p>
            <w:pPr>
              <w:spacing w:after="0"/>
              <w:rPr>
                <w:sz w:val="23"/>
                <w:szCs w:val="23"/>
                <w:color w:val="auto"/>
              </w:rPr>
            </w:pPr>
          </w:p>
        </w:tc>
        <w:tc>
          <w:tcPr>
            <w:tcW w:w="3160" w:type="dxa"/>
            <w:vAlign w:val="bottom"/>
            <w:shd w:val="clear" w:color="auto" w:fill="CCEEFF"/>
          </w:tcPr>
          <w:p>
            <w:pPr>
              <w:spacing w:after="0"/>
              <w:rPr>
                <w:sz w:val="23"/>
                <w:szCs w:val="23"/>
                <w:color w:val="auto"/>
              </w:rPr>
            </w:pPr>
          </w:p>
        </w:tc>
      </w:tr>
      <w:tr>
        <w:trPr>
          <w:trHeight w:val="224"/>
        </w:trPr>
        <w:tc>
          <w:tcPr>
            <w:tcW w:w="300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Longer Term Mixed-Use Opportunities</w:t>
            </w:r>
          </w:p>
        </w:tc>
        <w:tc>
          <w:tcPr>
            <w:tcW w:w="20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Assembly Row (1)</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Somerville, MA</w:t>
            </w:r>
          </w:p>
        </w:tc>
        <w:tc>
          <w:tcPr>
            <w:tcW w:w="3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San Antonio Center</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Mountain View, CA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Bala Cynwyd</w:t>
            </w:r>
          </w:p>
        </w:tc>
        <w:tc>
          <w:tcPr>
            <w:tcW w:w="2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Bala Cynwyd, PA</w:t>
            </w:r>
          </w:p>
        </w:tc>
        <w:tc>
          <w:tcPr>
            <w:tcW w:w="31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Santana Row (3)</w:t>
            </w:r>
          </w:p>
        </w:tc>
        <w:tc>
          <w:tcPr>
            <w:tcW w:w="3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San Jose, CA</w:t>
            </w: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Pike 7 Plaza</w:t>
            </w:r>
          </w:p>
        </w:tc>
        <w:tc>
          <w:tcPr>
            <w:tcW w:w="2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Vienna, VA</w:t>
            </w:r>
          </w:p>
        </w:tc>
        <w:tc>
          <w:tcPr>
            <w:tcW w:w="31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Santana Row - Santana West (3)</w:t>
            </w:r>
          </w:p>
        </w:tc>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San Jose, CA</w:t>
            </w:r>
          </w:p>
        </w:tc>
      </w:tr>
      <w:tr>
        <w:trPr>
          <w:trHeight w:val="237"/>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Pike &amp; Rose (2)</w:t>
            </w:r>
          </w:p>
        </w:tc>
        <w:tc>
          <w:tcPr>
            <w:tcW w:w="2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North Bethesda, MD</w:t>
            </w:r>
          </w:p>
        </w:tc>
        <w:tc>
          <w:tcPr>
            <w:tcW w:w="31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1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3180" w:type="dxa"/>
            <w:vAlign w:val="bottom"/>
            <w:shd w:val="clear" w:color="auto" w:fill="CCEEFF"/>
          </w:tcPr>
          <w:p>
            <w:pPr>
              <w:spacing w:after="0"/>
              <w:rPr>
                <w:sz w:val="23"/>
                <w:szCs w:val="23"/>
                <w:color w:val="auto"/>
              </w:rPr>
            </w:pPr>
          </w:p>
        </w:tc>
        <w:tc>
          <w:tcPr>
            <w:tcW w:w="3160" w:type="dxa"/>
            <w:vAlign w:val="bottom"/>
            <w:shd w:val="clear" w:color="auto" w:fill="CCEEFF"/>
          </w:tcPr>
          <w:p>
            <w:pPr>
              <w:spacing w:after="0"/>
              <w:rPr>
                <w:sz w:val="23"/>
                <w:szCs w:val="23"/>
                <w:color w:val="auto"/>
              </w:rPr>
            </w:pPr>
          </w:p>
        </w:tc>
      </w:tr>
      <w:tr>
        <w:trPr>
          <w:trHeight w:val="230"/>
        </w:trPr>
        <w:tc>
          <w:tcPr>
            <w:tcW w:w="5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Notes:</w:t>
            </w:r>
          </w:p>
        </w:tc>
        <w:tc>
          <w:tcPr>
            <w:tcW w:w="24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16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03"/>
        </w:trPr>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Assembly Row</w:t>
            </w:r>
          </w:p>
        </w:tc>
        <w:tc>
          <w:tcPr>
            <w:tcW w:w="8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Remaining entitlements after Phase II include approximately 1.5 million square feet of commercial-use buildings and 329 residential units.</w:t>
            </w:r>
          </w:p>
        </w:tc>
      </w:tr>
      <w:tr>
        <w:trPr>
          <w:trHeight w:val="198"/>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2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Pike &amp; Rose</w:t>
            </w:r>
          </w:p>
        </w:tc>
        <w:tc>
          <w:tcPr>
            <w:tcW w:w="8420" w:type="dxa"/>
            <w:vAlign w:val="bottom"/>
            <w:gridSpan w:val="3"/>
          </w:tcPr>
          <w:p>
            <w:pPr>
              <w:ind w:left="240"/>
              <w:spacing w:after="0"/>
              <w:rPr>
                <w:sz w:val="20"/>
                <w:szCs w:val="20"/>
                <w:color w:val="auto"/>
              </w:rPr>
            </w:pPr>
            <w:r>
              <w:rPr>
                <w:rFonts w:ascii="Times New Roman" w:cs="Times New Roman" w:eastAsia="Times New Roman" w:hAnsi="Times New Roman"/>
                <w:sz w:val="14"/>
                <w:szCs w:val="14"/>
                <w:color w:val="auto"/>
              </w:rPr>
              <w:t>Remaining entitlements after Phase II include approximately 740,000 square feet of commercial-use buildings, and 741 residential units.</w:t>
            </w:r>
          </w:p>
        </w:tc>
      </w:tr>
      <w:tr>
        <w:trPr>
          <w:trHeight w:val="158"/>
        </w:trPr>
        <w:tc>
          <w:tcPr>
            <w:tcW w:w="420" w:type="dxa"/>
            <w:vAlign w:val="bottom"/>
            <w:gridSpan w:val="2"/>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3"/>
                <w:szCs w:val="13"/>
                <w:color w:val="auto"/>
              </w:rPr>
            </w:pPr>
          </w:p>
        </w:tc>
        <w:tc>
          <w:tcPr>
            <w:tcW w:w="2480" w:type="dxa"/>
            <w:vAlign w:val="bottom"/>
            <w:shd w:val="clear" w:color="auto" w:fill="CCEEFF"/>
          </w:tcPr>
          <w:p>
            <w:pPr>
              <w:ind w:left="100"/>
              <w:spacing w:after="0" w:line="158" w:lineRule="exact"/>
              <w:rPr>
                <w:sz w:val="20"/>
                <w:szCs w:val="20"/>
                <w:color w:val="auto"/>
              </w:rPr>
            </w:pPr>
            <w:r>
              <w:rPr>
                <w:rFonts w:ascii="Times New Roman" w:cs="Times New Roman" w:eastAsia="Times New Roman" w:hAnsi="Times New Roman"/>
                <w:sz w:val="14"/>
                <w:szCs w:val="14"/>
                <w:color w:val="auto"/>
              </w:rPr>
              <w:t>Santana Row</w:t>
            </w:r>
          </w:p>
        </w:tc>
        <w:tc>
          <w:tcPr>
            <w:tcW w:w="8420" w:type="dxa"/>
            <w:vAlign w:val="bottom"/>
            <w:gridSpan w:val="3"/>
            <w:shd w:val="clear" w:color="auto" w:fill="CCEEFF"/>
          </w:tcPr>
          <w:p>
            <w:pPr>
              <w:ind w:left="240"/>
              <w:spacing w:after="0" w:line="158" w:lineRule="exact"/>
              <w:rPr>
                <w:sz w:val="20"/>
                <w:szCs w:val="20"/>
                <w:color w:val="auto"/>
              </w:rPr>
            </w:pPr>
            <w:r>
              <w:rPr>
                <w:rFonts w:ascii="Times New Roman" w:cs="Times New Roman" w:eastAsia="Times New Roman" w:hAnsi="Times New Roman"/>
                <w:sz w:val="14"/>
                <w:szCs w:val="14"/>
                <w:color w:val="auto"/>
              </w:rPr>
              <w:t>Remaining entitlements include approximately 321,000 square feet of commercial space and 395 residential units, as well as approximately</w:t>
            </w:r>
          </w:p>
        </w:tc>
      </w:tr>
      <w:tr>
        <w:trPr>
          <w:trHeight w:val="198"/>
        </w:trPr>
        <w:tc>
          <w:tcPr>
            <w:tcW w:w="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5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620,000 square feet of commercial space on land we control across from Santana Row.</w:t>
            </w:r>
          </w:p>
        </w:tc>
        <w:tc>
          <w:tcPr>
            <w:tcW w:w="3160" w:type="dxa"/>
            <w:vAlign w:val="bottom"/>
            <w:shd w:val="clear" w:color="auto" w:fill="CCEEFF"/>
          </w:tcPr>
          <w:p>
            <w:pPr>
              <w:spacing w:after="0"/>
              <w:rPr>
                <w:sz w:val="17"/>
                <w:szCs w:val="17"/>
                <w:color w:val="auto"/>
              </w:rPr>
            </w:pPr>
          </w:p>
        </w:tc>
      </w:tr>
      <w:tr>
        <w:trPr>
          <w:trHeight w:val="459"/>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18</w:t>
            </w:r>
          </w:p>
        </w:tc>
        <w:tc>
          <w:tcPr>
            <w:tcW w:w="3160" w:type="dxa"/>
            <w:vAlign w:val="bottom"/>
          </w:tcPr>
          <w:p>
            <w:pPr>
              <w:spacing w:after="0"/>
              <w:rPr>
                <w:sz w:val="24"/>
                <w:szCs w:val="24"/>
                <w:color w:val="auto"/>
              </w:rPr>
            </w:pPr>
          </w:p>
        </w:tc>
      </w:tr>
    </w:tbl>
    <w:p>
      <w:pPr>
        <w:sectPr>
          <w:pgSz w:w="11900" w:h="16838" w:orient="portrait"/>
          <w:cols w:equalWidth="0" w:num="1">
            <w:col w:w="11420"/>
          </w:cols>
          <w:pgMar w:left="240" w:top="745" w:right="239"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Property</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22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3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40"/>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54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Washington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Barcroft Plaza</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  48,019</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115,000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Harris Teeter</w:t>
            </w:r>
          </w:p>
        </w:tc>
        <w:tc>
          <w:tcPr>
            <w:tcW w:w="2220" w:type="dxa"/>
            <w:vAlign w:val="bottom"/>
          </w:tcPr>
          <w:p>
            <w:pPr>
              <w:spacing w:after="0"/>
              <w:rPr>
                <w:sz w:val="12"/>
                <w:szCs w:val="12"/>
                <w:color w:val="auto"/>
              </w:rPr>
            </w:pP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Bethesda</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228,601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180</w:t>
            </w: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40,000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Apple / Equinox / Multiple Restaurants</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Row</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Congressional</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(4)</w:t>
            </w: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103,182</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325,000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194</w:t>
            </w: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The Fresh</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Buy Buy Baby / Saks Fifth Avenue Off</w:t>
            </w: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5th / Container Store / Ulta</w:t>
            </w: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Courthouse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6,631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Center</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Fairfax</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(5)</w:t>
            </w: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21,561</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75,000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23,000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Aldi</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CVS / Planet Fitness</w:t>
            </w: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Junction</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Falls</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13,859</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51,000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CVS / Staples</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Plaza/Falls</w:t>
            </w:r>
          </w:p>
        </w:tc>
        <w:tc>
          <w:tcPr>
            <w:tcW w:w="3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Plaza-East</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Federal Plaza</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70,246</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250,000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14,000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w w:val="99"/>
              </w:rPr>
              <w:t>TJ Maxx / Micro Center / Ross Dress For</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w:t>
            </w: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Friendship</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38,134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Marshalls / Nordstrom Rack / DSW /</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Center</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Maggiano's</w:t>
            </w: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Gaithersburg</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28,315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207,000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Bed, Bath &amp; Beyond / Ross Dress For</w:t>
            </w: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Square</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Less / Ashley Furniture HomeStore</w:t>
            </w: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Graham Park</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36,737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58,000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CVS</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Idylwood</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17,100</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73,000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30,000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Whole Foods</w:t>
            </w:r>
          </w:p>
        </w:tc>
        <w:tc>
          <w:tcPr>
            <w:tcW w:w="2220" w:type="dxa"/>
            <w:vAlign w:val="bottom"/>
          </w:tcPr>
          <w:p>
            <w:pPr>
              <w:spacing w:after="0"/>
              <w:rPr>
                <w:sz w:val="12"/>
                <w:szCs w:val="12"/>
                <w:color w:val="auto"/>
              </w:rPr>
            </w:pP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Laurel</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58,211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389,000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61,000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Marshalls / L.A. Fitness</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Leesburg</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36,938</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236,000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Petsmart / Gold's Gym / Office Depot</w:t>
            </w: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Montrose</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(4)</w:t>
            </w: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162,044</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68,411</w:t>
            </w: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73,000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Marshalls / Old Navy / Barnes &amp; Noble /</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Crossing</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Bob's Discount Furniture</w:t>
            </w: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Mount</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(6)</w:t>
            </w: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85,675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570,000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62,000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Shoppers</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TJ Maxx / Home Depot / Bed, Bath &amp;</w:t>
            </w:r>
          </w:p>
        </w:tc>
      </w:tr>
      <w:tr>
        <w:trPr>
          <w:trHeight w:val="135"/>
        </w:trPr>
        <w:tc>
          <w:tcPr>
            <w:tcW w:w="8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Vernon/South</w:t>
            </w:r>
          </w:p>
        </w:tc>
        <w:tc>
          <w:tcPr>
            <w:tcW w:w="320" w:type="dxa"/>
            <w:vAlign w:val="bottom"/>
          </w:tcPr>
          <w:p>
            <w:pPr>
              <w:spacing w:after="0"/>
              <w:rPr>
                <w:sz w:val="11"/>
                <w:szCs w:val="11"/>
                <w:color w:val="auto"/>
              </w:rPr>
            </w:pPr>
          </w:p>
        </w:tc>
        <w:tc>
          <w:tcPr>
            <w:tcW w:w="242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Food</w:t>
            </w:r>
          </w:p>
        </w:tc>
        <w:tc>
          <w:tcPr>
            <w:tcW w:w="222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Beyond / Results Fitness</w:t>
            </w:r>
          </w:p>
        </w:tc>
      </w:tr>
      <w:tr>
        <w:trPr>
          <w:trHeight w:val="135"/>
        </w:trPr>
        <w:tc>
          <w:tcPr>
            <w:tcW w:w="8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Valley/7770</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Warehouse</w:t>
            </w:r>
          </w:p>
        </w:tc>
        <w:tc>
          <w:tcPr>
            <w:tcW w:w="2220" w:type="dxa"/>
            <w:vAlign w:val="bottom"/>
          </w:tcPr>
          <w:p>
            <w:pPr>
              <w:spacing w:after="0"/>
              <w:rPr>
                <w:sz w:val="11"/>
                <w:szCs w:val="11"/>
                <w:color w:val="auto"/>
              </w:rPr>
            </w:pPr>
          </w:p>
        </w:tc>
      </w:tr>
      <w:tr>
        <w:trPr>
          <w:trHeight w:val="135"/>
        </w:trPr>
        <w:tc>
          <w:tcPr>
            <w:tcW w:w="84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color w:val="auto"/>
              </w:rPr>
              <w:t>Richmond</w:t>
            </w: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Hwy</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Old Keene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10,324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24,000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Whole Foods</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Walgreens / Planet Fitness</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Mill</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Pan Am</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29,423</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227,000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Safeway</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Micro Center / CVS / Michaels</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Pentagon</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106,662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45,000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Harris Teeter</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 / Bed, Bath &amp; Beyond / DSW</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Row</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Pike &amp; Rose</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(7)</w:t>
            </w: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590,370</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447,000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765</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iPic Theater / Porsche / H&amp;M / REI /</w:t>
            </w:r>
          </w:p>
        </w:tc>
      </w:tr>
      <w:tr>
        <w:trPr>
          <w:trHeight w:val="172"/>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Pinstripes / Multiple Restaurants</w:t>
            </w: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Pike 7 Plaza</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48,363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 / DSW / Crunch Fitness /</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Staples</w:t>
            </w: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Plaza del</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46,606</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117,000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18,000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Aldi</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CVS / L.A. Fitness</w:t>
            </w: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Mercado</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Quince</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39,841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267,000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19,000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Aldi</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HomeGoods / L.A. Fitness / Staples</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Orchard</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Rockville</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(8)</w:t>
            </w: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51,988</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4,425</w:t>
            </w: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186,000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86%</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Dawson's</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w w:val="98"/>
              </w:rPr>
              <w:t>CVS / Gold's Gym / Multiple Restaurants</w:t>
            </w: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Town Square</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Rollingwood</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11,178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N/A</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282</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Apartments</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Sam's Park &amp;</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13,923</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51,000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87%</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Target</w:t>
            </w: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Shop</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Tower</w:t>
            </w:r>
          </w:p>
        </w:tc>
        <w:tc>
          <w:tcPr>
            <w:tcW w:w="3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22,132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112,000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26,000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L.A. Mart</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Talbots / Total Wine &amp; More</w:t>
            </w:r>
          </w:p>
        </w:tc>
      </w:tr>
      <w:tr>
        <w:trPr>
          <w:trHeight w:val="135"/>
        </w:trPr>
        <w:tc>
          <w:tcPr>
            <w:tcW w:w="840" w:type="dxa"/>
            <w:vAlign w:val="bottom"/>
            <w:gridSpan w:val="3"/>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Shopping</w:t>
            </w:r>
          </w:p>
        </w:tc>
        <w:tc>
          <w:tcPr>
            <w:tcW w:w="3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Center</w:t>
            </w: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Tyson's</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4,855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50,000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11,000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220" w:type="dxa"/>
            <w:vAlign w:val="bottom"/>
          </w:tcPr>
          <w:p>
            <w:pPr>
              <w:spacing w:after="0"/>
              <w:rPr>
                <w:sz w:val="12"/>
                <w:szCs w:val="12"/>
                <w:color w:val="auto"/>
              </w:rPr>
            </w:pPr>
          </w:p>
        </w:tc>
      </w:tr>
      <w:tr>
        <w:trPr>
          <w:trHeight w:val="172"/>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Station</w:t>
            </w:r>
          </w:p>
        </w:tc>
        <w:tc>
          <w:tcPr>
            <w:tcW w:w="3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Village at</w:t>
            </w:r>
          </w:p>
        </w:tc>
        <w:tc>
          <w:tcPr>
            <w:tcW w:w="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(8)</w:t>
            </w: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67,217</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6,735</w:t>
            </w: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260,000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28,000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Harris Teeter</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AMC / Carlyle Grand Café</w:t>
            </w:r>
          </w:p>
        </w:tc>
      </w:tr>
      <w:tr>
        <w:trPr>
          <w:trHeight w:val="180"/>
        </w:trPr>
        <w:tc>
          <w:tcPr>
            <w:tcW w:w="8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Shirlington</w:t>
            </w: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Wildwood</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w w:val="99"/>
              </w:rPr>
              <w:t>Washington-Arlington-Alexandria, DC-VA-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25,066</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83,000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Balducci's</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CVS / Flower Child</w:t>
            </w:r>
          </w:p>
        </w:tc>
      </w:tr>
      <w:tr>
        <w:trPr>
          <w:trHeight w:val="174"/>
        </w:trPr>
        <w:tc>
          <w:tcPr>
            <w:tcW w:w="4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3"/>
                <w:szCs w:val="13"/>
                <w:color w:val="auto"/>
              </w:rPr>
              <w:t>MD-WV</w:t>
            </w: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r>
      <w:tr>
        <w:trPr>
          <w:trHeight w:val="173"/>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 Washington Metropolitan Area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9"/>
              </w:rPr>
              <w:t>2,023,201</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5,939,000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California</w:t>
            </w: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18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73"/>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Azalea</w:t>
            </w:r>
          </w:p>
        </w:tc>
        <w:tc>
          <w:tcPr>
            <w:tcW w:w="27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(4)   Los Angeles-Long Beach-Anaheim, CA</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107,474</w:t>
            </w: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40,000</w:t>
            </w: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223,000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Marshalls / Ross Dress for Less / Ulta</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gridSpan w:val="2"/>
          </w:tcPr>
          <w:p>
            <w:pPr>
              <w:spacing w:after="0"/>
              <w:rPr>
                <w:sz w:val="8"/>
                <w:szCs w:val="8"/>
                <w:color w:val="auto"/>
              </w:rPr>
            </w:pPr>
          </w:p>
        </w:tc>
        <w:tc>
          <w:tcPr>
            <w:tcW w:w="1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4"/>
        </w:trPr>
        <w:tc>
          <w:tcPr>
            <w:tcW w:w="840" w:type="dxa"/>
            <w:vAlign w:val="bottom"/>
            <w:gridSpan w:val="3"/>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Bell Gardens</w:t>
            </w:r>
          </w:p>
        </w:tc>
        <w:tc>
          <w:tcPr>
            <w:tcW w:w="2740" w:type="dxa"/>
            <w:vAlign w:val="bottom"/>
            <w:gridSpan w:val="3"/>
            <w:shd w:val="clear" w:color="auto" w:fill="CCEEFF"/>
          </w:tcPr>
          <w:p>
            <w:pPr>
              <w:ind w:left="100"/>
              <w:spacing w:after="0" w:line="144" w:lineRule="exact"/>
              <w:rPr>
                <w:sz w:val="20"/>
                <w:szCs w:val="20"/>
                <w:color w:val="auto"/>
              </w:rPr>
            </w:pPr>
            <w:r>
              <w:rPr>
                <w:rFonts w:ascii="Times New Roman" w:cs="Times New Roman" w:eastAsia="Times New Roman" w:hAnsi="Times New Roman"/>
                <w:sz w:val="13"/>
                <w:szCs w:val="13"/>
                <w:color w:val="auto"/>
              </w:rPr>
              <w:t>(4)   Los Angeles-Long Beach-Anaheim, CA</w:t>
            </w:r>
          </w:p>
        </w:tc>
        <w:tc>
          <w:tcPr>
            <w:tcW w:w="6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110,531</w:t>
            </w:r>
          </w:p>
        </w:tc>
        <w:tc>
          <w:tcPr>
            <w:tcW w:w="1040" w:type="dxa"/>
            <w:vAlign w:val="bottom"/>
            <w:shd w:val="clear" w:color="auto" w:fill="CCEEFF"/>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12,808</w:t>
            </w: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330,000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67,000</w:t>
            </w:r>
          </w:p>
        </w:tc>
        <w:tc>
          <w:tcPr>
            <w:tcW w:w="8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Food 4 Less</w:t>
            </w:r>
          </w:p>
        </w:tc>
        <w:tc>
          <w:tcPr>
            <w:tcW w:w="222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Marshalls / Ross Dress for Less / Petco /</w:t>
            </w:r>
          </w:p>
        </w:tc>
      </w:tr>
      <w:tr>
        <w:trPr>
          <w:trHeight w:val="180"/>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Bob's Discount Furniture</w:t>
            </w:r>
          </w:p>
        </w:tc>
      </w:tr>
      <w:tr>
        <w:trPr>
          <w:trHeight w:val="144"/>
        </w:trPr>
        <w:tc>
          <w:tcPr>
            <w:tcW w:w="84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3"/>
                <w:szCs w:val="13"/>
                <w:color w:val="auto"/>
              </w:rPr>
              <w:t>Colorado</w:t>
            </w:r>
          </w:p>
        </w:tc>
        <w:tc>
          <w:tcPr>
            <w:tcW w:w="320" w:type="dxa"/>
            <w:vAlign w:val="bottom"/>
          </w:tcPr>
          <w:p>
            <w:pPr>
              <w:spacing w:after="0"/>
              <w:rPr>
                <w:sz w:val="12"/>
                <w:szCs w:val="12"/>
                <w:color w:val="auto"/>
              </w:rPr>
            </w:pPr>
          </w:p>
        </w:tc>
        <w:tc>
          <w:tcPr>
            <w:tcW w:w="24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19,558</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61,000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Pottery Barn / Banana Republic</w:t>
            </w:r>
          </w:p>
        </w:tc>
      </w:tr>
      <w:tr>
        <w:trPr>
          <w:trHeight w:val="164"/>
        </w:trPr>
        <w:tc>
          <w:tcPr>
            <w:tcW w:w="8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Blvd</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745"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745" w:right="239" w:bottom="1440" w:gutter="0" w:footer="0" w:header="0"/>
          <w:type w:val="continuous"/>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Property</w:t>
            </w: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20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8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135"/>
        </w:trPr>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0" w:type="dxa"/>
            <w:vAlign w:val="bottom"/>
          </w:tcPr>
          <w:p>
            <w:pPr>
              <w:spacing w:after="0"/>
              <w:rPr>
                <w:sz w:val="11"/>
                <w:szCs w:val="11"/>
                <w:color w:val="auto"/>
              </w:rPr>
            </w:pPr>
          </w:p>
        </w:tc>
      </w:tr>
      <w:tr>
        <w:trPr>
          <w:trHeight w:val="140"/>
        </w:trPr>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22"/>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44"/>
        </w:trPr>
        <w:tc>
          <w:tcPr>
            <w:tcW w:w="7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Crow Canyon</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90,069</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241,000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88%</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32,000</w:t>
            </w:r>
          </w:p>
        </w:tc>
        <w:tc>
          <w:tcPr>
            <w:tcW w:w="8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Sprouts</w:t>
            </w:r>
          </w:p>
        </w:tc>
        <w:tc>
          <w:tcPr>
            <w:tcW w:w="220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Total Wine &amp; More / Rite Aid</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Commons</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East Bay</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179,109</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441,000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59,000</w:t>
            </w:r>
          </w:p>
        </w:tc>
        <w:tc>
          <w:tcPr>
            <w:tcW w:w="8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Pak-N-Save</w:t>
            </w: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Home Depot / Target / Nordstrom Rack</w:t>
            </w: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Bridge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Escondido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San Diego-Carlsbad, CA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51,701</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297,000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TJ Maxx / Dick’s Sporting Goods / Ross</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Promenade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Dress For Less / Bob's Discount Furniture</w:t>
            </w:r>
          </w:p>
        </w:tc>
      </w:tr>
      <w:tr>
        <w:trPr>
          <w:trHeight w:val="173"/>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Fourth Street</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San Francisco-Oakland-Hayward, CA</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24,206</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71,000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CB2 / Ingram Book Group</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4"/>
        </w:trPr>
        <w:tc>
          <w:tcPr>
            <w:tcW w:w="7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Hastings</w:t>
            </w:r>
          </w:p>
        </w:tc>
        <w:tc>
          <w:tcPr>
            <w:tcW w:w="42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22,665</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273,000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Marshalls / HomeGoods / CVS / Sears</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Ranch Plaza</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Hermosa</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6,179</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&lt;1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23,000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Avenue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Hollywood</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47,375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Marshalls / L.A. Fitness / La La Land</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Blvd</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Jordan</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26,715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48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Downs Plaza</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81"/>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Kings Court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11,576</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31,000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Lunardi's</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Old Town</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35,766</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98,000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84%</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Anthropologie / Banana Republic / Gap</w:t>
            </w: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Olivo at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78,124</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8"/>
              </w:rPr>
              <w:t>Target / 24 Hour Fitness / Ross Dress For</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Mission Hills</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Less</w:t>
            </w:r>
          </w:p>
        </w:tc>
      </w:tr>
      <w:tr>
        <w:trPr>
          <w:trHeight w:val="173"/>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Plaza Del Sol</w:t>
            </w:r>
          </w:p>
        </w:tc>
        <w:tc>
          <w:tcPr>
            <w:tcW w:w="4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17,936</w:t>
            </w:r>
          </w:p>
        </w:tc>
        <w:tc>
          <w:tcPr>
            <w:tcW w:w="1040" w:type="dxa"/>
            <w:vAlign w:val="bottom"/>
          </w:tcPr>
          <w:p>
            <w:pPr>
              <w:jc w:val="right"/>
              <w:ind w:right="98"/>
              <w:spacing w:after="0"/>
              <w:rPr>
                <w:sz w:val="20"/>
                <w:szCs w:val="20"/>
                <w:color w:val="auto"/>
              </w:rPr>
            </w:pPr>
            <w:r>
              <w:rPr>
                <w:rFonts w:ascii="Times New Roman" w:cs="Times New Roman" w:eastAsia="Times New Roman" w:hAnsi="Times New Roman"/>
                <w:sz w:val="13"/>
                <w:szCs w:val="13"/>
                <w:color w:val="auto"/>
              </w:rPr>
              <w:t>8,321</w:t>
            </w: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48,000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Marshalls</w:t>
            </w:r>
          </w:p>
        </w:tc>
      </w:tr>
      <w:tr>
        <w:trPr>
          <w:trHeight w:val="97"/>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44"/>
        </w:trPr>
        <w:tc>
          <w:tcPr>
            <w:tcW w:w="7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Plaza El</w:t>
            </w:r>
          </w:p>
        </w:tc>
        <w:tc>
          <w:tcPr>
            <w:tcW w:w="42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288,537</w:t>
            </w:r>
          </w:p>
        </w:tc>
        <w:tc>
          <w:tcPr>
            <w:tcW w:w="1040" w:type="dxa"/>
            <w:vAlign w:val="bottom"/>
            <w:shd w:val="clear" w:color="auto" w:fill="CCEEFF"/>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125,000</w:t>
            </w: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496,000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94%</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66,000</w:t>
            </w:r>
          </w:p>
        </w:tc>
        <w:tc>
          <w:tcPr>
            <w:tcW w:w="84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Whole Foods</w:t>
            </w:r>
          </w:p>
        </w:tc>
        <w:tc>
          <w:tcPr>
            <w:tcW w:w="2200" w:type="dxa"/>
            <w:vAlign w:val="bottom"/>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Anthropologie / HomeGoods / Dick's</w:t>
            </w:r>
          </w:p>
        </w:tc>
      </w:tr>
      <w:tr>
        <w:trPr>
          <w:trHeight w:val="135"/>
        </w:trPr>
        <w:tc>
          <w:tcPr>
            <w:tcW w:w="7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Segundo /</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Sporting Goods / Multiple Restaurants</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The Point</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Plaza</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50,365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204,000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Costco / Best Buy</w:t>
            </w: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Pacoima</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San Antonio</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(6)</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74,432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11,000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Trader Joe's</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Walmart / Kohl's / 24 Hour Fitness</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Center</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Santana Row</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988,286</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885,000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700" w:type="dxa"/>
            <w:vAlign w:val="bottom"/>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662</w:t>
            </w: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Crate &amp; Barrel / H&amp;M / Container Store /</w:t>
            </w:r>
          </w:p>
        </w:tc>
      </w:tr>
      <w:tr>
        <w:trPr>
          <w:trHeight w:val="172"/>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Multiple Restaurants</w:t>
            </w: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Sylmar</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(4)</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43,486</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16,819</w:t>
            </w: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148,000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43,000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Food 4 Less</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CVS</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7"/>
              </w:rPr>
              <w:t>Towne Center</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Third Street</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Los Angeles-Long Beach-Anaheim, CA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81,464</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209,000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9"/>
              </w:rPr>
              <w:t>Adidas / Banana Republic / Old Navy / J.</w:t>
            </w: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Promenade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Crew</w:t>
            </w: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Westgate</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San Jose-Sunnyvale-Santa Clara, CA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157,185</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653,000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38,000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Walmart</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9"/>
              </w:rPr>
              <w:t>Target / Nordstrom Rack / Nike Factory /</w:t>
            </w:r>
          </w:p>
        </w:tc>
      </w:tr>
      <w:tr>
        <w:trPr>
          <w:trHeight w:val="135"/>
        </w:trPr>
        <w:tc>
          <w:tcPr>
            <w:tcW w:w="7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Center</w:t>
            </w: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w w:val="98"/>
              </w:rPr>
              <w:t>Neighborhood</w:t>
            </w:r>
          </w:p>
        </w:tc>
        <w:tc>
          <w:tcPr>
            <w:tcW w:w="2200" w:type="dxa"/>
            <w:vAlign w:val="bottom"/>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TJ Maxx</w:t>
            </w:r>
          </w:p>
        </w:tc>
      </w:tr>
      <w:tr>
        <w:trPr>
          <w:trHeight w:val="180"/>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w:t>
            </w:r>
          </w:p>
        </w:tc>
        <w:tc>
          <w:tcPr>
            <w:tcW w:w="220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 California</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9"/>
              </w:rPr>
              <w:t>2,512,739</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393</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5,470,000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1260" w:type="dxa"/>
            <w:vAlign w:val="bottom"/>
            <w:gridSpan w:val="3"/>
          </w:tcPr>
          <w:p>
            <w:pPr>
              <w:spacing w:after="0"/>
              <w:rPr>
                <w:sz w:val="7"/>
                <w:szCs w:val="7"/>
                <w:color w:val="auto"/>
              </w:rPr>
            </w:pPr>
          </w:p>
        </w:tc>
        <w:tc>
          <w:tcPr>
            <w:tcW w:w="2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spacing w:after="0"/>
              <w:rPr>
                <w:sz w:val="23"/>
                <w:szCs w:val="23"/>
                <w:color w:val="auto"/>
              </w:rPr>
            </w:pPr>
          </w:p>
        </w:tc>
        <w:tc>
          <w:tcPr>
            <w:tcW w:w="2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354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NY Metro/New Jersey</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173"/>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Brick Plaza</w:t>
            </w:r>
          </w:p>
        </w:tc>
        <w:tc>
          <w:tcPr>
            <w:tcW w:w="4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91,243</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409,000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AMC / HomeGoods / Ulta / L.A. Fitness</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Brook 35</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(4) (6)</w:t>
            </w: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48,244</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11,500</w:t>
            </w: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99,000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96%</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Banana Republic / Gap / Williams-</w:t>
            </w:r>
          </w:p>
        </w:tc>
      </w:tr>
      <w:tr>
        <w:trPr>
          <w:trHeight w:val="172"/>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Sonoma</w:t>
            </w:r>
          </w:p>
        </w:tc>
      </w:tr>
      <w:tr>
        <w:trPr>
          <w:trHeight w:val="181"/>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Darien</w:t>
            </w:r>
          </w:p>
        </w:tc>
        <w:tc>
          <w:tcPr>
            <w:tcW w:w="4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54,780</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95,000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45,000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Stop &amp; Shop</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Equinox / Walgreens</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Fresh</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92,192</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404,000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15,000</w:t>
            </w:r>
          </w:p>
        </w:tc>
        <w:tc>
          <w:tcPr>
            <w:tcW w:w="8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w w:val="98"/>
              </w:rPr>
              <w:t>Island of Gold</w:t>
            </w: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AMC / Kohl's / Michaels</w:t>
            </w: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Meadows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Greenlawn</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31,837</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106,000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46,000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Greenlawn</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Tuesday Morning</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Farms</w:t>
            </w: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Greenwich</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Bridgeport-Stamford-Norwalk, CT</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22,885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Saks Fifth Avenue</w:t>
            </w: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Avenue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81"/>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Hauppauge</w:t>
            </w:r>
          </w:p>
        </w:tc>
        <w:tc>
          <w:tcPr>
            <w:tcW w:w="4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29,189</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134,000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61,000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A.C. Moore</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Huntington</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46,808</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263,000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81%</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Nordstrom Rack / Buy Buy Baby /</w:t>
            </w:r>
          </w:p>
        </w:tc>
      </w:tr>
      <w:tr>
        <w:trPr>
          <w:trHeight w:val="172"/>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Michaels / Ulta</w:t>
            </w: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Huntington</w:t>
            </w:r>
          </w:p>
        </w:tc>
        <w:tc>
          <w:tcPr>
            <w:tcW w:w="42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12,986</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74,000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Barnes &amp; Noble</w:t>
            </w:r>
          </w:p>
        </w:tc>
      </w:tr>
      <w:tr>
        <w:trPr>
          <w:trHeight w:val="180"/>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Square</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Melville Mall</w:t>
            </w:r>
          </w:p>
        </w:tc>
        <w:tc>
          <w:tcPr>
            <w:tcW w:w="42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95,616</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251,000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53,000</w:t>
            </w:r>
          </w:p>
        </w:tc>
        <w:tc>
          <w:tcPr>
            <w:tcW w:w="84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Uncle</w:t>
            </w: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Marshalls / Dick's Sporting Goods / Field</w:t>
            </w:r>
          </w:p>
        </w:tc>
      </w:tr>
      <w:tr>
        <w:trPr>
          <w:trHeight w:val="135"/>
        </w:trPr>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Giuseppe's</w:t>
            </w:r>
          </w:p>
        </w:tc>
        <w:tc>
          <w:tcPr>
            <w:tcW w:w="220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&amp; Stream / Macy's Backstage</w:t>
            </w:r>
          </w:p>
        </w:tc>
      </w:tr>
      <w:tr>
        <w:trPr>
          <w:trHeight w:val="172"/>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Marketplace</w:t>
            </w:r>
          </w:p>
        </w:tc>
        <w:tc>
          <w:tcPr>
            <w:tcW w:w="2200" w:type="dxa"/>
            <w:vAlign w:val="bottom"/>
          </w:tcPr>
          <w:p>
            <w:pPr>
              <w:spacing w:after="0"/>
              <w:rPr>
                <w:sz w:val="14"/>
                <w:szCs w:val="14"/>
                <w:color w:val="auto"/>
              </w:rPr>
            </w:pPr>
          </w:p>
        </w:tc>
      </w:tr>
      <w:tr>
        <w:trPr>
          <w:trHeight w:val="152"/>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Mercer Mall</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Trenton, NJ</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128,291</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55,432</w:t>
            </w: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551,000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75,000</w:t>
            </w:r>
          </w:p>
        </w:tc>
        <w:tc>
          <w:tcPr>
            <w:tcW w:w="8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Shop Rite</w:t>
            </w: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Ross Dress For Less / Nordstrom Rack /</w:t>
            </w:r>
          </w:p>
        </w:tc>
      </w:tr>
      <w:tr>
        <w:trPr>
          <w:trHeight w:val="180"/>
        </w:trPr>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Bed, Bath &amp; Beyond / REI</w:t>
            </w:r>
          </w:p>
        </w:tc>
      </w:tr>
      <w:tr>
        <w:trPr>
          <w:trHeight w:val="144"/>
        </w:trPr>
        <w:tc>
          <w:tcPr>
            <w:tcW w:w="7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The Grove at</w:t>
            </w:r>
          </w:p>
        </w:tc>
        <w:tc>
          <w:tcPr>
            <w:tcW w:w="4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(4) (6)</w:t>
            </w: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125,880</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43,600</w:t>
            </w: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192,000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w w:val="97"/>
              </w:rPr>
              <w:t>Lululemon / Anthropologie / Pottery Barn</w:t>
            </w:r>
          </w:p>
        </w:tc>
      </w:tr>
      <w:tr>
        <w:trPr>
          <w:trHeight w:val="172"/>
        </w:trPr>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Shrewsbury</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Williams-Sonoma</w:t>
            </w:r>
          </w:p>
        </w:tc>
      </w:tr>
      <w:tr>
        <w:trPr>
          <w:trHeight w:val="181"/>
        </w:trPr>
        <w:tc>
          <w:tcPr>
            <w:tcW w:w="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Troy Hills</w:t>
            </w:r>
          </w:p>
        </w:tc>
        <w:tc>
          <w:tcPr>
            <w:tcW w:w="42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New York-Newark-Jersey City, NY-NJ-PA</w:t>
            </w:r>
          </w:p>
        </w:tc>
        <w:tc>
          <w:tcPr>
            <w:tcW w:w="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40,656</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211,000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Target / L.A. Fitness / Michaels</w:t>
            </w:r>
          </w:p>
        </w:tc>
      </w:tr>
      <w:tr>
        <w:trPr>
          <w:trHeight w:val="97"/>
        </w:trPr>
        <w:tc>
          <w:tcPr>
            <w:tcW w:w="4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 NY Metro/New Jersey</w:t>
            </w:r>
          </w:p>
        </w:tc>
        <w:tc>
          <w:tcPr>
            <w:tcW w:w="6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820,607</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2,824,000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420"/>
          </w:cols>
          <w:pgMar w:left="240" w:top="745" w:right="23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745" w:right="239" w:bottom="1440" w:gutter="0" w:footer="0" w:header="0"/>
          <w:type w:val="continuous"/>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Real</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760" w:type="dxa"/>
            <w:vAlign w:val="bottom"/>
            <w:gridSpan w:val="6"/>
          </w:tcPr>
          <w:p>
            <w:pPr>
              <w:ind w:left="120"/>
              <w:spacing w:after="0" w:line="135"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Estate at</w:t>
            </w:r>
          </w:p>
        </w:tc>
        <w:tc>
          <w:tcPr>
            <w:tcW w:w="10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58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22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Name</w:t>
            </w:r>
          </w:p>
        </w:tc>
        <w:tc>
          <w:tcPr>
            <w:tcW w:w="4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Cost (1)</w:t>
            </w: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4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(3)</w:t>
            </w:r>
          </w:p>
        </w:tc>
        <w:tc>
          <w:tcPr>
            <w:tcW w:w="7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GLA</w:t>
            </w: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(in</w:t>
            </w: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40"/>
        </w:trPr>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6"/>
              </w:rPr>
              <w:t>thousands)</w:t>
            </w:r>
          </w:p>
        </w:tc>
        <w:tc>
          <w:tcPr>
            <w:tcW w:w="10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22"/>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540" w:type="dxa"/>
            <w:vAlign w:val="bottom"/>
            <w:gridSpan w:val="9"/>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Philadelphia Metropolitan Area</w:t>
            </w: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17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220" w:type="dxa"/>
            <w:vAlign w:val="bottom"/>
            <w:tcBorders>
              <w:top w:val="single" w:sz="8" w:color="CCEEFF"/>
            </w:tcBorders>
            <w:shd w:val="clear" w:color="auto" w:fill="CCEEFF"/>
          </w:tcPr>
          <w:p>
            <w:pPr>
              <w:spacing w:after="0"/>
              <w:rPr>
                <w:sz w:val="8"/>
                <w:szCs w:val="8"/>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Andorra</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25,655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265,000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87%</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24,000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Acme</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Kohl's / L.A. Fitness / Staples</w:t>
            </w:r>
          </w:p>
        </w:tc>
      </w:tr>
      <w:tr>
        <w:trPr>
          <w:trHeight w:val="17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2220" w:type="dxa"/>
            <w:vAlign w:val="bottom"/>
          </w:tcPr>
          <w:p>
            <w:pPr>
              <w:spacing w:after="0"/>
              <w:rPr>
                <w:sz w:val="14"/>
                <w:szCs w:val="14"/>
                <w:color w:val="auto"/>
              </w:rPr>
            </w:pP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Bala Cynwyd</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48,116</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45,000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Acme</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Lord &amp; Taylor / Michaels / L.A. Fitness</w:t>
            </w:r>
          </w:p>
        </w:tc>
      </w:tr>
      <w:tr>
        <w:trPr>
          <w:trHeight w:val="180"/>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Ellisburg</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34,280</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268,000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47,000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Whole Foods</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Buy Buy Baby / Stein Mart</w:t>
            </w:r>
          </w:p>
        </w:tc>
      </w:tr>
      <w:tr>
        <w:trPr>
          <w:trHeight w:val="17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Flourtown</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17,030</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156,000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75,000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Movie Tavern</w:t>
            </w:r>
          </w:p>
        </w:tc>
      </w:tr>
      <w:tr>
        <w:trPr>
          <w:trHeight w:val="180"/>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Langhorne</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22,495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227,000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Redner's</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Marshalls / Planet Fitness</w:t>
            </w:r>
          </w:p>
        </w:tc>
      </w:tr>
      <w:tr>
        <w:trPr>
          <w:trHeight w:val="135"/>
        </w:trPr>
        <w:tc>
          <w:tcPr>
            <w:tcW w:w="80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color w:val="auto"/>
              </w:rPr>
              <w:t>Square</w:t>
            </w:r>
          </w:p>
        </w:tc>
        <w:tc>
          <w:tcPr>
            <w:tcW w:w="400" w:type="dxa"/>
            <w:vAlign w:val="bottom"/>
          </w:tcPr>
          <w:p>
            <w:pPr>
              <w:spacing w:after="0"/>
              <w:rPr>
                <w:sz w:val="11"/>
                <w:szCs w:val="11"/>
                <w:color w:val="auto"/>
              </w:rPr>
            </w:pPr>
          </w:p>
        </w:tc>
        <w:tc>
          <w:tcPr>
            <w:tcW w:w="23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Warehouse</w:t>
            </w:r>
          </w:p>
        </w:tc>
        <w:tc>
          <w:tcPr>
            <w:tcW w:w="2220" w:type="dxa"/>
            <w:vAlign w:val="bottom"/>
          </w:tcPr>
          <w:p>
            <w:pPr>
              <w:spacing w:after="0"/>
              <w:rPr>
                <w:sz w:val="11"/>
                <w:szCs w:val="11"/>
                <w:color w:val="auto"/>
              </w:rPr>
            </w:pPr>
          </w:p>
        </w:tc>
      </w:tr>
      <w:tr>
        <w:trPr>
          <w:trHeight w:val="17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Mkts.</w:t>
            </w:r>
          </w:p>
        </w:tc>
        <w:tc>
          <w:tcPr>
            <w:tcW w:w="2220" w:type="dxa"/>
            <w:vAlign w:val="bottom"/>
          </w:tcPr>
          <w:p>
            <w:pPr>
              <w:spacing w:after="0"/>
              <w:rPr>
                <w:sz w:val="14"/>
                <w:szCs w:val="14"/>
                <w:color w:val="auto"/>
              </w:rPr>
            </w:pP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Lawrence</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33,462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374,000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53,000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Acme</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TJ Maxx / HomeGoods / Barnes &amp; Noble</w:t>
            </w: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Park</w:t>
            </w: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Markets</w:t>
            </w: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Northeast</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31,466</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256,000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92%</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Marshalls / Burlington / Ulta / A.C.</w:t>
            </w:r>
          </w:p>
        </w:tc>
      </w:tr>
      <w:tr>
        <w:trPr>
          <w:trHeight w:val="17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Moore</w:t>
            </w: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Town Center</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15,379</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36,000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Rite Aid / Dollar Tree</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of New</w:t>
            </w:r>
          </w:p>
        </w:tc>
        <w:tc>
          <w:tcPr>
            <w:tcW w:w="400" w:type="dxa"/>
            <w:vAlign w:val="bottom"/>
            <w:shd w:val="clear" w:color="auto" w:fill="CCEEFF"/>
          </w:tcPr>
          <w:p>
            <w:pPr>
              <w:spacing w:after="0"/>
              <w:rPr>
                <w:sz w:val="11"/>
                <w:szCs w:val="11"/>
                <w:color w:val="auto"/>
              </w:rPr>
            </w:pPr>
          </w:p>
        </w:tc>
        <w:tc>
          <w:tcPr>
            <w:tcW w:w="238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DE-MD</w:t>
            </w: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Britain</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w w:val="98"/>
              </w:rPr>
              <w:t>Willow Grove</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30,272</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211,000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95%</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Marshalls / HomeGoods / Barnes &amp;</w:t>
            </w:r>
          </w:p>
        </w:tc>
      </w:tr>
      <w:tr>
        <w:trPr>
          <w:trHeight w:val="17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Noble</w:t>
            </w: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Wynnewood</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Philadelphia-Camden-Wilmington, PA-NJ-</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42,910</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251,000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w:t>
            </w: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98,000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Giant Food</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Bed, Bath &amp; Beyond / Old Navy / DSW</w:t>
            </w:r>
          </w:p>
        </w:tc>
      </w:tr>
      <w:tr>
        <w:trPr>
          <w:trHeight w:val="180"/>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DE-MD</w:t>
            </w: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 Philadelphia Metropolitan Area</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301,065</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2,426,000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20" w:type="dxa"/>
            <w:vAlign w:val="bottom"/>
          </w:tcPr>
          <w:p>
            <w:pPr>
              <w:spacing w:after="0"/>
              <w:rPr>
                <w:sz w:val="7"/>
                <w:szCs w:val="7"/>
                <w:color w:val="auto"/>
              </w:rPr>
            </w:pPr>
          </w:p>
        </w:tc>
      </w:tr>
      <w:tr>
        <w:trPr>
          <w:trHeight w:val="176"/>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9"/>
        </w:trPr>
        <w:tc>
          <w:tcPr>
            <w:tcW w:w="40" w:type="dxa"/>
            <w:vAlign w:val="bottom"/>
          </w:tcPr>
          <w:p>
            <w:pPr>
              <w:spacing w:after="0"/>
              <w:rPr>
                <w:sz w:val="12"/>
                <w:szCs w:val="1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w w:val="89"/>
              </w:rPr>
              <w:t>New</w:t>
            </w:r>
          </w:p>
        </w:tc>
        <w:tc>
          <w:tcPr>
            <w:tcW w:w="460" w:type="dxa"/>
            <w:vAlign w:val="bottom"/>
            <w:gridSpan w:val="5"/>
          </w:tcPr>
          <w:p>
            <w:pPr>
              <w:spacing w:after="0"/>
              <w:rPr>
                <w:sz w:val="12"/>
                <w:szCs w:val="12"/>
                <w:color w:val="auto"/>
              </w:rPr>
            </w:pP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15"/>
        </w:trPr>
        <w:tc>
          <w:tcPr>
            <w:tcW w:w="40" w:type="dxa"/>
            <w:vAlign w:val="bottom"/>
          </w:tcPr>
          <w:p>
            <w:pPr>
              <w:spacing w:after="0"/>
              <w:rPr>
                <w:sz w:val="10"/>
                <w:szCs w:val="10"/>
                <w:color w:val="auto"/>
              </w:rPr>
            </w:pPr>
          </w:p>
        </w:tc>
        <w:tc>
          <w:tcPr>
            <w:tcW w:w="760" w:type="dxa"/>
            <w:vAlign w:val="bottom"/>
            <w:gridSpan w:val="6"/>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England</w:t>
            </w: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20" w:type="dxa"/>
            <w:vAlign w:val="bottom"/>
          </w:tcPr>
          <w:p>
            <w:pPr>
              <w:spacing w:after="0"/>
              <w:rPr>
                <w:sz w:val="10"/>
                <w:szCs w:val="10"/>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44"/>
        </w:trPr>
        <w:tc>
          <w:tcPr>
            <w:tcW w:w="800" w:type="dxa"/>
            <w:vAlign w:val="bottom"/>
            <w:gridSpan w:val="7"/>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Assembly</w:t>
            </w:r>
          </w:p>
        </w:tc>
        <w:tc>
          <w:tcPr>
            <w:tcW w:w="400" w:type="dxa"/>
            <w:vAlign w:val="bottom"/>
            <w:shd w:val="clear" w:color="auto" w:fill="CCEEFF"/>
          </w:tcPr>
          <w:p>
            <w:pPr>
              <w:jc w:val="center"/>
              <w:spacing w:after="0" w:line="144" w:lineRule="exact"/>
              <w:rPr>
                <w:sz w:val="20"/>
                <w:szCs w:val="20"/>
                <w:color w:val="auto"/>
              </w:rPr>
            </w:pPr>
            <w:r>
              <w:rPr>
                <w:rFonts w:ascii="Times New Roman" w:cs="Times New Roman" w:eastAsia="Times New Roman" w:hAnsi="Times New Roman"/>
                <w:sz w:val="13"/>
                <w:szCs w:val="13"/>
                <w:color w:val="auto"/>
              </w:rPr>
              <w:t>(7)</w:t>
            </w:r>
          </w:p>
        </w:tc>
        <w:tc>
          <w:tcPr>
            <w:tcW w:w="23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735,509</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891,000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700" w:type="dxa"/>
            <w:vAlign w:val="bottom"/>
            <w:shd w:val="clear" w:color="auto" w:fill="CCEEFF"/>
          </w:tcPr>
          <w:p>
            <w:pPr>
              <w:jc w:val="right"/>
              <w:ind w:right="77"/>
              <w:spacing w:after="0" w:line="144" w:lineRule="exact"/>
              <w:rPr>
                <w:sz w:val="20"/>
                <w:szCs w:val="20"/>
                <w:color w:val="auto"/>
              </w:rPr>
            </w:pPr>
            <w:r>
              <w:rPr>
                <w:rFonts w:ascii="Times New Roman" w:cs="Times New Roman" w:eastAsia="Times New Roman" w:hAnsi="Times New Roman"/>
                <w:sz w:val="13"/>
                <w:szCs w:val="13"/>
                <w:color w:val="auto"/>
              </w:rPr>
              <w:t>447</w:t>
            </w: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18,000</w:t>
            </w:r>
          </w:p>
        </w:tc>
        <w:tc>
          <w:tcPr>
            <w:tcW w:w="8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22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TJ Maxx / AMC / LEGOLAND</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Row /</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Discovery Center / Multiple Restaurants</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Assembly</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&amp; Outlets</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Square</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Marketplace</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73"/>
        </w:trPr>
        <w:tc>
          <w:tcPr>
            <w:tcW w:w="800" w:type="dxa"/>
            <w:vAlign w:val="bottom"/>
            <w:gridSpan w:val="7"/>
          </w:tcPr>
          <w:p>
            <w:pPr>
              <w:ind w:left="40"/>
              <w:spacing w:after="0"/>
              <w:rPr>
                <w:sz w:val="20"/>
                <w:szCs w:val="20"/>
                <w:color w:val="auto"/>
              </w:rPr>
            </w:pPr>
            <w:r>
              <w:rPr>
                <w:rFonts w:ascii="Times New Roman" w:cs="Times New Roman" w:eastAsia="Times New Roman" w:hAnsi="Times New Roman"/>
                <w:sz w:val="13"/>
                <w:szCs w:val="13"/>
                <w:color w:val="auto"/>
                <w:w w:val="99"/>
              </w:rPr>
              <w:t>Campus Plaza</w:t>
            </w:r>
          </w:p>
        </w:tc>
        <w:tc>
          <w:tcPr>
            <w:tcW w:w="400" w:type="dxa"/>
            <w:vAlign w:val="bottom"/>
          </w:tcPr>
          <w:p>
            <w:pPr>
              <w:spacing w:after="0"/>
              <w:rPr>
                <w:sz w:val="15"/>
                <w:szCs w:val="15"/>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30,436</w:t>
            </w:r>
          </w:p>
        </w:tc>
        <w:tc>
          <w:tcPr>
            <w:tcW w:w="1040" w:type="dxa"/>
            <w:vAlign w:val="bottom"/>
          </w:tcPr>
          <w:p>
            <w:pPr>
              <w:spacing w:after="0"/>
              <w:rPr>
                <w:sz w:val="15"/>
                <w:szCs w:val="15"/>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116,000</w:t>
            </w: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700" w:type="dxa"/>
            <w:vAlign w:val="bottom"/>
          </w:tcPr>
          <w:p>
            <w:pPr>
              <w:spacing w:after="0"/>
              <w:rPr>
                <w:sz w:val="15"/>
                <w:szCs w:val="15"/>
                <w:color w:val="auto"/>
              </w:rPr>
            </w:pPr>
          </w:p>
        </w:tc>
        <w:tc>
          <w:tcPr>
            <w:tcW w:w="5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4"/>
              </w:rPr>
              <w:t>46,000</w:t>
            </w: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Roche Bros.</w:t>
            </w: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Burlington</w:t>
            </w:r>
          </w:p>
        </w:tc>
      </w:tr>
      <w:tr>
        <w:trPr>
          <w:trHeight w:val="97"/>
        </w:trPr>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4"/>
        </w:trPr>
        <w:tc>
          <w:tcPr>
            <w:tcW w:w="800" w:type="dxa"/>
            <w:vAlign w:val="bottom"/>
            <w:gridSpan w:val="7"/>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Chelsea</w:t>
            </w:r>
          </w:p>
        </w:tc>
        <w:tc>
          <w:tcPr>
            <w:tcW w:w="40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29,792</w:t>
            </w:r>
          </w:p>
        </w:tc>
        <w:tc>
          <w:tcPr>
            <w:tcW w:w="1040" w:type="dxa"/>
            <w:vAlign w:val="bottom"/>
            <w:shd w:val="clear" w:color="auto" w:fill="CCEEFF"/>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5,770</w:t>
            </w: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222,000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91%</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Home Depot / Planet Fitness</w:t>
            </w: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Commons</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Dedham</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45,014</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19</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245,000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89%</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80,000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Star Market</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Planet Fitness</w:t>
            </w:r>
          </w:p>
        </w:tc>
      </w:tr>
      <w:tr>
        <w:trPr>
          <w:trHeight w:val="172"/>
        </w:trPr>
        <w:tc>
          <w:tcPr>
            <w:tcW w:w="800" w:type="dxa"/>
            <w:vAlign w:val="bottom"/>
            <w:gridSpan w:val="7"/>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Linden</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150,076</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223,000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7</w:t>
            </w: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Roche Bros.</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CVS</w:t>
            </w: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Square</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North</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Providence-Warwick, RI-MA</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9,369</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48,000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48,000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Stop &amp; Shop</w:t>
            </w:r>
          </w:p>
        </w:tc>
        <w:tc>
          <w:tcPr>
            <w:tcW w:w="2220" w:type="dxa"/>
            <w:vAlign w:val="bottom"/>
          </w:tcPr>
          <w:p>
            <w:pPr>
              <w:spacing w:after="0"/>
              <w:rPr>
                <w:sz w:val="12"/>
                <w:szCs w:val="12"/>
                <w:color w:val="auto"/>
              </w:rPr>
            </w:pPr>
          </w:p>
        </w:tc>
      </w:tr>
      <w:tr>
        <w:trPr>
          <w:trHeight w:val="172"/>
        </w:trPr>
        <w:tc>
          <w:tcPr>
            <w:tcW w:w="800" w:type="dxa"/>
            <w:vAlign w:val="bottom"/>
            <w:gridSpan w:val="7"/>
          </w:tcPr>
          <w:p>
            <w:pPr>
              <w:ind w:left="40"/>
              <w:spacing w:after="0"/>
              <w:rPr>
                <w:sz w:val="20"/>
                <w:szCs w:val="20"/>
                <w:color w:val="auto"/>
              </w:rPr>
            </w:pPr>
            <w:r>
              <w:rPr>
                <w:rFonts w:ascii="Times New Roman" w:cs="Times New Roman" w:eastAsia="Times New Roman" w:hAnsi="Times New Roman"/>
                <w:sz w:val="13"/>
                <w:szCs w:val="13"/>
                <w:color w:val="auto"/>
              </w:rPr>
              <w:t>Dartmouth</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Queen Anne</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18,302</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149,000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50,000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Big Y Foods</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 / HomeGoods</w:t>
            </w: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Saugus Plaza</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Boston-Cambridge-Newton, MA-NH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16,121</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169,000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100%</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55,000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Super Stop &amp;</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Floor &amp; Decor</w:t>
            </w:r>
          </w:p>
        </w:tc>
      </w:tr>
      <w:tr>
        <w:trPr>
          <w:trHeight w:val="174"/>
        </w:trPr>
        <w:tc>
          <w:tcPr>
            <w:tcW w:w="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620" w:type="dxa"/>
            <w:vAlign w:val="bottom"/>
            <w:tcBorders>
              <w:bottom w:val="single" w:sz="8" w:color="CCEEFF"/>
            </w:tcBorders>
          </w:tcPr>
          <w:p>
            <w:pPr>
              <w:spacing w:after="0"/>
              <w:rPr>
                <w:sz w:val="15"/>
                <w:szCs w:val="15"/>
                <w:color w:val="auto"/>
              </w:rPr>
            </w:pPr>
          </w:p>
        </w:tc>
        <w:tc>
          <w:tcPr>
            <w:tcW w:w="17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4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Shop</w:t>
            </w:r>
          </w:p>
        </w:tc>
        <w:tc>
          <w:tcPr>
            <w:tcW w:w="2220" w:type="dxa"/>
            <w:vAlign w:val="bottom"/>
            <w:tcBorders>
              <w:bottom w:val="single" w:sz="8" w:color="CCEEFF"/>
            </w:tcBorders>
          </w:tcPr>
          <w:p>
            <w:pPr>
              <w:spacing w:after="0"/>
              <w:rPr>
                <w:sz w:val="15"/>
                <w:szCs w:val="15"/>
                <w:color w:val="auto"/>
              </w:rPr>
            </w:pPr>
          </w:p>
        </w:tc>
      </w:tr>
      <w:tr>
        <w:trPr>
          <w:trHeight w:val="173"/>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Total New England</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w w:val="99"/>
              </w:rPr>
              <w:t>1,034,619</w:t>
            </w: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215</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2,063,000</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7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2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760" w:type="dxa"/>
            <w:vAlign w:val="bottom"/>
            <w:gridSpan w:val="6"/>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South</w:t>
            </w:r>
          </w:p>
        </w:tc>
        <w:tc>
          <w:tcPr>
            <w:tcW w:w="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r>
      <w:tr>
        <w:trPr>
          <w:trHeight w:val="141"/>
        </w:trPr>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87"/>
              </w:rPr>
              <w:t>Florida</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gridSpan w:val="2"/>
            <w:shd w:val="clear" w:color="auto" w:fill="CCEEFF"/>
          </w:tcPr>
          <w:p>
            <w:pPr>
              <w:spacing w:after="0"/>
              <w:rPr>
                <w:sz w:val="11"/>
                <w:szCs w:val="11"/>
                <w:color w:val="auto"/>
              </w:rPr>
            </w:pP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CCEEFF"/>
              <w:bottom w:val="single" w:sz="8" w:color="CCEEFF"/>
            </w:tcBorders>
            <w:shd w:val="clear" w:color="auto" w:fill="CCEEFF"/>
          </w:tcPr>
          <w:p>
            <w:pPr>
              <w:spacing w:after="0"/>
              <w:rPr>
                <w:sz w:val="11"/>
                <w:szCs w:val="11"/>
                <w:color w:val="auto"/>
              </w:rPr>
            </w:pPr>
          </w:p>
        </w:tc>
        <w:tc>
          <w:tcPr>
            <w:tcW w:w="17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CCEEFF"/>
              <w:bottom w:val="single" w:sz="8" w:color="CCEEFF"/>
            </w:tcBorders>
            <w:shd w:val="clear" w:color="auto" w:fill="CCEEFF"/>
          </w:tcPr>
          <w:p>
            <w:pPr>
              <w:spacing w:after="0"/>
              <w:rPr>
                <w:sz w:val="11"/>
                <w:szCs w:val="11"/>
                <w:color w:val="auto"/>
              </w:rPr>
            </w:pPr>
          </w:p>
        </w:tc>
        <w:tc>
          <w:tcPr>
            <w:tcW w:w="1040" w:type="dxa"/>
            <w:vAlign w:val="bottom"/>
            <w:tcBorders>
              <w:top w:val="single" w:sz="8" w:color="CCEEFF"/>
              <w:bottom w:val="single" w:sz="8" w:color="CCEEFF"/>
            </w:tcBorders>
            <w:shd w:val="clear" w:color="auto" w:fill="CCEEFF"/>
          </w:tcPr>
          <w:p>
            <w:pPr>
              <w:spacing w:after="0"/>
              <w:rPr>
                <w:sz w:val="11"/>
                <w:szCs w:val="11"/>
                <w:color w:val="auto"/>
              </w:rPr>
            </w:pPr>
          </w:p>
        </w:tc>
        <w:tc>
          <w:tcPr>
            <w:tcW w:w="4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CCEEFF"/>
              <w:bottom w:val="single" w:sz="8" w:color="CCEEFF"/>
            </w:tcBorders>
            <w:shd w:val="clear" w:color="auto" w:fill="CCEEFF"/>
          </w:tcPr>
          <w:p>
            <w:pPr>
              <w:spacing w:after="0"/>
              <w:rPr>
                <w:sz w:val="11"/>
                <w:szCs w:val="11"/>
                <w:color w:val="auto"/>
              </w:rPr>
            </w:pPr>
          </w:p>
        </w:tc>
        <w:tc>
          <w:tcPr>
            <w:tcW w:w="820" w:type="dxa"/>
            <w:vAlign w:val="bottom"/>
            <w:tcBorders>
              <w:top w:val="single" w:sz="8" w:color="CCEEFF"/>
              <w:bottom w:val="single" w:sz="8" w:color="CCEEFF"/>
            </w:tcBorders>
            <w:shd w:val="clear" w:color="auto" w:fill="CCEEFF"/>
          </w:tcPr>
          <w:p>
            <w:pPr>
              <w:spacing w:after="0"/>
              <w:rPr>
                <w:sz w:val="11"/>
                <w:szCs w:val="11"/>
                <w:color w:val="auto"/>
              </w:rPr>
            </w:pPr>
          </w:p>
        </w:tc>
        <w:tc>
          <w:tcPr>
            <w:tcW w:w="222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144"/>
        </w:trPr>
        <w:tc>
          <w:tcPr>
            <w:tcW w:w="800" w:type="dxa"/>
            <w:vAlign w:val="bottom"/>
            <w:tcBorders>
              <w:top w:val="single" w:sz="8" w:color="CCEEFF"/>
            </w:tcBorders>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Cocowalk</w:t>
            </w:r>
          </w:p>
        </w:tc>
        <w:tc>
          <w:tcPr>
            <w:tcW w:w="400" w:type="dxa"/>
            <w:vAlign w:val="bottom"/>
            <w:tcBorders>
              <w:top w:val="single" w:sz="8" w:color="CCEEFF"/>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w w:val="95"/>
              </w:rPr>
              <w:t>(4) (9)</w:t>
            </w:r>
          </w:p>
        </w:tc>
        <w:tc>
          <w:tcPr>
            <w:tcW w:w="2380" w:type="dxa"/>
            <w:vAlign w:val="bottom"/>
            <w:tcBorders>
              <w:top w:val="single" w:sz="8" w:color="CCEEFF"/>
            </w:tcBorders>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tcBorders>
              <w:top w:val="single" w:sz="8" w:color="CCEEFF"/>
            </w:tcBorders>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141,652</w:t>
            </w:r>
          </w:p>
        </w:tc>
        <w:tc>
          <w:tcPr>
            <w:tcW w:w="104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w:t>
            </w:r>
          </w:p>
        </w:tc>
        <w:tc>
          <w:tcPr>
            <w:tcW w:w="10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169,000</w:t>
            </w:r>
          </w:p>
        </w:tc>
        <w:tc>
          <w:tcPr>
            <w:tcW w:w="100" w:type="dxa"/>
            <w:vAlign w:val="bottom"/>
            <w:tcBorders>
              <w:top w:val="single" w:sz="8" w:color="CCEEFF"/>
            </w:tcBorders>
          </w:tcPr>
          <w:p>
            <w:pPr>
              <w:spacing w:after="0"/>
              <w:rPr>
                <w:sz w:val="12"/>
                <w:szCs w:val="12"/>
                <w:color w:val="auto"/>
              </w:rPr>
            </w:pPr>
          </w:p>
        </w:tc>
        <w:tc>
          <w:tcPr>
            <w:tcW w:w="480" w:type="dxa"/>
            <w:vAlign w:val="bottom"/>
            <w:tcBorders>
              <w:top w:val="single" w:sz="8" w:color="CCEEFF"/>
            </w:tcBorders>
          </w:tcPr>
          <w:p>
            <w:pPr>
              <w:jc w:val="right"/>
              <w:spacing w:after="0" w:line="144" w:lineRule="exact"/>
              <w:rPr>
                <w:sz w:val="20"/>
                <w:szCs w:val="20"/>
                <w:color w:val="auto"/>
              </w:rPr>
            </w:pPr>
            <w:r>
              <w:rPr>
                <w:rFonts w:ascii="Times New Roman" w:cs="Times New Roman" w:eastAsia="Times New Roman" w:hAnsi="Times New Roman"/>
                <w:sz w:val="13"/>
                <w:szCs w:val="13"/>
                <w:color w:val="auto"/>
              </w:rPr>
              <w:t>80%</w:t>
            </w:r>
          </w:p>
        </w:tc>
        <w:tc>
          <w:tcPr>
            <w:tcW w:w="70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2220" w:type="dxa"/>
            <w:vAlign w:val="bottom"/>
            <w:tcBorders>
              <w:top w:val="single" w:sz="8" w:color="CCEEFF"/>
            </w:tcBorders>
          </w:tcPr>
          <w:p>
            <w:pPr>
              <w:ind w:left="60"/>
              <w:spacing w:after="0" w:line="144" w:lineRule="exact"/>
              <w:rPr>
                <w:sz w:val="20"/>
                <w:szCs w:val="20"/>
                <w:color w:val="auto"/>
              </w:rPr>
            </w:pPr>
            <w:r>
              <w:rPr>
                <w:rFonts w:ascii="Times New Roman" w:cs="Times New Roman" w:eastAsia="Times New Roman" w:hAnsi="Times New Roman"/>
                <w:sz w:val="13"/>
                <w:szCs w:val="13"/>
                <w:color w:val="auto"/>
              </w:rPr>
              <w:t>Gap / Cinepolis Theaters / Youfit Health</w:t>
            </w:r>
          </w:p>
        </w:tc>
      </w:tr>
      <w:tr>
        <w:trPr>
          <w:trHeight w:val="17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Club</w:t>
            </w: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Del Mar</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71,923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191,000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44,000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Winn Dixie</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CVS / L.A. Fitness</w:t>
            </w: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Village</w:t>
            </w: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The Shops at</w:t>
            </w:r>
          </w:p>
        </w:tc>
        <w:tc>
          <w:tcPr>
            <w:tcW w:w="4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(4)</w:t>
            </w: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124,018</w:t>
            </w:r>
          </w:p>
        </w:tc>
        <w:tc>
          <w:tcPr>
            <w:tcW w:w="1040" w:type="dxa"/>
            <w:vAlign w:val="bottom"/>
          </w:tcPr>
          <w:p>
            <w:pPr>
              <w:jc w:val="right"/>
              <w:ind w:right="98"/>
              <w:spacing w:after="0" w:line="144" w:lineRule="exact"/>
              <w:rPr>
                <w:sz w:val="20"/>
                <w:szCs w:val="20"/>
                <w:color w:val="auto"/>
              </w:rPr>
            </w:pPr>
            <w:r>
              <w:rPr>
                <w:rFonts w:ascii="Times New Roman" w:cs="Times New Roman" w:eastAsia="Times New Roman" w:hAnsi="Times New Roman"/>
                <w:sz w:val="13"/>
                <w:szCs w:val="13"/>
                <w:color w:val="auto"/>
              </w:rPr>
              <w:t>63,326</w:t>
            </w: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523,000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65%</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AMC / L.A. Fitness / Barnes &amp; Noble /</w:t>
            </w:r>
          </w:p>
        </w:tc>
      </w:tr>
      <w:tr>
        <w:trPr>
          <w:trHeight w:val="172"/>
        </w:trPr>
        <w:tc>
          <w:tcPr>
            <w:tcW w:w="800" w:type="dxa"/>
            <w:vAlign w:val="bottom"/>
            <w:gridSpan w:val="7"/>
          </w:tcPr>
          <w:p>
            <w:pPr>
              <w:ind w:left="40"/>
              <w:spacing w:after="0"/>
              <w:rPr>
                <w:sz w:val="20"/>
                <w:szCs w:val="20"/>
                <w:color w:val="auto"/>
              </w:rPr>
            </w:pPr>
            <w:r>
              <w:rPr>
                <w:rFonts w:ascii="Times New Roman" w:cs="Times New Roman" w:eastAsia="Times New Roman" w:hAnsi="Times New Roman"/>
                <w:sz w:val="13"/>
                <w:szCs w:val="13"/>
                <w:color w:val="auto"/>
              </w:rPr>
              <w:t>Sunset Place</w:t>
            </w: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Restoration Hardware Outlet</w:t>
            </w: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Tower Shops</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Miami-Fort Lauderdale-West Palm Beach,</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98,193</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426,000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4"/>
              </w:rPr>
              <w:t>12,000</w:t>
            </w:r>
          </w:p>
        </w:tc>
        <w:tc>
          <w:tcPr>
            <w:tcW w:w="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Trader Joe's</w:t>
            </w: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 / Ross Dress For Less / Best</w:t>
            </w:r>
          </w:p>
        </w:tc>
      </w:tr>
      <w:tr>
        <w:trPr>
          <w:trHeight w:val="180"/>
        </w:trPr>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w:t>
            </w:r>
          </w:p>
        </w:tc>
        <w:tc>
          <w:tcPr>
            <w:tcW w:w="660" w:type="dxa"/>
            <w:vAlign w:val="bottom"/>
            <w:tcBorders>
              <w:bottom w:val="single" w:sz="8" w:color="auto"/>
            </w:tcBorders>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Buy / Ulta</w:t>
            </w:r>
          </w:p>
        </w:tc>
      </w:tr>
      <w:tr>
        <w:trPr>
          <w:trHeight w:val="167"/>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Total South Florida</w:t>
            </w:r>
          </w:p>
        </w:tc>
        <w:tc>
          <w:tcPr>
            <w:tcW w:w="66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435,786</w:t>
            </w:r>
          </w:p>
        </w:tc>
        <w:tc>
          <w:tcPr>
            <w:tcW w:w="104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1,309,000</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2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760" w:type="dxa"/>
            <w:vAlign w:val="bottom"/>
            <w:gridSpan w:val="6"/>
          </w:tcPr>
          <w:p>
            <w:pPr>
              <w:ind w:left="60"/>
              <w:spacing w:after="0"/>
              <w:rPr>
                <w:sz w:val="20"/>
                <w:szCs w:val="20"/>
                <w:color w:val="auto"/>
              </w:rPr>
            </w:pPr>
            <w:r>
              <w:rPr>
                <w:rFonts w:ascii="Times New Roman" w:cs="Times New Roman" w:eastAsia="Times New Roman" w:hAnsi="Times New Roman"/>
                <w:sz w:val="13"/>
                <w:szCs w:val="13"/>
                <w:b w:val="1"/>
                <w:bCs w:val="1"/>
                <w:color w:val="auto"/>
              </w:rPr>
              <w:t>Baltimore</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20" w:type="dxa"/>
            <w:vAlign w:val="bottom"/>
          </w:tcPr>
          <w:p>
            <w:pPr>
              <w:spacing w:after="0"/>
              <w:rPr>
                <w:sz w:val="8"/>
                <w:szCs w:val="8"/>
                <w:color w:val="auto"/>
              </w:rPr>
            </w:pPr>
          </w:p>
        </w:tc>
      </w:tr>
      <w:tr>
        <w:trPr>
          <w:trHeight w:val="144"/>
        </w:trPr>
        <w:tc>
          <w:tcPr>
            <w:tcW w:w="800" w:type="dxa"/>
            <w:vAlign w:val="bottom"/>
            <w:gridSpan w:val="7"/>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Governor</w:t>
            </w:r>
          </w:p>
        </w:tc>
        <w:tc>
          <w:tcPr>
            <w:tcW w:w="400" w:type="dxa"/>
            <w:vAlign w:val="bottom"/>
            <w:shd w:val="clear" w:color="auto" w:fill="CCEEFF"/>
          </w:tcPr>
          <w:p>
            <w:pPr>
              <w:spacing w:after="0"/>
              <w:rPr>
                <w:sz w:val="12"/>
                <w:szCs w:val="12"/>
                <w:color w:val="auto"/>
              </w:rPr>
            </w:pPr>
          </w:p>
        </w:tc>
        <w:tc>
          <w:tcPr>
            <w:tcW w:w="2380" w:type="dxa"/>
            <w:vAlign w:val="bottom"/>
            <w:gridSpan w:val="2"/>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shd w:val="clear" w:color="auto" w:fill="CCEEFF"/>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27,313</w:t>
            </w:r>
          </w:p>
        </w:tc>
        <w:tc>
          <w:tcPr>
            <w:tcW w:w="10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243,000</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700" w:type="dxa"/>
            <w:vAlign w:val="bottom"/>
            <w:shd w:val="clear" w:color="auto" w:fill="CCEEFF"/>
          </w:tcPr>
          <w:p>
            <w:pPr>
              <w:spacing w:after="0"/>
              <w:rPr>
                <w:sz w:val="12"/>
                <w:szCs w:val="12"/>
                <w:color w:val="auto"/>
              </w:rPr>
            </w:pPr>
          </w:p>
        </w:tc>
        <w:tc>
          <w:tcPr>
            <w:tcW w:w="580" w:type="dxa"/>
            <w:vAlign w:val="bottom"/>
            <w:shd w:val="clear" w:color="auto" w:fill="CCEEFF"/>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16,500</w:t>
            </w:r>
          </w:p>
        </w:tc>
        <w:tc>
          <w:tcPr>
            <w:tcW w:w="820" w:type="dxa"/>
            <w:vAlign w:val="bottom"/>
            <w:shd w:val="clear" w:color="auto" w:fill="CCEEFF"/>
          </w:tcPr>
          <w:p>
            <w:pPr>
              <w:ind w:left="80"/>
              <w:spacing w:after="0" w:line="144" w:lineRule="exact"/>
              <w:rPr>
                <w:sz w:val="20"/>
                <w:szCs w:val="20"/>
                <w:color w:val="auto"/>
              </w:rPr>
            </w:pPr>
            <w:r>
              <w:rPr>
                <w:rFonts w:ascii="Times New Roman" w:cs="Times New Roman" w:eastAsia="Times New Roman" w:hAnsi="Times New Roman"/>
                <w:sz w:val="13"/>
                <w:szCs w:val="13"/>
                <w:color w:val="auto"/>
              </w:rPr>
              <w:t>Aldi</w:t>
            </w:r>
          </w:p>
        </w:tc>
        <w:tc>
          <w:tcPr>
            <w:tcW w:w="222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Dick's Sporting Goods / A.C. Moore</w:t>
            </w: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Perring Plaza</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31,327</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396,000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700" w:type="dxa"/>
            <w:vAlign w:val="bottom"/>
          </w:tcPr>
          <w:p>
            <w:pPr>
              <w:spacing w:after="0"/>
              <w:rPr>
                <w:sz w:val="12"/>
                <w:szCs w:val="12"/>
                <w:color w:val="auto"/>
              </w:rPr>
            </w:pPr>
          </w:p>
        </w:tc>
        <w:tc>
          <w:tcPr>
            <w:tcW w:w="580" w:type="dxa"/>
            <w:vAlign w:val="bottom"/>
          </w:tcPr>
          <w:p>
            <w:pPr>
              <w:jc w:val="center"/>
              <w:ind w:right="17"/>
              <w:spacing w:after="0" w:line="144" w:lineRule="exact"/>
              <w:rPr>
                <w:sz w:val="20"/>
                <w:szCs w:val="20"/>
                <w:color w:val="auto"/>
              </w:rPr>
            </w:pPr>
            <w:r>
              <w:rPr>
                <w:rFonts w:ascii="Times New Roman" w:cs="Times New Roman" w:eastAsia="Times New Roman" w:hAnsi="Times New Roman"/>
                <w:sz w:val="13"/>
                <w:szCs w:val="13"/>
                <w:color w:val="auto"/>
                <w:w w:val="94"/>
              </w:rPr>
              <w:t>58,000</w:t>
            </w:r>
          </w:p>
        </w:tc>
        <w:tc>
          <w:tcPr>
            <w:tcW w:w="82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Shoppers</w:t>
            </w:r>
          </w:p>
        </w:tc>
        <w:tc>
          <w:tcPr>
            <w:tcW w:w="22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Home Depot / Micro Center / Burlington</w:t>
            </w:r>
          </w:p>
        </w:tc>
      </w:tr>
      <w:tr>
        <w:trPr>
          <w:trHeight w:val="135"/>
        </w:trPr>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Food</w:t>
            </w:r>
          </w:p>
        </w:tc>
        <w:tc>
          <w:tcPr>
            <w:tcW w:w="2220" w:type="dxa"/>
            <w:vAlign w:val="bottom"/>
          </w:tcPr>
          <w:p>
            <w:pPr>
              <w:spacing w:after="0"/>
              <w:rPr>
                <w:sz w:val="11"/>
                <w:szCs w:val="11"/>
                <w:color w:val="auto"/>
              </w:rPr>
            </w:pPr>
          </w:p>
        </w:tc>
      </w:tr>
      <w:tr>
        <w:trPr>
          <w:trHeight w:val="172"/>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Warehouse</w:t>
            </w:r>
          </w:p>
        </w:tc>
        <w:tc>
          <w:tcPr>
            <w:tcW w:w="2220" w:type="dxa"/>
            <w:vAlign w:val="bottom"/>
          </w:tcPr>
          <w:p>
            <w:pPr>
              <w:spacing w:after="0"/>
              <w:rPr>
                <w:sz w:val="14"/>
                <w:szCs w:val="14"/>
                <w:color w:val="auto"/>
              </w:rPr>
            </w:pP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THE</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w:t>
            </w: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120,580</w:t>
            </w:r>
          </w:p>
        </w:tc>
        <w:tc>
          <w:tcPr>
            <w:tcW w:w="10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52,705</w:t>
            </w: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7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AMC / Ulta / Old Navy / Barnes &amp; Noble</w:t>
            </w: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AVENUE at</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White Marsh</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144"/>
        </w:trPr>
        <w:tc>
          <w:tcPr>
            <w:tcW w:w="800" w:type="dxa"/>
            <w:vAlign w:val="bottom"/>
            <w:gridSpan w:val="7"/>
          </w:tcPr>
          <w:p>
            <w:pPr>
              <w:ind w:left="40"/>
              <w:spacing w:after="0" w:line="144" w:lineRule="exact"/>
              <w:rPr>
                <w:sz w:val="20"/>
                <w:szCs w:val="20"/>
                <w:color w:val="auto"/>
              </w:rPr>
            </w:pPr>
            <w:r>
              <w:rPr>
                <w:rFonts w:ascii="Times New Roman" w:cs="Times New Roman" w:eastAsia="Times New Roman" w:hAnsi="Times New Roman"/>
                <w:sz w:val="13"/>
                <w:szCs w:val="13"/>
                <w:color w:val="auto"/>
              </w:rPr>
              <w:t>The Shoppes</w:t>
            </w:r>
          </w:p>
        </w:tc>
        <w:tc>
          <w:tcPr>
            <w:tcW w:w="400" w:type="dxa"/>
            <w:vAlign w:val="bottom"/>
          </w:tcPr>
          <w:p>
            <w:pPr>
              <w:spacing w:after="0"/>
              <w:rPr>
                <w:sz w:val="12"/>
                <w:szCs w:val="12"/>
                <w:color w:val="auto"/>
              </w:rPr>
            </w:pPr>
          </w:p>
        </w:tc>
        <w:tc>
          <w:tcPr>
            <w:tcW w:w="238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tcPr>
          <w:p>
            <w:pPr>
              <w:jc w:val="right"/>
              <w:ind w:right="58"/>
              <w:spacing w:after="0" w:line="144" w:lineRule="exact"/>
              <w:rPr>
                <w:sz w:val="20"/>
                <w:szCs w:val="20"/>
                <w:color w:val="auto"/>
              </w:rPr>
            </w:pPr>
            <w:r>
              <w:rPr>
                <w:rFonts w:ascii="Times New Roman" w:cs="Times New Roman" w:eastAsia="Times New Roman" w:hAnsi="Times New Roman"/>
                <w:sz w:val="13"/>
                <w:szCs w:val="13"/>
                <w:color w:val="auto"/>
              </w:rPr>
              <w:t>17,965</w:t>
            </w:r>
          </w:p>
        </w:tc>
        <w:tc>
          <w:tcPr>
            <w:tcW w:w="104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2"/>
                <w:szCs w:val="12"/>
                <w:color w:val="auto"/>
              </w:rPr>
            </w:pPr>
          </w:p>
        </w:tc>
        <w:tc>
          <w:tcPr>
            <w:tcW w:w="68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32,000</w:t>
            </w:r>
          </w:p>
        </w:tc>
        <w:tc>
          <w:tcPr>
            <w:tcW w:w="100" w:type="dxa"/>
            <w:vAlign w:val="bottom"/>
          </w:tcPr>
          <w:p>
            <w:pPr>
              <w:spacing w:after="0"/>
              <w:rPr>
                <w:sz w:val="12"/>
                <w:szCs w:val="12"/>
                <w:color w:val="auto"/>
              </w:rPr>
            </w:pPr>
          </w:p>
        </w:tc>
        <w:tc>
          <w:tcPr>
            <w:tcW w:w="4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87%</w:t>
            </w: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20" w:type="dxa"/>
            <w:vAlign w:val="bottom"/>
          </w:tcPr>
          <w:p>
            <w:pPr>
              <w:spacing w:after="0"/>
              <w:rPr>
                <w:sz w:val="12"/>
                <w:szCs w:val="12"/>
                <w:color w:val="auto"/>
              </w:rPr>
            </w:pPr>
          </w:p>
        </w:tc>
      </w:tr>
      <w:tr>
        <w:trPr>
          <w:trHeight w:val="135"/>
        </w:trPr>
        <w:tc>
          <w:tcPr>
            <w:tcW w:w="800" w:type="dxa"/>
            <w:vAlign w:val="bottom"/>
            <w:gridSpan w:val="7"/>
          </w:tcPr>
          <w:p>
            <w:pPr>
              <w:ind w:left="40"/>
              <w:spacing w:after="0" w:line="135" w:lineRule="exact"/>
              <w:rPr>
                <w:sz w:val="20"/>
                <w:szCs w:val="20"/>
                <w:color w:val="auto"/>
              </w:rPr>
            </w:pPr>
            <w:r>
              <w:rPr>
                <w:rFonts w:ascii="Times New Roman" w:cs="Times New Roman" w:eastAsia="Times New Roman" w:hAnsi="Times New Roman"/>
                <w:sz w:val="13"/>
                <w:szCs w:val="13"/>
                <w:color w:val="auto"/>
                <w:w w:val="98"/>
              </w:rPr>
              <w:t>at Nottingham</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20" w:type="dxa"/>
            <w:vAlign w:val="bottom"/>
          </w:tcPr>
          <w:p>
            <w:pPr>
              <w:spacing w:after="0"/>
              <w:rPr>
                <w:sz w:val="11"/>
                <w:szCs w:val="11"/>
                <w:color w:val="auto"/>
              </w:rPr>
            </w:pPr>
          </w:p>
        </w:tc>
      </w:tr>
      <w:tr>
        <w:trPr>
          <w:trHeight w:val="172"/>
        </w:trPr>
        <w:tc>
          <w:tcPr>
            <w:tcW w:w="800" w:type="dxa"/>
            <w:vAlign w:val="bottom"/>
            <w:gridSpan w:val="7"/>
          </w:tcPr>
          <w:p>
            <w:pPr>
              <w:ind w:left="40"/>
              <w:spacing w:after="0"/>
              <w:rPr>
                <w:sz w:val="20"/>
                <w:szCs w:val="20"/>
                <w:color w:val="auto"/>
              </w:rPr>
            </w:pPr>
            <w:r>
              <w:rPr>
                <w:rFonts w:ascii="Times New Roman" w:cs="Times New Roman" w:eastAsia="Times New Roman" w:hAnsi="Times New Roman"/>
                <w:sz w:val="13"/>
                <w:szCs w:val="13"/>
                <w:color w:val="auto"/>
              </w:rPr>
              <w:t>Square</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52"/>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Towson</w:t>
            </w:r>
          </w:p>
        </w:tc>
        <w:tc>
          <w:tcPr>
            <w:tcW w:w="400" w:type="dxa"/>
            <w:vAlign w:val="bottom"/>
            <w:shd w:val="clear" w:color="auto" w:fill="CCEEFF"/>
          </w:tcPr>
          <w:p>
            <w:pPr>
              <w:spacing w:after="0"/>
              <w:rPr>
                <w:sz w:val="13"/>
                <w:szCs w:val="13"/>
                <w:color w:val="auto"/>
              </w:rPr>
            </w:pPr>
          </w:p>
        </w:tc>
        <w:tc>
          <w:tcPr>
            <w:tcW w:w="2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6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3"/>
                <w:szCs w:val="13"/>
                <w:color w:val="auto"/>
              </w:rPr>
              <w:t>22,378</w:t>
            </w:r>
          </w:p>
        </w:tc>
        <w:tc>
          <w:tcPr>
            <w:tcW w:w="104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4,000</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105</w:t>
            </w: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r>
      <w:tr>
        <w:trPr>
          <w:trHeight w:val="135"/>
        </w:trPr>
        <w:tc>
          <w:tcPr>
            <w:tcW w:w="800" w:type="dxa"/>
            <w:vAlign w:val="bottom"/>
            <w:gridSpan w:val="7"/>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color w:val="auto"/>
              </w:rPr>
              <w:t>Residential</w:t>
            </w: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7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r>
      <w:tr>
        <w:trPr>
          <w:trHeight w:val="180"/>
        </w:trPr>
        <w:tc>
          <w:tcPr>
            <w:tcW w:w="80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(Flats @ 703)</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420"/>
          </w:cols>
          <w:pgMar w:left="240" w:top="745" w:right="239" w:bottom="941"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745" w:right="239" w:bottom="941" w:gutter="0" w:footer="0" w:header="0"/>
          <w:type w:val="continuous"/>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Mortgage/Finance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Pr>
          <w:p>
            <w:pPr>
              <w:spacing w:after="0"/>
              <w:rPr>
                <w:sz w:val="12"/>
                <w:szCs w:val="12"/>
                <w:color w:val="auto"/>
              </w:rPr>
            </w:pPr>
          </w:p>
        </w:tc>
        <w:tc>
          <w:tcPr>
            <w:tcW w:w="58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Grocery</w:t>
            </w:r>
          </w:p>
        </w:tc>
        <w:tc>
          <w:tcPr>
            <w:tcW w:w="8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35"/>
        </w:trPr>
        <w:tc>
          <w:tcPr>
            <w:tcW w:w="40" w:type="dxa"/>
            <w:vAlign w:val="bottom"/>
          </w:tcPr>
          <w:p>
            <w:pPr>
              <w:spacing w:after="0"/>
              <w:rPr>
                <w:sz w:val="11"/>
                <w:szCs w:val="11"/>
                <w:color w:val="auto"/>
              </w:rPr>
            </w:pPr>
          </w:p>
        </w:tc>
        <w:tc>
          <w:tcPr>
            <w:tcW w:w="780" w:type="dxa"/>
            <w:vAlign w:val="bottom"/>
            <w:gridSpan w:val="3"/>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Property</w:t>
            </w:r>
          </w:p>
        </w:tc>
        <w:tc>
          <w:tcPr>
            <w:tcW w:w="26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Real Estate</w:t>
            </w:r>
          </w:p>
        </w:tc>
        <w:tc>
          <w:tcPr>
            <w:tcW w:w="10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Lease Liabilities</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Leased</w:t>
            </w: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Residential</w:t>
            </w: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Anchor</w:t>
            </w:r>
          </w:p>
        </w:tc>
        <w:tc>
          <w:tcPr>
            <w:tcW w:w="8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b w:val="1"/>
                <w:bCs w:val="1"/>
                <w:color w:val="auto"/>
              </w:rPr>
              <w:t>Grocery</w:t>
            </w:r>
          </w:p>
        </w:tc>
        <w:tc>
          <w:tcPr>
            <w:tcW w:w="2180" w:type="dxa"/>
            <w:vAlign w:val="bottom"/>
          </w:tcPr>
          <w:p>
            <w:pPr>
              <w:spacing w:after="0"/>
              <w:rPr>
                <w:sz w:val="11"/>
                <w:szCs w:val="11"/>
                <w:color w:val="auto"/>
              </w:rPr>
            </w:pPr>
          </w:p>
        </w:tc>
      </w:tr>
      <w:tr>
        <w:trPr>
          <w:trHeight w:val="176"/>
        </w:trPr>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6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MSA Description</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at Cost (1)</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(2)</w:t>
            </w:r>
          </w:p>
        </w:tc>
        <w:tc>
          <w:tcPr>
            <w:tcW w:w="5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Acreage</w:t>
            </w:r>
          </w:p>
        </w:tc>
        <w:tc>
          <w:tcPr>
            <w:tcW w:w="8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GLA (3)</w:t>
            </w:r>
          </w:p>
        </w:tc>
        <w:tc>
          <w:tcPr>
            <w:tcW w:w="5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Units</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GLA</w:t>
            </w: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Anchor</w:t>
            </w:r>
          </w:p>
        </w:tc>
        <w:tc>
          <w:tcPr>
            <w:tcW w:w="2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Other Retail Tenants</w:t>
            </w:r>
          </w:p>
        </w:tc>
      </w:tr>
      <w:tr>
        <w:trPr>
          <w:trHeight w:val="248"/>
        </w:trPr>
        <w:tc>
          <w:tcPr>
            <w:tcW w:w="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(in thousands)</w:t>
            </w:r>
          </w:p>
        </w:tc>
        <w:tc>
          <w:tcPr>
            <w:tcW w:w="160" w:type="dxa"/>
            <w:vAlign w:val="bottom"/>
          </w:tcPr>
          <w:p>
            <w:pPr>
              <w:spacing w:after="0"/>
              <w:rPr>
                <w:sz w:val="21"/>
                <w:szCs w:val="21"/>
                <w:color w:val="auto"/>
              </w:rPr>
            </w:pPr>
          </w:p>
        </w:tc>
        <w:tc>
          <w:tcPr>
            <w:tcW w:w="880" w:type="dxa"/>
            <w:vAlign w:val="bottom"/>
          </w:tcPr>
          <w:p>
            <w:pPr>
              <w:jc w:val="center"/>
              <w:ind w:right="79"/>
              <w:spacing w:after="0"/>
              <w:rPr>
                <w:sz w:val="20"/>
                <w:szCs w:val="20"/>
                <w:color w:val="auto"/>
              </w:rPr>
            </w:pPr>
            <w:r>
              <w:rPr>
                <w:rFonts w:ascii="Times New Roman" w:cs="Times New Roman" w:eastAsia="Times New Roman" w:hAnsi="Times New Roman"/>
                <w:sz w:val="11"/>
                <w:szCs w:val="11"/>
                <w:color w:val="auto"/>
                <w:w w:val="98"/>
              </w:rPr>
              <w:t>(in thousands)</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166"/>
        </w:trPr>
        <w:tc>
          <w:tcPr>
            <w:tcW w:w="8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White Marsh</w:t>
            </w:r>
          </w:p>
        </w:tc>
        <w:tc>
          <w:tcPr>
            <w:tcW w:w="26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25,827</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80,000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54,000</w:t>
            </w: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Giant Food</w:t>
            </w:r>
          </w:p>
        </w:tc>
        <w:tc>
          <w:tcPr>
            <w:tcW w:w="2180" w:type="dxa"/>
            <w:vAlign w:val="bottom"/>
          </w:tcPr>
          <w:p>
            <w:pPr>
              <w:spacing w:after="0"/>
              <w:rPr>
                <w:sz w:val="14"/>
                <w:szCs w:val="14"/>
                <w:color w:val="auto"/>
              </w:rPr>
            </w:pPr>
          </w:p>
        </w:tc>
      </w:tr>
      <w:tr>
        <w:trPr>
          <w:trHeight w:val="172"/>
        </w:trPr>
        <w:tc>
          <w:tcPr>
            <w:tcW w:w="8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Plaza</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52"/>
        </w:trPr>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White Marsh</w:t>
            </w:r>
          </w:p>
        </w:tc>
        <w:tc>
          <w:tcPr>
            <w:tcW w:w="2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Baltimore-Columbia-Towson, MD</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31,714</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70,000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r>
      <w:tr>
        <w:trPr>
          <w:trHeight w:val="180"/>
        </w:trPr>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Other</w:t>
            </w:r>
          </w:p>
        </w:tc>
        <w:tc>
          <w:tcPr>
            <w:tcW w:w="268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167"/>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Total Baltimore</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277,104</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1,139,000</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180" w:type="dxa"/>
            <w:vAlign w:val="bottom"/>
          </w:tcPr>
          <w:p>
            <w:pPr>
              <w:spacing w:after="0"/>
              <w:rPr>
                <w:sz w:val="7"/>
                <w:szCs w:val="7"/>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6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180" w:type="dxa"/>
            <w:vAlign w:val="bottom"/>
            <w:shd w:val="clear" w:color="auto" w:fill="CCEEFF"/>
          </w:tcPr>
          <w:p>
            <w:pPr>
              <w:spacing w:after="0"/>
              <w:rPr>
                <w:sz w:val="23"/>
                <w:szCs w:val="23"/>
                <w:color w:val="auto"/>
              </w:rPr>
            </w:pPr>
          </w:p>
        </w:tc>
      </w:tr>
      <w:tr>
        <w:trPr>
          <w:trHeight w:val="149"/>
        </w:trPr>
        <w:tc>
          <w:tcPr>
            <w:tcW w:w="40" w:type="dxa"/>
            <w:vAlign w:val="bottom"/>
          </w:tcPr>
          <w:p>
            <w:pPr>
              <w:spacing w:after="0"/>
              <w:rPr>
                <w:sz w:val="12"/>
                <w:szCs w:val="12"/>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Chicago</w:t>
            </w:r>
          </w:p>
        </w:tc>
        <w:tc>
          <w:tcPr>
            <w:tcW w:w="2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8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44"/>
        </w:trPr>
        <w:tc>
          <w:tcPr>
            <w:tcW w:w="820" w:type="dxa"/>
            <w:vAlign w:val="bottom"/>
            <w:gridSpan w:val="4"/>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Crossroads</w:t>
            </w:r>
          </w:p>
        </w:tc>
        <w:tc>
          <w:tcPr>
            <w:tcW w:w="2680" w:type="dxa"/>
            <w:vAlign w:val="bottom"/>
            <w:shd w:val="clear" w:color="auto" w:fill="CCEEFF"/>
          </w:tcPr>
          <w:p>
            <w:pPr>
              <w:ind w:left="400"/>
              <w:spacing w:after="0" w:line="144"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35,289</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168,000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91%</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8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w w:val="99"/>
              </w:rPr>
              <w:t>L.A. Fitness / Ulta / Binny's / Ferguson's</w:t>
            </w:r>
          </w:p>
        </w:tc>
      </w:tr>
      <w:tr>
        <w:trPr>
          <w:trHeight w:val="180"/>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Bath, Kitchen &amp; Lighting Gallery</w:t>
            </w:r>
          </w:p>
        </w:tc>
      </w:tr>
      <w:tr>
        <w:trPr>
          <w:trHeight w:val="144"/>
        </w:trPr>
        <w:tc>
          <w:tcPr>
            <w:tcW w:w="820" w:type="dxa"/>
            <w:vAlign w:val="bottom"/>
            <w:gridSpan w:val="4"/>
          </w:tcPr>
          <w:p>
            <w:pPr>
              <w:ind w:left="40"/>
              <w:spacing w:after="0" w:line="144" w:lineRule="exact"/>
              <w:rPr>
                <w:sz w:val="20"/>
                <w:szCs w:val="20"/>
                <w:color w:val="auto"/>
              </w:rPr>
            </w:pPr>
            <w:r>
              <w:rPr>
                <w:rFonts w:ascii="Times New Roman" w:cs="Times New Roman" w:eastAsia="Times New Roman" w:hAnsi="Times New Roman"/>
                <w:sz w:val="13"/>
                <w:szCs w:val="13"/>
                <w:color w:val="auto"/>
              </w:rPr>
              <w:t>Finley Square</w:t>
            </w:r>
          </w:p>
        </w:tc>
        <w:tc>
          <w:tcPr>
            <w:tcW w:w="268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39,299</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278,000</w:t>
            </w: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1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Bed, Bath &amp; Beyond / Buy Buy Baby /</w:t>
            </w:r>
          </w:p>
        </w:tc>
      </w:tr>
      <w:tr>
        <w:trPr>
          <w:trHeight w:val="172"/>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Michaels / Portillo's</w:t>
            </w:r>
          </w:p>
        </w:tc>
      </w:tr>
      <w:tr>
        <w:trPr>
          <w:trHeight w:val="152"/>
        </w:trPr>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Garden</w:t>
            </w:r>
          </w:p>
        </w:tc>
        <w:tc>
          <w:tcPr>
            <w:tcW w:w="2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14,754</w:t>
            </w: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140,000</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680" w:type="dxa"/>
            <w:vAlign w:val="bottom"/>
            <w:shd w:val="clear" w:color="auto" w:fill="CCEEFF"/>
          </w:tcPr>
          <w:p>
            <w:pPr>
              <w:spacing w:after="0"/>
              <w:rPr>
                <w:sz w:val="13"/>
                <w:szCs w:val="13"/>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63,000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Mariano's</w:t>
            </w:r>
          </w:p>
        </w:tc>
        <w:tc>
          <w:tcPr>
            <w:tcW w:w="2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Walgreens</w:t>
            </w:r>
          </w:p>
        </w:tc>
      </w:tr>
      <w:tr>
        <w:trPr>
          <w:trHeight w:val="180"/>
        </w:trPr>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Market</w:t>
            </w: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Fresh Market</w:t>
            </w:r>
          </w:p>
        </w:tc>
        <w:tc>
          <w:tcPr>
            <w:tcW w:w="2180" w:type="dxa"/>
            <w:vAlign w:val="bottom"/>
            <w:shd w:val="clear" w:color="auto" w:fill="CCEEFF"/>
          </w:tcPr>
          <w:p>
            <w:pPr>
              <w:spacing w:after="0"/>
              <w:rPr>
                <w:sz w:val="15"/>
                <w:szCs w:val="15"/>
                <w:color w:val="auto"/>
              </w:rPr>
            </w:pPr>
          </w:p>
        </w:tc>
      </w:tr>
      <w:tr>
        <w:trPr>
          <w:trHeight w:val="144"/>
        </w:trPr>
        <w:tc>
          <w:tcPr>
            <w:tcW w:w="820" w:type="dxa"/>
            <w:vAlign w:val="bottom"/>
            <w:gridSpan w:val="4"/>
          </w:tcPr>
          <w:p>
            <w:pPr>
              <w:ind w:left="40"/>
              <w:spacing w:after="0" w:line="144" w:lineRule="exact"/>
              <w:rPr>
                <w:sz w:val="20"/>
                <w:szCs w:val="20"/>
                <w:color w:val="auto"/>
              </w:rPr>
            </w:pPr>
            <w:r>
              <w:rPr>
                <w:rFonts w:ascii="Times New Roman" w:cs="Times New Roman" w:eastAsia="Times New Roman" w:hAnsi="Times New Roman"/>
                <w:sz w:val="13"/>
                <w:szCs w:val="13"/>
                <w:color w:val="auto"/>
              </w:rPr>
              <w:t>Riverpoint</w:t>
            </w:r>
          </w:p>
        </w:tc>
        <w:tc>
          <w:tcPr>
            <w:tcW w:w="268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Chicago-Naperville-Elgin, IL-IN-WI</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120,801</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211,000</w:t>
            </w: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93%</w:t>
            </w:r>
          </w:p>
        </w:tc>
        <w:tc>
          <w:tcPr>
            <w:tcW w:w="68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86,000</w:t>
            </w:r>
          </w:p>
        </w:tc>
        <w:tc>
          <w:tcPr>
            <w:tcW w:w="8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Jewel Osco</w:t>
            </w:r>
          </w:p>
        </w:tc>
        <w:tc>
          <w:tcPr>
            <w:tcW w:w="21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Marshalls / Old Navy</w:t>
            </w:r>
          </w:p>
        </w:tc>
      </w:tr>
      <w:tr>
        <w:trPr>
          <w:trHeight w:val="174"/>
        </w:trPr>
        <w:tc>
          <w:tcPr>
            <w:tcW w:w="820" w:type="dxa"/>
            <w:vAlign w:val="bottom"/>
            <w:tcBorders>
              <w:bottom w:val="single" w:sz="8" w:color="CCEEFF"/>
            </w:tcBorders>
            <w:gridSpan w:val="4"/>
          </w:tcPr>
          <w:p>
            <w:pPr>
              <w:ind w:left="40"/>
              <w:spacing w:after="0"/>
              <w:rPr>
                <w:sz w:val="20"/>
                <w:szCs w:val="20"/>
                <w:color w:val="auto"/>
              </w:rPr>
            </w:pPr>
            <w:r>
              <w:rPr>
                <w:rFonts w:ascii="Times New Roman" w:cs="Times New Roman" w:eastAsia="Times New Roman" w:hAnsi="Times New Roman"/>
                <w:sz w:val="13"/>
                <w:szCs w:val="13"/>
                <w:color w:val="auto"/>
              </w:rPr>
              <w:t>Center</w:t>
            </w:r>
          </w:p>
        </w:tc>
        <w:tc>
          <w:tcPr>
            <w:tcW w:w="26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spacing w:after="0"/>
              <w:rPr>
                <w:sz w:val="15"/>
                <w:szCs w:val="15"/>
                <w:color w:val="auto"/>
              </w:rPr>
            </w:pP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Chicago</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210,143</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63</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797,000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r>
      <w:tr>
        <w:trPr>
          <w:trHeight w:val="270"/>
        </w:trPr>
        <w:tc>
          <w:tcPr>
            <w:tcW w:w="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180" w:type="dxa"/>
            <w:vAlign w:val="bottom"/>
          </w:tcPr>
          <w:p>
            <w:pPr>
              <w:spacing w:after="0"/>
              <w:rPr>
                <w:sz w:val="23"/>
                <w:szCs w:val="23"/>
                <w:color w:val="auto"/>
              </w:rPr>
            </w:pPr>
          </w:p>
        </w:tc>
      </w:tr>
      <w:tr>
        <w:trPr>
          <w:trHeight w:val="149"/>
        </w:trPr>
        <w:tc>
          <w:tcPr>
            <w:tcW w:w="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6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268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8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2180" w:type="dxa"/>
            <w:vAlign w:val="bottom"/>
            <w:tcBorders>
              <w:top w:val="single" w:sz="8" w:color="CCEEFF"/>
            </w:tcBorders>
            <w:shd w:val="clear" w:color="auto" w:fill="CCEEFF"/>
          </w:tcPr>
          <w:p>
            <w:pPr>
              <w:spacing w:after="0"/>
              <w:rPr>
                <w:sz w:val="8"/>
                <w:szCs w:val="8"/>
                <w:color w:val="auto"/>
              </w:rPr>
            </w:pPr>
          </w:p>
        </w:tc>
      </w:tr>
      <w:tr>
        <w:trPr>
          <w:trHeight w:val="144"/>
        </w:trPr>
        <w:tc>
          <w:tcPr>
            <w:tcW w:w="820" w:type="dxa"/>
            <w:vAlign w:val="bottom"/>
            <w:gridSpan w:val="4"/>
          </w:tcPr>
          <w:p>
            <w:pPr>
              <w:ind w:left="40"/>
              <w:spacing w:after="0" w:line="144" w:lineRule="exact"/>
              <w:rPr>
                <w:sz w:val="20"/>
                <w:szCs w:val="20"/>
                <w:color w:val="auto"/>
              </w:rPr>
            </w:pPr>
            <w:r>
              <w:rPr>
                <w:rFonts w:ascii="Times New Roman" w:cs="Times New Roman" w:eastAsia="Times New Roman" w:hAnsi="Times New Roman"/>
                <w:sz w:val="13"/>
                <w:szCs w:val="13"/>
                <w:color w:val="auto"/>
              </w:rPr>
              <w:t>Barracks</w:t>
            </w:r>
          </w:p>
        </w:tc>
        <w:tc>
          <w:tcPr>
            <w:tcW w:w="268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68,363</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500,000</w:t>
            </w: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97%</w:t>
            </w:r>
          </w:p>
        </w:tc>
        <w:tc>
          <w:tcPr>
            <w:tcW w:w="68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99,000</w:t>
            </w:r>
          </w:p>
        </w:tc>
        <w:tc>
          <w:tcPr>
            <w:tcW w:w="30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Harris Teeter / Anthropologie / Nike / Bed, Bath &amp;</w:t>
            </w:r>
          </w:p>
        </w:tc>
      </w:tr>
      <w:tr>
        <w:trPr>
          <w:trHeight w:val="172"/>
        </w:trPr>
        <w:tc>
          <w:tcPr>
            <w:tcW w:w="8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Road</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Kroger</w:t>
            </w:r>
          </w:p>
        </w:tc>
        <w:tc>
          <w:tcPr>
            <w:tcW w:w="21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Beyond / Old Navy</w:t>
            </w:r>
          </w:p>
        </w:tc>
      </w:tr>
      <w:tr>
        <w:trPr>
          <w:trHeight w:val="181"/>
        </w:trPr>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Bristol Plaza</w:t>
            </w:r>
          </w:p>
        </w:tc>
        <w:tc>
          <w:tcPr>
            <w:tcW w:w="2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Hartford-West Hartford-East Hartford, CT</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31,535</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267,000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74,000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Stop &amp; Shop</w:t>
            </w:r>
          </w:p>
        </w:tc>
        <w:tc>
          <w:tcPr>
            <w:tcW w:w="2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TJ Maxx</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r>
      <w:tr>
        <w:trPr>
          <w:trHeight w:val="144"/>
        </w:trPr>
        <w:tc>
          <w:tcPr>
            <w:tcW w:w="820" w:type="dxa"/>
            <w:vAlign w:val="bottom"/>
            <w:gridSpan w:val="4"/>
          </w:tcPr>
          <w:p>
            <w:pPr>
              <w:ind w:left="40"/>
              <w:spacing w:after="0" w:line="144" w:lineRule="exact"/>
              <w:rPr>
                <w:sz w:val="20"/>
                <w:szCs w:val="20"/>
                <w:color w:val="auto"/>
              </w:rPr>
            </w:pPr>
            <w:r>
              <w:rPr>
                <w:rFonts w:ascii="Times New Roman" w:cs="Times New Roman" w:eastAsia="Times New Roman" w:hAnsi="Times New Roman"/>
                <w:sz w:val="13"/>
                <w:szCs w:val="13"/>
                <w:color w:val="auto"/>
              </w:rPr>
              <w:t>Eastgate</w:t>
            </w:r>
          </w:p>
        </w:tc>
        <w:tc>
          <w:tcPr>
            <w:tcW w:w="268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Durham-Chapel Hill, NC</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34,502</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158,000</w:t>
            </w: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91%</w:t>
            </w:r>
          </w:p>
        </w:tc>
        <w:tc>
          <w:tcPr>
            <w:tcW w:w="68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13,000</w:t>
            </w:r>
          </w:p>
        </w:tc>
        <w:tc>
          <w:tcPr>
            <w:tcW w:w="8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Trader Joe's</w:t>
            </w:r>
          </w:p>
        </w:tc>
        <w:tc>
          <w:tcPr>
            <w:tcW w:w="21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Ulta / Stein Mart / Petco</w:t>
            </w:r>
          </w:p>
        </w:tc>
      </w:tr>
      <w:tr>
        <w:trPr>
          <w:trHeight w:val="172"/>
        </w:trPr>
        <w:tc>
          <w:tcPr>
            <w:tcW w:w="8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Crossing</w:t>
            </w:r>
          </w:p>
        </w:tc>
        <w:tc>
          <w:tcPr>
            <w:tcW w:w="2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80" w:type="dxa"/>
            <w:vAlign w:val="bottom"/>
          </w:tcPr>
          <w:p>
            <w:pPr>
              <w:spacing w:after="0"/>
              <w:rPr>
                <w:sz w:val="14"/>
                <w:szCs w:val="14"/>
                <w:color w:val="auto"/>
              </w:rPr>
            </w:pPr>
          </w:p>
        </w:tc>
      </w:tr>
      <w:tr>
        <w:trPr>
          <w:trHeight w:val="181"/>
        </w:trPr>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Gratiot Plaza</w:t>
            </w:r>
          </w:p>
        </w:tc>
        <w:tc>
          <w:tcPr>
            <w:tcW w:w="2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Detroit-Warren-Dearborn, MI</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19,982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217,000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69,000</w:t>
            </w:r>
          </w:p>
        </w:tc>
        <w:tc>
          <w:tcPr>
            <w:tcW w:w="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Kroger</w:t>
            </w:r>
          </w:p>
        </w:tc>
        <w:tc>
          <w:tcPr>
            <w:tcW w:w="2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Bed, Bath &amp; Beyond / Best Buy / DSW</w:t>
            </w:r>
          </w:p>
        </w:tc>
      </w:tr>
      <w:tr>
        <w:trPr>
          <w:trHeight w:val="97"/>
        </w:trPr>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180" w:type="dxa"/>
            <w:vAlign w:val="bottom"/>
            <w:shd w:val="clear" w:color="auto" w:fill="CCEEFF"/>
          </w:tcPr>
          <w:p>
            <w:pPr>
              <w:spacing w:after="0"/>
              <w:rPr>
                <w:sz w:val="8"/>
                <w:szCs w:val="8"/>
                <w:color w:val="auto"/>
              </w:rPr>
            </w:pPr>
          </w:p>
        </w:tc>
      </w:tr>
      <w:tr>
        <w:trPr>
          <w:trHeight w:val="173"/>
        </w:trPr>
        <w:tc>
          <w:tcPr>
            <w:tcW w:w="820" w:type="dxa"/>
            <w:vAlign w:val="bottom"/>
            <w:gridSpan w:val="4"/>
          </w:tcPr>
          <w:p>
            <w:pPr>
              <w:ind w:left="40"/>
              <w:spacing w:after="0"/>
              <w:rPr>
                <w:sz w:val="20"/>
                <w:szCs w:val="20"/>
                <w:color w:val="auto"/>
              </w:rPr>
            </w:pPr>
            <w:r>
              <w:rPr>
                <w:rFonts w:ascii="Times New Roman" w:cs="Times New Roman" w:eastAsia="Times New Roman" w:hAnsi="Times New Roman"/>
                <w:sz w:val="13"/>
                <w:szCs w:val="13"/>
                <w:color w:val="auto"/>
              </w:rPr>
              <w:t>Lancaster</w:t>
            </w:r>
          </w:p>
        </w:tc>
        <w:tc>
          <w:tcPr>
            <w:tcW w:w="26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(8)   Lancaster, PA</w:t>
            </w: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13,044</w:t>
            </w:r>
          </w:p>
        </w:tc>
        <w:tc>
          <w:tcPr>
            <w:tcW w:w="160" w:type="dxa"/>
            <w:vAlign w:val="bottom"/>
          </w:tcPr>
          <w:p>
            <w:pPr>
              <w:spacing w:after="0"/>
              <w:rPr>
                <w:sz w:val="15"/>
                <w:szCs w:val="15"/>
                <w:color w:val="auto"/>
              </w:rPr>
            </w:pPr>
          </w:p>
        </w:tc>
        <w:tc>
          <w:tcPr>
            <w:tcW w:w="880" w:type="dxa"/>
            <w:vAlign w:val="bottom"/>
          </w:tcPr>
          <w:p>
            <w:pPr>
              <w:jc w:val="right"/>
              <w:ind w:right="99"/>
              <w:spacing w:after="0"/>
              <w:rPr>
                <w:sz w:val="20"/>
                <w:szCs w:val="20"/>
                <w:color w:val="auto"/>
              </w:rPr>
            </w:pPr>
            <w:r>
              <w:rPr>
                <w:rFonts w:ascii="Times New Roman" w:cs="Times New Roman" w:eastAsia="Times New Roman" w:hAnsi="Times New Roman"/>
                <w:sz w:val="13"/>
                <w:szCs w:val="13"/>
                <w:color w:val="auto"/>
              </w:rPr>
              <w:t>5,476</w:t>
            </w:r>
          </w:p>
        </w:tc>
        <w:tc>
          <w:tcPr>
            <w:tcW w:w="4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126,000</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8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75,000</w:t>
            </w:r>
          </w:p>
        </w:tc>
        <w:tc>
          <w:tcPr>
            <w:tcW w:w="8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Giant Food</w:t>
            </w:r>
          </w:p>
        </w:tc>
        <w:tc>
          <w:tcPr>
            <w:tcW w:w="218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180" w:type="dxa"/>
            <w:vAlign w:val="bottom"/>
          </w:tcPr>
          <w:p>
            <w:pPr>
              <w:spacing w:after="0"/>
              <w:rPr>
                <w:sz w:val="8"/>
                <w:szCs w:val="8"/>
                <w:color w:val="auto"/>
              </w:rPr>
            </w:pPr>
          </w:p>
        </w:tc>
      </w:tr>
      <w:tr>
        <w:trPr>
          <w:trHeight w:val="144"/>
        </w:trPr>
        <w:tc>
          <w:tcPr>
            <w:tcW w:w="820" w:type="dxa"/>
            <w:vAlign w:val="bottom"/>
            <w:gridSpan w:val="4"/>
            <w:shd w:val="clear" w:color="auto" w:fill="CCEEFF"/>
          </w:tcPr>
          <w:p>
            <w:pPr>
              <w:ind w:left="40"/>
              <w:spacing w:after="0" w:line="144" w:lineRule="exact"/>
              <w:rPr>
                <w:sz w:val="20"/>
                <w:szCs w:val="20"/>
                <w:color w:val="auto"/>
              </w:rPr>
            </w:pPr>
            <w:r>
              <w:rPr>
                <w:rFonts w:ascii="Times New Roman" w:cs="Times New Roman" w:eastAsia="Times New Roman" w:hAnsi="Times New Roman"/>
                <w:sz w:val="13"/>
                <w:szCs w:val="13"/>
                <w:color w:val="auto"/>
              </w:rPr>
              <w:t>29th Place</w:t>
            </w:r>
          </w:p>
        </w:tc>
        <w:tc>
          <w:tcPr>
            <w:tcW w:w="2680" w:type="dxa"/>
            <w:vAlign w:val="bottom"/>
            <w:shd w:val="clear" w:color="auto" w:fill="CCEEFF"/>
          </w:tcPr>
          <w:p>
            <w:pPr>
              <w:ind w:left="400"/>
              <w:spacing w:after="0" w:line="144" w:lineRule="exact"/>
              <w:rPr>
                <w:sz w:val="20"/>
                <w:szCs w:val="20"/>
                <w:color w:val="auto"/>
              </w:rPr>
            </w:pPr>
            <w:r>
              <w:rPr>
                <w:rFonts w:ascii="Times New Roman" w:cs="Times New Roman" w:eastAsia="Times New Roman" w:hAnsi="Times New Roman"/>
                <w:sz w:val="13"/>
                <w:szCs w:val="13"/>
                <w:color w:val="auto"/>
              </w:rPr>
              <w:t>Charlottesville, VA</w:t>
            </w:r>
          </w:p>
        </w:tc>
        <w:tc>
          <w:tcPr>
            <w:tcW w:w="74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40,926</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99"/>
              <w:spacing w:after="0" w:line="144" w:lineRule="exact"/>
              <w:rPr>
                <w:sz w:val="20"/>
                <w:szCs w:val="20"/>
                <w:color w:val="auto"/>
              </w:rPr>
            </w:pPr>
            <w:r>
              <w:rPr>
                <w:rFonts w:ascii="Times New Roman" w:cs="Times New Roman" w:eastAsia="Times New Roman" w:hAnsi="Times New Roman"/>
                <w:sz w:val="13"/>
                <w:szCs w:val="13"/>
                <w:color w:val="auto"/>
              </w:rPr>
              <w:t>3,999</w:t>
            </w:r>
          </w:p>
        </w:tc>
        <w:tc>
          <w:tcPr>
            <w:tcW w:w="460" w:type="dxa"/>
            <w:vAlign w:val="bottom"/>
            <w:shd w:val="clear" w:color="auto" w:fill="CCEEFF"/>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169,000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98%</w:t>
            </w:r>
          </w:p>
        </w:tc>
        <w:tc>
          <w:tcPr>
            <w:tcW w:w="6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180" w:type="dxa"/>
            <w:vAlign w:val="bottom"/>
            <w:shd w:val="clear" w:color="auto" w:fill="CCEEFF"/>
          </w:tcPr>
          <w:p>
            <w:pPr>
              <w:ind w:left="60"/>
              <w:spacing w:after="0" w:line="144" w:lineRule="exact"/>
              <w:rPr>
                <w:sz w:val="20"/>
                <w:szCs w:val="20"/>
                <w:color w:val="auto"/>
              </w:rPr>
            </w:pPr>
            <w:r>
              <w:rPr>
                <w:rFonts w:ascii="Times New Roman" w:cs="Times New Roman" w:eastAsia="Times New Roman" w:hAnsi="Times New Roman"/>
                <w:sz w:val="13"/>
                <w:szCs w:val="13"/>
                <w:color w:val="auto"/>
              </w:rPr>
              <w:t>HomeGoods / DSW / Stein Mart /</w:t>
            </w:r>
          </w:p>
        </w:tc>
      </w:tr>
      <w:tr>
        <w:trPr>
          <w:trHeight w:val="180"/>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Staples</w:t>
            </w:r>
          </w:p>
        </w:tc>
      </w:tr>
      <w:tr>
        <w:trPr>
          <w:trHeight w:val="144"/>
        </w:trPr>
        <w:tc>
          <w:tcPr>
            <w:tcW w:w="820" w:type="dxa"/>
            <w:vAlign w:val="bottom"/>
            <w:gridSpan w:val="4"/>
          </w:tcPr>
          <w:p>
            <w:pPr>
              <w:ind w:left="40"/>
              <w:spacing w:after="0" w:line="144" w:lineRule="exact"/>
              <w:rPr>
                <w:sz w:val="20"/>
                <w:szCs w:val="20"/>
                <w:color w:val="auto"/>
              </w:rPr>
            </w:pPr>
            <w:r>
              <w:rPr>
                <w:rFonts w:ascii="Times New Roman" w:cs="Times New Roman" w:eastAsia="Times New Roman" w:hAnsi="Times New Roman"/>
                <w:sz w:val="13"/>
                <w:szCs w:val="13"/>
                <w:color w:val="auto"/>
              </w:rPr>
              <w:t>Willow Lawn</w:t>
            </w:r>
          </w:p>
        </w:tc>
        <w:tc>
          <w:tcPr>
            <w:tcW w:w="2680" w:type="dxa"/>
            <w:vAlign w:val="bottom"/>
          </w:tcPr>
          <w:p>
            <w:pPr>
              <w:ind w:left="400"/>
              <w:spacing w:after="0" w:line="144" w:lineRule="exact"/>
              <w:rPr>
                <w:sz w:val="20"/>
                <w:szCs w:val="20"/>
                <w:color w:val="auto"/>
              </w:rPr>
            </w:pPr>
            <w:r>
              <w:rPr>
                <w:rFonts w:ascii="Times New Roman" w:cs="Times New Roman" w:eastAsia="Times New Roman" w:hAnsi="Times New Roman"/>
                <w:sz w:val="13"/>
                <w:szCs w:val="13"/>
                <w:color w:val="auto"/>
              </w:rPr>
              <w:t>Richmond, VA</w:t>
            </w:r>
          </w:p>
        </w:tc>
        <w:tc>
          <w:tcPr>
            <w:tcW w:w="74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103,807</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ind w:right="57"/>
              <w:spacing w:after="0" w:line="144"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2"/>
                <w:szCs w:val="12"/>
                <w:color w:val="auto"/>
              </w:rPr>
            </w:pPr>
          </w:p>
        </w:tc>
        <w:tc>
          <w:tcPr>
            <w:tcW w:w="700" w:type="dxa"/>
            <w:vAlign w:val="bottom"/>
          </w:tcPr>
          <w:p>
            <w:pPr>
              <w:jc w:val="right"/>
              <w:ind w:right="37"/>
              <w:spacing w:after="0" w:line="144" w:lineRule="exact"/>
              <w:rPr>
                <w:sz w:val="20"/>
                <w:szCs w:val="20"/>
                <w:color w:val="auto"/>
              </w:rPr>
            </w:pPr>
            <w:r>
              <w:rPr>
                <w:rFonts w:ascii="Times New Roman" w:cs="Times New Roman" w:eastAsia="Times New Roman" w:hAnsi="Times New Roman"/>
                <w:sz w:val="13"/>
                <w:szCs w:val="13"/>
                <w:color w:val="auto"/>
              </w:rPr>
              <w:t>464,000</w:t>
            </w:r>
          </w:p>
        </w:tc>
        <w:tc>
          <w:tcPr>
            <w:tcW w:w="120" w:type="dxa"/>
            <w:vAlign w:val="bottom"/>
          </w:tcPr>
          <w:p>
            <w:pPr>
              <w:spacing w:after="0"/>
              <w:rPr>
                <w:sz w:val="12"/>
                <w:szCs w:val="12"/>
                <w:color w:val="auto"/>
              </w:rPr>
            </w:pPr>
          </w:p>
        </w:tc>
        <w:tc>
          <w:tcPr>
            <w:tcW w:w="5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99%</w:t>
            </w:r>
          </w:p>
        </w:tc>
        <w:tc>
          <w:tcPr>
            <w:tcW w:w="680" w:type="dxa"/>
            <w:vAlign w:val="bottom"/>
          </w:tcPr>
          <w:p>
            <w:pPr>
              <w:spacing w:after="0"/>
              <w:rPr>
                <w:sz w:val="12"/>
                <w:szCs w:val="12"/>
                <w:color w:val="auto"/>
              </w:rPr>
            </w:pPr>
          </w:p>
        </w:tc>
        <w:tc>
          <w:tcPr>
            <w:tcW w:w="5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66,000</w:t>
            </w:r>
          </w:p>
        </w:tc>
        <w:tc>
          <w:tcPr>
            <w:tcW w:w="8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Kroger</w:t>
            </w:r>
          </w:p>
        </w:tc>
        <w:tc>
          <w:tcPr>
            <w:tcW w:w="21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w w:val="99"/>
              </w:rPr>
              <w:t>Old Navy / Ross Dress For Less / Gold's</w:t>
            </w:r>
          </w:p>
        </w:tc>
      </w:tr>
      <w:tr>
        <w:trPr>
          <w:trHeight w:val="174"/>
        </w:trPr>
        <w:tc>
          <w:tcPr>
            <w:tcW w:w="4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6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1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Gym / Dick's Sporting Goods</w:t>
            </w:r>
          </w:p>
        </w:tc>
      </w:tr>
      <w:tr>
        <w:trPr>
          <w:trHeight w:val="173"/>
        </w:trPr>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Total Other</w:t>
            </w: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312,159</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1,901,000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6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6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r>
      <w:tr>
        <w:trPr>
          <w:trHeight w:val="162"/>
        </w:trPr>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r>
      <w:tr>
        <w:trPr>
          <w:trHeight w:val="167"/>
        </w:trPr>
        <w:tc>
          <w:tcPr>
            <w:tcW w:w="8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Grand Total</w:t>
            </w:r>
          </w:p>
        </w:tc>
        <w:tc>
          <w:tcPr>
            <w:tcW w:w="26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7"/>
              </w:rPr>
              <w:t>$ 7,927,423</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b w:val="1"/>
                <w:bCs w:val="1"/>
                <w:color w:val="auto"/>
              </w:rPr>
              <w:t>524,327</w:t>
            </w:r>
          </w:p>
        </w:tc>
        <w:tc>
          <w:tcPr>
            <w:tcW w:w="4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1,945</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9"/>
              </w:rPr>
              <w:t>23,868,000</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94%</w:t>
            </w:r>
          </w:p>
        </w:tc>
        <w:tc>
          <w:tcPr>
            <w:tcW w:w="6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2,669</w:t>
            </w:r>
          </w:p>
        </w:tc>
        <w:tc>
          <w:tcPr>
            <w:tcW w:w="5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r>
      <w:tr>
        <w:trPr>
          <w:trHeight w:val="97"/>
        </w:trPr>
        <w:tc>
          <w:tcPr>
            <w:tcW w:w="4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280" w:type="dxa"/>
            <w:vAlign w:val="bottom"/>
            <w:tcBorders>
              <w:bottom w:val="single" w:sz="8" w:color="auto"/>
            </w:tcBorders>
            <w:shd w:val="clear" w:color="auto" w:fill="CCEEFF"/>
          </w:tcPr>
          <w:p>
            <w:pPr>
              <w:spacing w:after="0"/>
              <w:rPr>
                <w:sz w:val="8"/>
                <w:szCs w:val="8"/>
                <w:color w:val="auto"/>
              </w:rPr>
            </w:pPr>
          </w:p>
        </w:tc>
        <w:tc>
          <w:tcPr>
            <w:tcW w:w="2680" w:type="dxa"/>
            <w:vAlign w:val="bottom"/>
            <w:tcBorders>
              <w:bottom w:val="single" w:sz="8" w:color="auto"/>
            </w:tcBorders>
            <w:shd w:val="clear" w:color="auto" w:fill="CCEEFF"/>
          </w:tcPr>
          <w:p>
            <w:pPr>
              <w:spacing w:after="0"/>
              <w:rPr>
                <w:sz w:val="8"/>
                <w:szCs w:val="8"/>
                <w:color w:val="auto"/>
              </w:rPr>
            </w:pPr>
          </w:p>
        </w:tc>
        <w:tc>
          <w:tcPr>
            <w:tcW w:w="740" w:type="dxa"/>
            <w:vAlign w:val="bottom"/>
            <w:tcBorders>
              <w:bottom w:val="single" w:sz="8" w:color="auto"/>
            </w:tcBorders>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88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7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spacing w:after="0"/>
              <w:rPr>
                <w:sz w:val="8"/>
                <w:szCs w:val="8"/>
                <w:color w:val="auto"/>
              </w:rPr>
            </w:pPr>
          </w:p>
        </w:tc>
        <w:tc>
          <w:tcPr>
            <w:tcW w:w="2180" w:type="dxa"/>
            <w:vAlign w:val="bottom"/>
            <w:tcBorders>
              <w:bottom w:val="single" w:sz="8" w:color="auto"/>
            </w:tcBorders>
            <w:shd w:val="clear" w:color="auto" w:fill="CCEEFF"/>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u w:val="single" w:color="auto"/>
          <w:color w:val="auto"/>
        </w:rPr>
        <w:t>Notes:</w:t>
      </w:r>
    </w:p>
    <w:p>
      <w:pPr>
        <w:spacing w:after="0" w:line="52" w:lineRule="exact"/>
        <w:rPr>
          <w:sz w:val="20"/>
          <w:szCs w:val="20"/>
          <w:color w:val="auto"/>
        </w:rPr>
      </w:pPr>
    </w:p>
    <w:p>
      <w:pPr>
        <w:ind w:left="660" w:hanging="571"/>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"Finance lease right of use assets."</w:t>
      </w:r>
    </w:p>
    <w:p>
      <w:pPr>
        <w:spacing w:after="0" w:line="41" w:lineRule="exact"/>
        <w:rPr>
          <w:rFonts w:ascii="Times New Roman" w:cs="Times New Roman" w:eastAsia="Times New Roman" w:hAnsi="Times New Roman"/>
          <w:sz w:val="14"/>
          <w:szCs w:val="14"/>
          <w:color w:val="auto"/>
        </w:rPr>
      </w:pPr>
    </w:p>
    <w:p>
      <w:pPr>
        <w:ind w:left="660" w:right="200" w:hanging="571"/>
        <w:spacing w:after="0" w:line="241"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mortgage or finance lease liabilities differ from the total reported on the consolidated balance sheet due to the unamortized discount, premium, and/or debt issuance costs on certain mortgages payable.</w:t>
      </w:r>
    </w:p>
    <w:p>
      <w:pPr>
        <w:spacing w:after="0" w:line="27" w:lineRule="exact"/>
        <w:rPr>
          <w:rFonts w:ascii="Times New Roman" w:cs="Times New Roman" w:eastAsia="Times New Roman" w:hAnsi="Times New Roman"/>
          <w:sz w:val="14"/>
          <w:szCs w:val="14"/>
          <w:color w:val="auto"/>
        </w:rPr>
      </w:pPr>
    </w:p>
    <w:p>
      <w:pPr>
        <w:ind w:left="660" w:right="460" w:hanging="571"/>
        <w:spacing w:after="0" w:line="241"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p>
      <w:pPr>
        <w:spacing w:after="0" w:line="27"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 has a controlling financial interest in this property.</w:t>
      </w:r>
    </w:p>
    <w:p>
      <w:pPr>
        <w:spacing w:after="0" w:line="41"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February 8, 2019, we acquired the fee interest in this property for $22.5 million. The property is located in Fairfax, Virginia.</w:t>
      </w:r>
    </w:p>
    <w:p>
      <w:pPr>
        <w:spacing w:after="0" w:line="41" w:lineRule="exact"/>
        <w:rPr>
          <w:rFonts w:ascii="Times New Roman" w:cs="Times New Roman" w:eastAsia="Times New Roman" w:hAnsi="Times New Roman"/>
          <w:sz w:val="14"/>
          <w:szCs w:val="14"/>
          <w:color w:val="auto"/>
        </w:rPr>
      </w:pPr>
    </w:p>
    <w:p>
      <w:pPr>
        <w:ind w:left="660" w:right="480" w:hanging="571"/>
        <w:spacing w:after="0" w:line="241"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the property is owned in a "downREIT" partnership, of which a wholly owned subsidiary of the Trust is the sole general partner, with third party partners holding operating partnership units.</w:t>
      </w:r>
    </w:p>
    <w:p>
      <w:pPr>
        <w:spacing w:after="0" w:line="27"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 of property is currently under development. See further discussion in the Assembly Row and Pike &amp; Rose schedules.</w:t>
      </w:r>
    </w:p>
    <w:p>
      <w:pPr>
        <w:spacing w:after="0" w:line="41"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the property is subject to finance lease liabilities.</w:t>
      </w:r>
    </w:p>
    <w:p>
      <w:pPr>
        <w:spacing w:after="0" w:line="41" w:lineRule="exact"/>
        <w:rPr>
          <w:rFonts w:ascii="Times New Roman" w:cs="Times New Roman" w:eastAsia="Times New Roman" w:hAnsi="Times New Roman"/>
          <w:sz w:val="14"/>
          <w:szCs w:val="14"/>
          <w:color w:val="auto"/>
        </w:rPr>
      </w:pPr>
    </w:p>
    <w:p>
      <w:pPr>
        <w:ind w:left="660" w:hanging="571"/>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property includes interests in five buildings in addition to our initial acquisition.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2019 Property Dispositions</w:t>
            </w:r>
          </w:p>
        </w:tc>
        <w:tc>
          <w:tcPr>
            <w:tcW w:w="15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1"/>
        </w:trPr>
        <w:tc>
          <w:tcPr>
            <w:tcW w:w="40" w:type="dxa"/>
            <w:vAlign w:val="bottom"/>
            <w:tcBorders>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40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jc w:val="right"/>
              <w:ind w:right="5348"/>
              <w:spacing w:after="0"/>
              <w:rPr>
                <w:sz w:val="20"/>
                <w:szCs w:val="20"/>
                <w:color w:val="auto"/>
              </w:rPr>
            </w:pPr>
            <w:r>
              <w:rPr>
                <w:rFonts w:ascii="Times New Roman" w:cs="Times New Roman" w:eastAsia="Times New Roman" w:hAnsi="Times New Roman"/>
                <w:sz w:val="14"/>
                <w:szCs w:val="14"/>
                <w:b w:val="1"/>
                <w:bCs w:val="1"/>
                <w:color w:val="auto"/>
              </w:rPr>
              <w:t>Sales Price</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120" w:type="dxa"/>
            <w:vAlign w:val="bottom"/>
          </w:tcPr>
          <w:p>
            <w:pPr>
              <w:jc w:val="right"/>
              <w:ind w:right="5308"/>
              <w:spacing w:after="0"/>
              <w:rPr>
                <w:sz w:val="20"/>
                <w:szCs w:val="20"/>
                <w:color w:val="auto"/>
              </w:rPr>
            </w:pPr>
            <w:r>
              <w:rPr>
                <w:rFonts w:ascii="Times New Roman" w:cs="Times New Roman" w:eastAsia="Times New Roman" w:hAnsi="Times New Roman"/>
                <w:sz w:val="14"/>
                <w:szCs w:val="14"/>
                <w:color w:val="auto"/>
              </w:rPr>
              <w:t>(in millions)</w:t>
            </w:r>
          </w:p>
        </w:tc>
        <w:tc>
          <w:tcPr>
            <w:tcW w:w="0" w:type="dxa"/>
            <w:vAlign w:val="bottom"/>
          </w:tcPr>
          <w:p>
            <w:pPr>
              <w:spacing w:after="0"/>
              <w:rPr>
                <w:sz w:val="1"/>
                <w:szCs w:val="1"/>
                <w:color w:val="auto"/>
              </w:rPr>
            </w:pPr>
          </w:p>
        </w:tc>
      </w:tr>
      <w:tr>
        <w:trPr>
          <w:trHeight w:val="158"/>
        </w:trPr>
        <w:tc>
          <w:tcPr>
            <w:tcW w:w="40" w:type="dxa"/>
            <w:vAlign w:val="bottom"/>
            <w:shd w:val="clear" w:color="auto" w:fill="CCEEFF"/>
          </w:tcPr>
          <w:p>
            <w:pPr>
              <w:spacing w:after="0"/>
              <w:rPr>
                <w:sz w:val="13"/>
                <w:szCs w:val="13"/>
                <w:color w:val="auto"/>
              </w:rPr>
            </w:pPr>
          </w:p>
        </w:tc>
        <w:tc>
          <w:tcPr>
            <w:tcW w:w="18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May 28, 2019</w:t>
            </w:r>
          </w:p>
        </w:tc>
        <w:tc>
          <w:tcPr>
            <w:tcW w:w="1520" w:type="dxa"/>
            <w:vAlign w:val="bottom"/>
            <w:shd w:val="clear" w:color="auto" w:fill="CCEEFF"/>
          </w:tcPr>
          <w:p>
            <w:pPr>
              <w:ind w:left="140"/>
              <w:spacing w:after="0" w:line="158" w:lineRule="exact"/>
              <w:rPr>
                <w:sz w:val="20"/>
                <w:szCs w:val="20"/>
                <w:color w:val="auto"/>
              </w:rPr>
            </w:pPr>
            <w:r>
              <w:rPr>
                <w:rFonts w:ascii="Times New Roman" w:cs="Times New Roman" w:eastAsia="Times New Roman" w:hAnsi="Times New Roman"/>
                <w:sz w:val="14"/>
                <w:szCs w:val="14"/>
                <w:color w:val="auto"/>
              </w:rPr>
              <w:t>Free State Shopping</w:t>
            </w:r>
          </w:p>
        </w:tc>
        <w:tc>
          <w:tcPr>
            <w:tcW w:w="154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Bowie, Maryland</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120" w:type="dxa"/>
            <w:vAlign w:val="bottom"/>
            <w:vMerge w:val="restart"/>
            <w:shd w:val="clear" w:color="auto" w:fill="CCEEFF"/>
          </w:tcPr>
          <w:p>
            <w:pPr>
              <w:jc w:val="right"/>
              <w:ind w:right="5268"/>
              <w:spacing w:after="0"/>
              <w:rPr>
                <w:sz w:val="20"/>
                <w:szCs w:val="20"/>
                <w:color w:val="auto"/>
              </w:rPr>
            </w:pPr>
            <w:r>
              <w:rPr>
                <w:rFonts w:ascii="Times New Roman" w:cs="Times New Roman" w:eastAsia="Times New Roman" w:hAnsi="Times New Roman"/>
                <w:sz w:val="14"/>
                <w:szCs w:val="14"/>
                <w:color w:val="auto"/>
              </w:rPr>
              <w:t>72.0</w:t>
            </w:r>
          </w:p>
        </w:tc>
        <w:tc>
          <w:tcPr>
            <w:tcW w:w="0" w:type="dxa"/>
            <w:vAlign w:val="bottom"/>
          </w:tcPr>
          <w:p>
            <w:pPr>
              <w:spacing w:after="0"/>
              <w:rPr>
                <w:sz w:val="1"/>
                <w:szCs w:val="1"/>
                <w:color w:val="auto"/>
              </w:rPr>
            </w:pPr>
          </w:p>
        </w:tc>
      </w:tr>
      <w:tr>
        <w:trPr>
          <w:trHeight w:val="198"/>
        </w:trPr>
        <w:tc>
          <w:tcPr>
            <w:tcW w:w="40" w:type="dxa"/>
            <w:vAlign w:val="bottom"/>
            <w:shd w:val="clear" w:color="auto" w:fill="CCEEFF"/>
          </w:tcPr>
          <w:p>
            <w:pPr>
              <w:spacing w:after="0"/>
              <w:rPr>
                <w:sz w:val="17"/>
                <w:szCs w:val="17"/>
                <w:color w:val="auto"/>
              </w:rPr>
            </w:pPr>
          </w:p>
        </w:tc>
        <w:tc>
          <w:tcPr>
            <w:tcW w:w="1800" w:type="dxa"/>
            <w:vAlign w:val="bottom"/>
            <w:gridSpan w:val="2"/>
            <w:vMerge w:val="continue"/>
            <w:shd w:val="clear" w:color="auto" w:fill="CCEEFF"/>
          </w:tcPr>
          <w:p>
            <w:pPr>
              <w:spacing w:after="0"/>
              <w:rPr>
                <w:sz w:val="17"/>
                <w:szCs w:val="17"/>
                <w:color w:val="auto"/>
              </w:rPr>
            </w:pPr>
          </w:p>
        </w:tc>
        <w:tc>
          <w:tcPr>
            <w:tcW w:w="1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Center</w:t>
            </w:r>
          </w:p>
        </w:tc>
        <w:tc>
          <w:tcPr>
            <w:tcW w:w="1540" w:type="dxa"/>
            <w:vAlign w:val="bottom"/>
            <w:vMerge w:val="continue"/>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6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May 29, 2019</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Northeast (Parcel)</w:t>
            </w:r>
          </w:p>
        </w:tc>
        <w:tc>
          <w:tcPr>
            <w:tcW w:w="1540" w:type="dxa"/>
            <w:vAlign w:val="bottom"/>
          </w:tcPr>
          <w:p>
            <w:pPr>
              <w:ind w:left="220"/>
              <w:spacing w:after="0" w:line="153" w:lineRule="exact"/>
              <w:rPr>
                <w:sz w:val="20"/>
                <w:szCs w:val="20"/>
                <w:color w:val="auto"/>
              </w:rPr>
            </w:pPr>
            <w:r>
              <w:rPr>
                <w:rFonts w:ascii="Times New Roman" w:cs="Times New Roman" w:eastAsia="Times New Roman" w:hAnsi="Times New Roman"/>
                <w:sz w:val="14"/>
                <w:szCs w:val="14"/>
                <w:color w:val="auto"/>
              </w:rPr>
              <w:t>Philadelphia,</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120" w:type="dxa"/>
            <w:vAlign w:val="bottom"/>
            <w:vMerge w:val="restart"/>
          </w:tcPr>
          <w:p>
            <w:pPr>
              <w:jc w:val="right"/>
              <w:ind w:right="526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Pennsylvania</w:t>
            </w:r>
          </w:p>
        </w:tc>
        <w:tc>
          <w:tcPr>
            <w:tcW w:w="400" w:type="dxa"/>
            <w:vAlign w:val="bottom"/>
            <w:vMerge w:val="continue"/>
          </w:tcPr>
          <w:p>
            <w:pPr>
              <w:spacing w:after="0"/>
              <w:rPr>
                <w:sz w:val="16"/>
                <w:szCs w:val="16"/>
                <w:color w:val="auto"/>
              </w:rPr>
            </w:pPr>
          </w:p>
        </w:tc>
        <w:tc>
          <w:tcPr>
            <w:tcW w:w="6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5" w:right="23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745" w:right="239" w:bottom="1440" w:gutter="0" w:footer="0" w:header="0"/>
          <w:type w:val="continuous"/>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Retail Leasing Summary (1)</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June 30, 2019</w:t>
      </w: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40" w:type="dxa"/>
            <w:vAlign w:val="bottom"/>
          </w:tcPr>
          <w:p>
            <w:pPr>
              <w:spacing w:after="0"/>
              <w:rPr>
                <w:sz w:val="11"/>
                <w:szCs w:val="11"/>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(4) Per Sq.</w:t>
            </w:r>
          </w:p>
        </w:tc>
        <w:tc>
          <w:tcPr>
            <w:tcW w:w="10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40" w:type="dxa"/>
            <w:vAlign w:val="bottom"/>
          </w:tcPr>
          <w:p>
            <w:pPr>
              <w:spacing w:after="0"/>
              <w:rPr>
                <w:sz w:val="10"/>
                <w:szCs w:val="10"/>
                <w:color w:val="auto"/>
              </w:rPr>
            </w:pPr>
          </w:p>
        </w:tc>
      </w:tr>
      <w:tr>
        <w:trPr>
          <w:trHeight w:val="142"/>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2019</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378,756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42.68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$ 39.75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1,109,393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12,545,948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33.12</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2019</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247,331</w:t>
            </w:r>
          </w:p>
        </w:tc>
        <w:tc>
          <w:tcPr>
            <w:tcW w:w="12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45.07</w:t>
            </w: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w w:val="99"/>
              </w:rPr>
              <w:t>$ 41.03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1,000,716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3"/>
                <w:szCs w:val="23"/>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7.7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13,596,205</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54.97</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75"/>
        </w:trPr>
        <w:tc>
          <w:tcPr>
            <w:tcW w:w="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2018</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573,923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32.16</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$ 27.96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2,409,987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14,280,002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24.88</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0" w:type="dxa"/>
            <w:vAlign w:val="bottom"/>
            <w:tcBorders>
              <w:bottom w:val="single" w:sz="8" w:color="CCEEFF"/>
            </w:tcBorders>
          </w:tcPr>
          <w:p>
            <w:pPr>
              <w:spacing w:after="0"/>
              <w:rPr>
                <w:sz w:val="23"/>
                <w:szCs w:val="23"/>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3rd Quarter 2018</w:t>
            </w:r>
          </w:p>
        </w:tc>
        <w:tc>
          <w:tcPr>
            <w:tcW w:w="2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447,765</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38.31</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9"/>
              </w:rPr>
              <w:t>$ 36.22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938,618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11,600,019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25.91</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9"/>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382</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1,647,775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38.19</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$ 34.87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5,458,714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52,022,174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31.57</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29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New Lease Summary - Comparable (2)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3"/>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(4) Per Sq.</w:t>
            </w:r>
          </w:p>
        </w:tc>
        <w:tc>
          <w:tcPr>
            <w:tcW w:w="10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40" w:type="dxa"/>
            <w:vAlign w:val="bottom"/>
          </w:tcPr>
          <w:p>
            <w:pPr>
              <w:spacing w:after="0"/>
              <w:rPr>
                <w:sz w:val="10"/>
                <w:szCs w:val="10"/>
                <w:color w:val="auto"/>
              </w:rPr>
            </w:pPr>
          </w:p>
        </w:tc>
      </w:tr>
      <w:tr>
        <w:trPr>
          <w:trHeight w:val="142"/>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2019</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135,840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43.21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$ 37.07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833,706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12,059,702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88.78</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2019</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128,283</w:t>
            </w:r>
          </w:p>
        </w:tc>
        <w:tc>
          <w:tcPr>
            <w:tcW w:w="12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50.56</w:t>
            </w: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w w:val="99"/>
              </w:rPr>
              <w:t>$ 43.25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937,974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3"/>
                <w:szCs w:val="23"/>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13,443,495</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104.80</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75"/>
        </w:trPr>
        <w:tc>
          <w:tcPr>
            <w:tcW w:w="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2018</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237,691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33.94</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$ 25.16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2,086,574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13,537,346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56.95</w:t>
            </w:r>
          </w:p>
        </w:tc>
        <w:tc>
          <w:tcPr>
            <w:tcW w:w="3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5"/>
        </w:trPr>
        <w:tc>
          <w:tcPr>
            <w:tcW w:w="40" w:type="dxa"/>
            <w:vAlign w:val="bottom"/>
            <w:tcBorders>
              <w:bottom w:val="single" w:sz="8" w:color="CCEEFF"/>
            </w:tcBorders>
          </w:tcPr>
          <w:p>
            <w:pPr>
              <w:spacing w:after="0"/>
              <w:rPr>
                <w:sz w:val="23"/>
                <w:szCs w:val="23"/>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3rd Quarter 2018</w:t>
            </w:r>
          </w:p>
        </w:tc>
        <w:tc>
          <w:tcPr>
            <w:tcW w:w="2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151,703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43.71</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9"/>
              </w:rPr>
              <w:t>$ 38.82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741,449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11,219,487</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73.96</w:t>
            </w:r>
          </w:p>
        </w:tc>
        <w:tc>
          <w:tcPr>
            <w:tcW w:w="3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69"/>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653,517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41.40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$ 34.36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4,599,703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50,260,030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76.91</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294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Renewal Lease Summary - Comparable (2) (8)</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3"/>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5"/>
              </w:rPr>
              <w:t>% of</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Prior Rent</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Cash Basis %</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Leases</w:t>
            </w:r>
          </w:p>
        </w:tc>
        <w:tc>
          <w:tcPr>
            <w:tcW w:w="92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Comparable</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Rent (3) Per Sq.</w:t>
            </w: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(4) Per Sq.</w:t>
            </w:r>
          </w:p>
        </w:tc>
        <w:tc>
          <w:tcPr>
            <w:tcW w:w="1000" w:type="dxa"/>
            <w:vAlign w:val="bottom"/>
            <w:gridSpan w:val="3"/>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Annual Increase</w:t>
            </w:r>
          </w:p>
        </w:tc>
        <w:tc>
          <w:tcPr>
            <w:tcW w:w="9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Increase Over</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40" w:type="dxa"/>
            <w:vAlign w:val="bottom"/>
          </w:tcPr>
          <w:p>
            <w:pPr>
              <w:spacing w:after="0"/>
              <w:rPr>
                <w:sz w:val="10"/>
                <w:szCs w:val="10"/>
                <w:color w:val="auto"/>
              </w:rPr>
            </w:pPr>
          </w:p>
        </w:tc>
      </w:tr>
      <w:tr>
        <w:trPr>
          <w:trHeight w:val="142"/>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76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Leases Signed</w:t>
            </w: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1"/>
                <w:szCs w:val="11"/>
                <w:b w:val="1"/>
                <w:bCs w:val="1"/>
                <w:color w:val="auto"/>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Ft.</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Ft.</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in Rent</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Prior Rent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2019</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242,916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42.38</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$ 41.25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275,687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486,246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2.00</w:t>
            </w:r>
          </w:p>
        </w:tc>
        <w:tc>
          <w:tcPr>
            <w:tcW w:w="34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2019</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3"/>
                <w:szCs w:val="2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119,048</w:t>
            </w:r>
          </w:p>
        </w:tc>
        <w:tc>
          <w:tcPr>
            <w:tcW w:w="120" w:type="dxa"/>
            <w:vAlign w:val="bottom"/>
          </w:tcPr>
          <w:p>
            <w:pPr>
              <w:spacing w:after="0"/>
              <w:rPr>
                <w:sz w:val="23"/>
                <w:szCs w:val="23"/>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39.16</w:t>
            </w: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w w:val="99"/>
              </w:rPr>
              <w:t>$ 38.63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62,742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3"/>
                <w:szCs w:val="23"/>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152,710</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1.28</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w:t>
            </w:r>
          </w:p>
        </w:tc>
      </w:tr>
      <w:tr>
        <w:trPr>
          <w:trHeight w:val="275"/>
        </w:trPr>
        <w:tc>
          <w:tcPr>
            <w:tcW w:w="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2018</w:t>
            </w:r>
          </w:p>
        </w:tc>
        <w:tc>
          <w:tcPr>
            <w:tcW w:w="8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336,232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30.90</w:t>
            </w: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$ 29.93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323,413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742,656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2.21</w:t>
            </w:r>
          </w:p>
        </w:tc>
        <w:tc>
          <w:tcPr>
            <w:tcW w:w="340" w:type="dxa"/>
            <w:vAlign w:val="bottom"/>
            <w:shd w:val="clear" w:color="auto" w:fill="CCEEFF"/>
          </w:tcPr>
          <w:p>
            <w:pPr>
              <w:spacing w:after="0"/>
              <w:rPr>
                <w:sz w:val="23"/>
                <w:szCs w:val="23"/>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3rd Quarter 2018</w:t>
            </w:r>
          </w:p>
        </w:tc>
        <w:tc>
          <w:tcPr>
            <w:tcW w:w="22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Borders>
              <w:bottom w:val="single" w:sz="8" w:color="CCEEFF"/>
            </w:tcBorders>
          </w:tcPr>
          <w:p>
            <w:pPr>
              <w:spacing w:after="0"/>
              <w:rPr>
                <w:sz w:val="23"/>
                <w:szCs w:val="23"/>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296,062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35.55</w:t>
            </w: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9"/>
              </w:rPr>
              <w:t>$ 34.88</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197,169</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380,532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1.29</w:t>
            </w:r>
          </w:p>
        </w:tc>
        <w:tc>
          <w:tcPr>
            <w:tcW w:w="340" w:type="dxa"/>
            <w:vAlign w:val="bottom"/>
            <w:tcBorders>
              <w:bottom w:val="single" w:sz="8" w:color="auto"/>
            </w:tcBorders>
          </w:tcPr>
          <w:p>
            <w:pPr>
              <w:spacing w:after="0"/>
              <w:rPr>
                <w:sz w:val="23"/>
                <w:szCs w:val="23"/>
                <w:color w:val="auto"/>
              </w:rPr>
            </w:pPr>
          </w:p>
        </w:tc>
      </w:tr>
      <w:tr>
        <w:trPr>
          <w:trHeight w:val="242"/>
        </w:trPr>
        <w:tc>
          <w:tcPr>
            <w:tcW w:w="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994,258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36.08</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w w:val="99"/>
              </w:rPr>
              <w:t>$ 35.21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859,011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1,762,144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1.77</w:t>
            </w:r>
          </w:p>
        </w:tc>
        <w:tc>
          <w:tcPr>
            <w:tcW w:w="340" w:type="dxa"/>
            <w:vAlign w:val="bottom"/>
            <w:tcBorders>
              <w:bottom w:val="single" w:sz="8" w:color="auto"/>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9"/>
        </w:trPr>
        <w:tc>
          <w:tcPr>
            <w:tcW w:w="4780" w:type="dxa"/>
            <w:vAlign w:val="bottom"/>
            <w:gridSpan w:val="13"/>
          </w:tcPr>
          <w:p>
            <w:pPr>
              <w:ind w:left="40"/>
              <w:spacing w:after="0"/>
              <w:rPr>
                <w:sz w:val="20"/>
                <w:szCs w:val="20"/>
                <w:color w:val="auto"/>
              </w:rPr>
            </w:pPr>
            <w:r>
              <w:rPr>
                <w:rFonts w:ascii="Times New Roman" w:cs="Times New Roman" w:eastAsia="Times New Roman" w:hAnsi="Times New Roman"/>
                <w:sz w:val="14"/>
                <w:szCs w:val="14"/>
                <w:b w:val="1"/>
                <w:bCs w:val="1"/>
                <w:color w:val="auto"/>
              </w:rPr>
              <w:t>Total Lease Summary - Comparable and Non-comparable (2) (9)</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53"/>
        </w:trPr>
        <w:tc>
          <w:tcPr>
            <w:tcW w:w="40" w:type="dxa"/>
            <w:vAlign w:val="bottom"/>
          </w:tcPr>
          <w:p>
            <w:pPr>
              <w:spacing w:after="0"/>
              <w:rPr>
                <w:sz w:val="13"/>
                <w:szCs w:val="13"/>
                <w:color w:val="auto"/>
              </w:rPr>
            </w:pPr>
          </w:p>
        </w:tc>
        <w:tc>
          <w:tcPr>
            <w:tcW w:w="1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5"/>
              </w:rPr>
              <w:t>Tenant</w:t>
            </w:r>
          </w:p>
        </w:tc>
        <w:tc>
          <w:tcPr>
            <w:tcW w:w="340" w:type="dxa"/>
            <w:vAlign w:val="bottom"/>
          </w:tcPr>
          <w:p>
            <w:pPr>
              <w:spacing w:after="0"/>
              <w:rPr>
                <w:sz w:val="13"/>
                <w:szCs w:val="13"/>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Contractual</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Tenant</w:t>
            </w:r>
          </w:p>
        </w:tc>
        <w:tc>
          <w:tcPr>
            <w:tcW w:w="8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340" w:type="dxa"/>
            <w:vAlign w:val="bottom"/>
          </w:tcPr>
          <w:p>
            <w:pPr>
              <w:spacing w:after="0"/>
              <w:rPr>
                <w:sz w:val="10"/>
                <w:szCs w:val="10"/>
                <w:color w:val="auto"/>
              </w:rPr>
            </w:pPr>
          </w:p>
        </w:tc>
      </w:tr>
      <w:tr>
        <w:trPr>
          <w:trHeight w:val="122"/>
        </w:trPr>
        <w:tc>
          <w:tcPr>
            <w:tcW w:w="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of Leases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3"/>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Rent (3) Per Sq.</w:t>
            </w:r>
          </w:p>
        </w:tc>
        <w:tc>
          <w:tcPr>
            <w:tcW w:w="80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Improvements &amp;</w:t>
            </w:r>
          </w:p>
        </w:tc>
        <w:tc>
          <w:tcPr>
            <w:tcW w:w="88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Incentives Per Sq.</w:t>
            </w:r>
          </w:p>
        </w:tc>
        <w:tc>
          <w:tcPr>
            <w:tcW w:w="340" w:type="dxa"/>
            <w:vAlign w:val="bottom"/>
          </w:tcPr>
          <w:p>
            <w:pPr>
              <w:spacing w:after="0"/>
              <w:rPr>
                <w:sz w:val="10"/>
                <w:szCs w:val="10"/>
                <w:color w:val="auto"/>
              </w:rPr>
            </w:pPr>
          </w:p>
        </w:tc>
      </w:tr>
      <w:tr>
        <w:trPr>
          <w:trHeight w:val="142"/>
        </w:trPr>
        <w:tc>
          <w:tcPr>
            <w:tcW w:w="40" w:type="dxa"/>
            <w:vAlign w:val="bottom"/>
          </w:tcPr>
          <w:p>
            <w:pPr>
              <w:spacing w:after="0"/>
              <w:rPr>
                <w:sz w:val="12"/>
                <w:szCs w:val="12"/>
                <w:color w:val="auto"/>
              </w:rPr>
            </w:pPr>
          </w:p>
        </w:tc>
        <w:tc>
          <w:tcPr>
            <w:tcW w:w="1920" w:type="dxa"/>
            <w:vAlign w:val="bottom"/>
          </w:tcPr>
          <w:p>
            <w:pPr>
              <w:jc w:val="right"/>
              <w:ind w:right="731"/>
              <w:spacing w:after="0"/>
              <w:rPr>
                <w:sz w:val="20"/>
                <w:szCs w:val="20"/>
                <w:color w:val="auto"/>
              </w:rPr>
            </w:pPr>
            <w:r>
              <w:rPr>
                <w:rFonts w:ascii="Times New Roman" w:cs="Times New Roman" w:eastAsia="Times New Roman" w:hAnsi="Times New Roman"/>
                <w:sz w:val="11"/>
                <w:szCs w:val="11"/>
                <w:b w:val="1"/>
                <w:bCs w:val="1"/>
                <w:color w:val="auto"/>
              </w:rPr>
              <w:t>Quarter</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4"/>
              </w:rPr>
              <w:t>Signed</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GLA Signed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Ft.</w:t>
            </w: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Incentives (6)</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Times New Roman" w:cs="Times New Roman" w:eastAsia="Times New Roman" w:hAnsi="Times New Roman"/>
                <w:sz w:val="11"/>
                <w:szCs w:val="11"/>
                <w:b w:val="1"/>
                <w:bCs w:val="1"/>
                <w:color w:val="auto"/>
                <w:w w:val="90"/>
              </w:rPr>
              <w:t>Ft.</w:t>
            </w:r>
          </w:p>
        </w:tc>
        <w:tc>
          <w:tcPr>
            <w:tcW w:w="340" w:type="dxa"/>
            <w:vAlign w:val="bottom"/>
          </w:tcPr>
          <w:p>
            <w:pPr>
              <w:spacing w:after="0"/>
              <w:rPr>
                <w:sz w:val="12"/>
                <w:szCs w:val="12"/>
                <w:color w:val="auto"/>
              </w:rPr>
            </w:pPr>
          </w:p>
        </w:tc>
      </w:tr>
      <w:tr>
        <w:trPr>
          <w:trHeight w:val="22"/>
        </w:trPr>
        <w:tc>
          <w:tcPr>
            <w:tcW w:w="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2nd Quarter 2019</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382,656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42.61</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12,852,603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33.59</w:t>
            </w:r>
          </w:p>
        </w:tc>
        <w:tc>
          <w:tcPr>
            <w:tcW w:w="340" w:type="dxa"/>
            <w:vAlign w:val="bottom"/>
            <w:shd w:val="clear" w:color="auto" w:fill="CCEEFF"/>
          </w:tcPr>
          <w:p>
            <w:pPr>
              <w:spacing w:after="0"/>
              <w:rPr>
                <w:sz w:val="22"/>
                <w:szCs w:val="22"/>
                <w:color w:val="auto"/>
              </w:rPr>
            </w:pPr>
          </w:p>
        </w:tc>
      </w:tr>
      <w:tr>
        <w:trPr>
          <w:trHeight w:val="265"/>
        </w:trPr>
        <w:tc>
          <w:tcPr>
            <w:tcW w:w="40" w:type="dxa"/>
            <w:vAlign w:val="bottom"/>
          </w:tcPr>
          <w:p>
            <w:pPr>
              <w:spacing w:after="0"/>
              <w:rPr>
                <w:sz w:val="23"/>
                <w:szCs w:val="23"/>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1st Quarter 2019</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305,724</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72"/>
              <w:spacing w:after="0"/>
              <w:rPr>
                <w:sz w:val="20"/>
                <w:szCs w:val="20"/>
                <w:color w:val="auto"/>
              </w:rPr>
            </w:pPr>
            <w:r>
              <w:rPr>
                <w:rFonts w:ascii="Times New Roman" w:cs="Times New Roman" w:eastAsia="Times New Roman" w:hAnsi="Times New Roman"/>
                <w:sz w:val="14"/>
                <w:szCs w:val="14"/>
                <w:color w:val="auto"/>
              </w:rPr>
              <w:t>43.28</w:t>
            </w:r>
          </w:p>
        </w:tc>
        <w:tc>
          <w:tcPr>
            <w:tcW w:w="100" w:type="dxa"/>
            <w:vAlign w:val="bottom"/>
          </w:tcPr>
          <w:p>
            <w:pPr>
              <w:spacing w:after="0"/>
              <w:rPr>
                <w:sz w:val="23"/>
                <w:szCs w:val="23"/>
                <w:color w:val="auto"/>
              </w:rPr>
            </w:pPr>
          </w:p>
        </w:tc>
        <w:tc>
          <w:tcPr>
            <w:tcW w:w="680" w:type="dxa"/>
            <w:vAlign w:val="bottom"/>
          </w:tcPr>
          <w:p>
            <w:pPr>
              <w:jc w:val="right"/>
              <w:ind w:right="36"/>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4"/>
                <w:szCs w:val="14"/>
                <w:color w:val="auto"/>
              </w:rPr>
              <w:t>14,529,265</w:t>
            </w:r>
          </w:p>
        </w:tc>
        <w:tc>
          <w:tcPr>
            <w:tcW w:w="120" w:type="dxa"/>
            <w:vAlign w:val="bottom"/>
          </w:tcPr>
          <w:p>
            <w:pPr>
              <w:spacing w:after="0"/>
              <w:rPr>
                <w:sz w:val="23"/>
                <w:szCs w:val="23"/>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4"/>
                <w:szCs w:val="14"/>
                <w:color w:val="auto"/>
              </w:rPr>
              <w:t>47.52</w:t>
            </w:r>
          </w:p>
        </w:tc>
        <w:tc>
          <w:tcPr>
            <w:tcW w:w="340" w:type="dxa"/>
            <w:vAlign w:val="bottom"/>
          </w:tcPr>
          <w:p>
            <w:pPr>
              <w:spacing w:after="0"/>
              <w:rPr>
                <w:sz w:val="23"/>
                <w:szCs w:val="23"/>
                <w:color w:val="auto"/>
              </w:rPr>
            </w:pPr>
          </w:p>
        </w:tc>
      </w:tr>
      <w:tr>
        <w:trPr>
          <w:trHeight w:val="275"/>
        </w:trPr>
        <w:tc>
          <w:tcPr>
            <w:tcW w:w="40" w:type="dxa"/>
            <w:vAlign w:val="bottom"/>
            <w:shd w:val="clear" w:color="auto" w:fill="CCEEFF"/>
          </w:tcPr>
          <w:p>
            <w:pPr>
              <w:spacing w:after="0"/>
              <w:rPr>
                <w:sz w:val="23"/>
                <w:szCs w:val="23"/>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4th Quarter 2018</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622,234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18,728,152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30.10</w:t>
            </w:r>
          </w:p>
        </w:tc>
        <w:tc>
          <w:tcPr>
            <w:tcW w:w="340" w:type="dxa"/>
            <w:vAlign w:val="bottom"/>
            <w:shd w:val="clear" w:color="auto" w:fill="CCEEFF"/>
          </w:tcPr>
          <w:p>
            <w:pPr>
              <w:spacing w:after="0"/>
              <w:rPr>
                <w:sz w:val="23"/>
                <w:szCs w:val="23"/>
                <w:color w:val="auto"/>
              </w:rPr>
            </w:pPr>
          </w:p>
        </w:tc>
      </w:tr>
      <w:tr>
        <w:trPr>
          <w:trHeight w:val="265"/>
        </w:trPr>
        <w:tc>
          <w:tcPr>
            <w:tcW w:w="40" w:type="dxa"/>
            <w:vAlign w:val="bottom"/>
            <w:tcBorders>
              <w:bottom w:val="single" w:sz="8" w:color="CCEEFF"/>
            </w:tcBorders>
          </w:tcPr>
          <w:p>
            <w:pPr>
              <w:spacing w:after="0"/>
              <w:rPr>
                <w:sz w:val="23"/>
                <w:szCs w:val="23"/>
                <w:color w:val="auto"/>
              </w:rPr>
            </w:pPr>
          </w:p>
        </w:tc>
        <w:tc>
          <w:tcPr>
            <w:tcW w:w="1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3rd Quarter 2018</w:t>
            </w:r>
          </w:p>
        </w:tc>
        <w:tc>
          <w:tcPr>
            <w:tcW w:w="22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101</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color w:val="auto"/>
              </w:rPr>
              <w:t>469,214</w:t>
            </w:r>
          </w:p>
        </w:tc>
        <w:tc>
          <w:tcPr>
            <w:tcW w:w="1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color w:val="auto"/>
              </w:rPr>
              <w:t>38.73</w:t>
            </w:r>
          </w:p>
        </w:tc>
        <w:tc>
          <w:tcPr>
            <w:tcW w:w="100" w:type="dxa"/>
            <w:vAlign w:val="bottom"/>
            <w:tcBorders>
              <w:bottom w:val="single" w:sz="8" w:color="CCEEFF"/>
            </w:tcBorders>
          </w:tcPr>
          <w:p>
            <w:pPr>
              <w:spacing w:after="0"/>
              <w:rPr>
                <w:sz w:val="23"/>
                <w:szCs w:val="23"/>
                <w:color w:val="auto"/>
              </w:rPr>
            </w:pPr>
          </w:p>
        </w:tc>
        <w:tc>
          <w:tcPr>
            <w:tcW w:w="6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rPr>
              <w:t>12,336,651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color w:val="auto"/>
              </w:rPr>
              <w:t>26.29</w:t>
            </w:r>
          </w:p>
        </w:tc>
        <w:tc>
          <w:tcPr>
            <w:tcW w:w="340" w:type="dxa"/>
            <w:vAlign w:val="bottom"/>
            <w:tcBorders>
              <w:bottom w:val="single" w:sz="8" w:color="auto"/>
            </w:tcBorders>
          </w:tcPr>
          <w:p>
            <w:pPr>
              <w:spacing w:after="0"/>
              <w:rPr>
                <w:sz w:val="23"/>
                <w:szCs w:val="23"/>
                <w:color w:val="auto"/>
              </w:rPr>
            </w:pPr>
          </w:p>
        </w:tc>
      </w:tr>
      <w:tr>
        <w:trPr>
          <w:trHeight w:val="269"/>
        </w:trPr>
        <w:tc>
          <w:tcPr>
            <w:tcW w:w="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Total - 12 months</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1,779,828</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rPr>
              <w:t>38.25</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58,446,671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32.84</w:t>
            </w:r>
          </w:p>
        </w:tc>
        <w:tc>
          <w:tcPr>
            <w:tcW w:w="340" w:type="dxa"/>
            <w:vAlign w:val="bottom"/>
            <w:tcBorders>
              <w:bottom w:val="single" w:sz="8" w:color="auto"/>
            </w:tcBorders>
            <w:shd w:val="clear" w:color="auto" w:fill="CCEEFF"/>
          </w:tcPr>
          <w:p>
            <w:pPr>
              <w:spacing w:after="0"/>
              <w:rPr>
                <w:sz w:val="23"/>
                <w:szCs w:val="23"/>
                <w:color w:val="auto"/>
              </w:rPr>
            </w:pPr>
          </w:p>
        </w:tc>
      </w:tr>
      <w:tr>
        <w:trPr>
          <w:trHeight w:val="20"/>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u w:val="single" w:color="auto"/>
          <w:color w:val="auto"/>
        </w:rPr>
        <w:t>Notes:</w:t>
      </w:r>
    </w:p>
    <w:p>
      <w:pPr>
        <w:spacing w:after="0" w:line="40" w:lineRule="exact"/>
        <w:rPr>
          <w:sz w:val="20"/>
          <w:szCs w:val="20"/>
          <w:color w:val="auto"/>
        </w:rPr>
      </w:pPr>
    </w:p>
    <w:p>
      <w:pPr>
        <w:ind w:left="620" w:hanging="585"/>
        <w:spacing w:after="0"/>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reflects activity in retail spaces only; office and residential spaces are not included.</w:t>
      </w:r>
    </w:p>
    <w:p>
      <w:pPr>
        <w:spacing w:after="0" w:line="39" w:lineRule="exact"/>
        <w:rPr>
          <w:rFonts w:ascii="Times New Roman" w:cs="Times New Roman" w:eastAsia="Times New Roman" w:hAnsi="Times New Roman"/>
          <w:sz w:val="13"/>
          <w:szCs w:val="13"/>
          <w:color w:val="auto"/>
        </w:rPr>
      </w:pPr>
    </w:p>
    <w:p>
      <w:pPr>
        <w:ind w:left="620" w:hanging="585"/>
        <w:spacing w:after="0"/>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Comparable leases represent those leases signed on spaces for which there was a former tenant.</w:t>
      </w:r>
    </w:p>
    <w:p>
      <w:pPr>
        <w:spacing w:after="0" w:line="39" w:lineRule="exact"/>
        <w:rPr>
          <w:rFonts w:ascii="Times New Roman" w:cs="Times New Roman" w:eastAsia="Times New Roman" w:hAnsi="Times New Roman"/>
          <w:sz w:val="13"/>
          <w:szCs w:val="13"/>
          <w:color w:val="auto"/>
        </w:rPr>
      </w:pPr>
    </w:p>
    <w:p>
      <w:pPr>
        <w:ind w:left="620" w:hanging="585"/>
        <w:spacing w:after="0"/>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Contractual rent represents contractual minimum rent under the new lease for the first 12 months of the term.</w:t>
      </w:r>
    </w:p>
    <w:p>
      <w:pPr>
        <w:spacing w:after="0" w:line="39" w:lineRule="exact"/>
        <w:rPr>
          <w:rFonts w:ascii="Times New Roman" w:cs="Times New Roman" w:eastAsia="Times New Roman" w:hAnsi="Times New Roman"/>
          <w:sz w:val="13"/>
          <w:szCs w:val="13"/>
          <w:color w:val="auto"/>
        </w:rPr>
      </w:pPr>
    </w:p>
    <w:p>
      <w:pPr>
        <w:ind w:left="620" w:hanging="585"/>
        <w:spacing w:after="0"/>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rent represents minimum rent and percentage rent, if any, paid by the prior tenant in the final 12 months of the term.</w:t>
      </w:r>
    </w:p>
    <w:p>
      <w:pPr>
        <w:spacing w:after="0" w:line="39" w:lineRule="exact"/>
        <w:rPr>
          <w:rFonts w:ascii="Times New Roman" w:cs="Times New Roman" w:eastAsia="Times New Roman" w:hAnsi="Times New Roman"/>
          <w:sz w:val="13"/>
          <w:szCs w:val="13"/>
          <w:color w:val="auto"/>
        </w:rPr>
      </w:pPr>
    </w:p>
    <w:p>
      <w:pPr>
        <w:ind w:left="620" w:hanging="585"/>
        <w:spacing w:after="0"/>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Weighted average is determined on the basis of contractual rent for the first 12 months of the term.</w:t>
      </w:r>
    </w:p>
    <w:p>
      <w:pPr>
        <w:spacing w:after="0" w:line="39" w:lineRule="exact"/>
        <w:rPr>
          <w:rFonts w:ascii="Times New Roman" w:cs="Times New Roman" w:eastAsia="Times New Roman" w:hAnsi="Times New Roman"/>
          <w:sz w:val="13"/>
          <w:szCs w:val="13"/>
          <w:color w:val="auto"/>
        </w:rPr>
      </w:pPr>
    </w:p>
    <w:p>
      <w:pPr>
        <w:ind w:left="620" w:hanging="585"/>
        <w:spacing w:after="0"/>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See Glossary of Terms.</w:t>
      </w:r>
    </w:p>
    <w:p>
      <w:pPr>
        <w:spacing w:after="0" w:line="39" w:lineRule="exact"/>
        <w:rPr>
          <w:rFonts w:ascii="Times New Roman" w:cs="Times New Roman" w:eastAsia="Times New Roman" w:hAnsi="Times New Roman"/>
          <w:sz w:val="13"/>
          <w:szCs w:val="13"/>
          <w:color w:val="auto"/>
        </w:rPr>
      </w:pPr>
    </w:p>
    <w:p>
      <w:pPr>
        <w:ind w:left="620" w:right="80" w:hanging="585"/>
        <w:spacing w:after="0" w:line="232" w:lineRule="auto"/>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Approximately $4.4 million ($10.25 per square foot) in 2nd Quarter 2019, $3.9 million ($9.59 per square foot) in 1st Quarter 2019, $4.1 million ($5.48 per square foot) in 4th Quarter 2018, and $1.7 million ($3.06 per square foot) in 3rd Quarter 2018 of the Tenant Improvements &amp; Incentives are for properties under active redevelopment and are included in either the Projected Cost for those properties on the Summary of Redevelopment Opportunities or was included in the cost to complete estimate at acquisition.</w:t>
      </w:r>
    </w:p>
    <w:p>
      <w:pPr>
        <w:spacing w:after="0" w:line="25" w:lineRule="exact"/>
        <w:rPr>
          <w:rFonts w:ascii="Times New Roman" w:cs="Times New Roman" w:eastAsia="Times New Roman" w:hAnsi="Times New Roman"/>
          <w:sz w:val="13"/>
          <w:szCs w:val="13"/>
          <w:color w:val="auto"/>
        </w:rPr>
      </w:pPr>
    </w:p>
    <w:p>
      <w:pPr>
        <w:ind w:left="620" w:hanging="585"/>
        <w:spacing w:after="0"/>
        <w:tabs>
          <w:tab w:leader="none" w:pos="6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Renewal leases represent expiring leases rolling over with the same tenant in the same location. All other leases are categorized as new.</w:t>
      </w:r>
    </w:p>
    <w:p>
      <w:pPr>
        <w:spacing w:after="0" w:line="39" w:lineRule="exact"/>
        <w:rPr>
          <w:rFonts w:ascii="Times New Roman" w:cs="Times New Roman" w:eastAsia="Times New Roman" w:hAnsi="Times New Roman"/>
          <w:sz w:val="13"/>
          <w:szCs w:val="13"/>
          <w:color w:val="auto"/>
        </w:rPr>
      </w:pPr>
    </w:p>
    <w:p>
      <w:pPr>
        <w:ind w:left="620" w:right="140" w:hanging="585"/>
        <w:spacing w:after="0" w:line="257" w:lineRule="auto"/>
        <w:tabs>
          <w:tab w:leader="none" w:pos="62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Leases Signed, GLA Signed, Contractual Rent Per Sq. Ft. and Weighted Average Lease Term columns include information for leases signed at Phase 2 of both of our Assembly Row and Pike &amp; Rose projects. The Tenant Improvements &amp; Incentives and Tenant Improvements &amp; Incentives Per Sq. Ft. columns do not include the tenant improvements and incentives on leases signed for those projects; these amounts for leases signed for Phase 2 of Assembly Row and Pike &amp; Rose are included in the Projected Cost column for those projects shown on the Assembly Row and Pike &amp; Rose schedule.</w:t>
      </w:r>
    </w:p>
    <w:p>
      <w:pPr>
        <w:sectPr>
          <w:pgSz w:w="11900" w:h="16838" w:orient="portrait"/>
          <w:cols w:equalWidth="0" w:num="1">
            <w:col w:w="11420"/>
          </w:cols>
          <w:pgMar w:left="240" w:top="758"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58" w:right="239" w:bottom="1440" w:gutter="0" w:footer="0" w:header="0"/>
          <w:type w:val="continuous"/>
        </w:sectPr>
      </w:pPr>
    </w:p>
    <w:bookmarkStart w:id="27" w:name="page28"/>
    <w:bookmarkEnd w:id="27"/>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282130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180340"/>
                    </a:xfrm>
                    <a:prstGeom prst="rect">
                      <a:avLst/>
                    </a:prstGeom>
                    <a:noFill/>
                  </pic:spPr>
                </pic:pic>
              </a:graphicData>
            </a:graphic>
          </wp:anchor>
        </w:drawing>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112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3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2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3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3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74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5"/>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49"/>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421,000</w:t>
            </w:r>
          </w:p>
        </w:tc>
        <w:tc>
          <w:tcPr>
            <w:tcW w:w="1200" w:type="dxa"/>
            <w:vAlign w:val="bottom"/>
            <w:tcBorders>
              <w:top w:val="single" w:sz="8" w:color="auto"/>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17.09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332,000</w:t>
            </w:r>
          </w:p>
        </w:tc>
        <w:tc>
          <w:tcPr>
            <w:tcW w:w="11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32.59</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753,000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23.92</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1,194,000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16.29</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910,000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38.77</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2,104,000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26.01</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1,693,000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22.67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849,000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43.44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29.61</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2,037,000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18.37</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961,000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42.81</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2,998,000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26.20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1,670,000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877,000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45.78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2,547,000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29.49</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2,419,000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17.52</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837,000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45.65</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3,257,000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24.75</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1,051,000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21.86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547,000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42.30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1,598,000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28.86</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591,000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26.16</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381,000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48.90</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971,000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35.07</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783,000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33.80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453,000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49.36</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39.50</w:t>
            </w:r>
          </w:p>
        </w:tc>
        <w:tc>
          <w:tcPr>
            <w:tcW w:w="0" w:type="dxa"/>
            <w:vAlign w:val="bottom"/>
          </w:tcPr>
          <w:p>
            <w:pPr>
              <w:spacing w:after="0"/>
              <w:rPr>
                <w:sz w:val="1"/>
                <w:szCs w:val="1"/>
                <w:color w:val="auto"/>
              </w:rPr>
            </w:pPr>
          </w:p>
        </w:tc>
      </w:tr>
      <w:tr>
        <w:trPr>
          <w:trHeight w:val="243"/>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762,000</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21.86</w:t>
            </w:r>
          </w:p>
        </w:tc>
        <w:tc>
          <w:tcPr>
            <w:tcW w:w="200" w:type="dxa"/>
            <w:vAlign w:val="bottom"/>
          </w:tcPr>
          <w:p>
            <w:pPr>
              <w:spacing w:after="0"/>
              <w:rPr>
                <w:sz w:val="21"/>
                <w:szCs w:val="21"/>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402,000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51.49</w:t>
            </w:r>
          </w:p>
        </w:tc>
        <w:tc>
          <w:tcPr>
            <w:tcW w:w="22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1,164,000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2,683,000</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20.84</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359,000</w:t>
            </w:r>
          </w:p>
        </w:tc>
        <w:tc>
          <w:tcPr>
            <w:tcW w:w="1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47.82</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3,041,000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24.02</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15,304,000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20.73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6,908,000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44.08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22,212,000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27.99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00" w:type="dxa"/>
            <w:vAlign w:val="bottom"/>
            <w:tcBorders>
              <w:left w:val="single" w:sz="8" w:color="auto"/>
            </w:tcBorders>
            <w:gridSpan w:val="3"/>
          </w:tcPr>
          <w:p>
            <w:pPr>
              <w:jc w:val="right"/>
              <w:ind w:right="497"/>
              <w:spacing w:after="0"/>
              <w:rPr>
                <w:sz w:val="20"/>
                <w:szCs w:val="20"/>
                <w:color w:val="auto"/>
              </w:rPr>
            </w:pPr>
            <w:r>
              <w:rPr>
                <w:rFonts w:ascii="Times New Roman" w:cs="Times New Roman" w:eastAsia="Times New Roman" w:hAnsi="Times New Roman"/>
                <w:sz w:val="16"/>
                <w:szCs w:val="16"/>
                <w:b w:val="1"/>
                <w:bCs w:val="1"/>
                <w:color w:val="auto"/>
              </w:rPr>
              <w:t>Assumes all lease options are exercised</w:t>
            </w:r>
          </w:p>
        </w:tc>
        <w:tc>
          <w:tcPr>
            <w:tcW w:w="24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2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4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4"/>
        </w:trPr>
        <w:tc>
          <w:tcPr>
            <w:tcW w:w="112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120" w:type="dxa"/>
            <w:vAlign w:val="bottom"/>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2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Anchor</w:t>
            </w:r>
          </w:p>
        </w:tc>
        <w:tc>
          <w:tcPr>
            <w:tcW w:w="13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260" w:type="dxa"/>
            <w:vAlign w:val="bottom"/>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Expiring SF</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Small</w:t>
            </w:r>
          </w:p>
        </w:tc>
        <w:tc>
          <w:tcPr>
            <w:tcW w:w="136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1340" w:type="dxa"/>
            <w:vAlign w:val="bottom"/>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Expiring SF (4)</w:t>
            </w:r>
          </w:p>
        </w:tc>
        <w:tc>
          <w:tcPr>
            <w:tcW w:w="740" w:type="dxa"/>
            <w:vAlign w:val="bottom"/>
          </w:tcPr>
          <w:p>
            <w:pPr>
              <w:jc w:val="right"/>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1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Minimum Rent</w:t>
            </w:r>
          </w:p>
        </w:tc>
        <w:tc>
          <w:tcPr>
            <w:tcW w:w="0" w:type="dxa"/>
            <w:vAlign w:val="bottom"/>
          </w:tcPr>
          <w:p>
            <w:pPr>
              <w:spacing w:after="0"/>
              <w:rPr>
                <w:sz w:val="1"/>
                <w:szCs w:val="1"/>
                <w:color w:val="auto"/>
              </w:rPr>
            </w:pPr>
          </w:p>
        </w:tc>
      </w:tr>
      <w:tr>
        <w:trPr>
          <w:trHeight w:val="195"/>
        </w:trPr>
        <w:tc>
          <w:tcPr>
            <w:tcW w:w="11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SF</w:t>
            </w:r>
          </w:p>
        </w:tc>
        <w:tc>
          <w:tcPr>
            <w:tcW w:w="2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Shop SF</w:t>
            </w:r>
          </w:p>
        </w:tc>
        <w:tc>
          <w:tcPr>
            <w:tcW w:w="24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PSF (2)</w:t>
            </w:r>
          </w:p>
        </w:tc>
        <w:tc>
          <w:tcPr>
            <w:tcW w:w="0" w:type="dxa"/>
            <w:vAlign w:val="bottom"/>
          </w:tcPr>
          <w:p>
            <w:pPr>
              <w:spacing w:after="0"/>
              <w:rPr>
                <w:sz w:val="1"/>
                <w:szCs w:val="1"/>
                <w:color w:val="auto"/>
              </w:rPr>
            </w:pPr>
          </w:p>
        </w:tc>
      </w:tr>
      <w:tr>
        <w:trPr>
          <w:trHeight w:val="235"/>
        </w:trPr>
        <w:tc>
          <w:tcPr>
            <w:tcW w:w="112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307,000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16.83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251,000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558,000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23.85</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273,000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17.21</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657,000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37.77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930,000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31.74</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462,000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21.11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34.52</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318,000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24.16</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569,000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42.53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887,000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35.95</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471,000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23.15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522,000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42.90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993,000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33.54</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634,000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22.45</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449,000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44.85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1,083,000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31.73</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375,000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21.93</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377,000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43.20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32.58</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501,000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27.82</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343,000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42.41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844,000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33.75</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2027</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19.51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46.84</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1,164,000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237"/>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612,000</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18.02</w:t>
            </w:r>
          </w:p>
        </w:tc>
        <w:tc>
          <w:tcPr>
            <w:tcW w:w="200" w:type="dxa"/>
            <w:vAlign w:val="bottom"/>
          </w:tcPr>
          <w:p>
            <w:pPr>
              <w:spacing w:after="0"/>
              <w:rPr>
                <w:sz w:val="20"/>
                <w:szCs w:val="20"/>
                <w:color w:val="auto"/>
              </w:rPr>
            </w:pPr>
          </w:p>
        </w:tc>
        <w:tc>
          <w:tcPr>
            <w:tcW w:w="12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409,000</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47.73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1,021,000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29.93</w:t>
            </w:r>
          </w:p>
        </w:tc>
        <w:tc>
          <w:tcPr>
            <w:tcW w:w="0" w:type="dxa"/>
            <w:vAlign w:val="bottom"/>
          </w:tcPr>
          <w:p>
            <w:pPr>
              <w:spacing w:after="0"/>
              <w:rPr>
                <w:sz w:val="1"/>
                <w:szCs w:val="1"/>
                <w:color w:val="auto"/>
              </w:rPr>
            </w:pPr>
          </w:p>
        </w:tc>
      </w:tr>
      <w:tr>
        <w:trPr>
          <w:trHeight w:val="33"/>
        </w:trPr>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10,653,000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20.46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2,375,000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46.11</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13,028,000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25.14</w:t>
            </w:r>
          </w:p>
        </w:tc>
        <w:tc>
          <w:tcPr>
            <w:tcW w:w="0" w:type="dxa"/>
            <w:vAlign w:val="bottom"/>
          </w:tcPr>
          <w:p>
            <w:pPr>
              <w:spacing w:after="0"/>
              <w:rPr>
                <w:sz w:val="1"/>
                <w:szCs w:val="1"/>
                <w:color w:val="auto"/>
              </w:rPr>
            </w:pPr>
          </w:p>
        </w:tc>
      </w:tr>
      <w:tr>
        <w:trPr>
          <w:trHeight w:val="244"/>
        </w:trPr>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Total (3)</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15,304,000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20.73</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6,908,000</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44.08</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22,212,000</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27.99</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1140" w:hanging="1105"/>
        <w:spacing w:after="0"/>
        <w:tabs>
          <w:tab w:leader="none" w:pos="11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Anchor is defined as a retail tenant leasing 10,000 square feet or more.</w:t>
      </w:r>
    </w:p>
    <w:p>
      <w:pPr>
        <w:spacing w:after="0" w:line="72" w:lineRule="exact"/>
        <w:rPr>
          <w:rFonts w:ascii="Times New Roman" w:cs="Times New Roman" w:eastAsia="Times New Roman" w:hAnsi="Times New Roman"/>
          <w:sz w:val="16"/>
          <w:szCs w:val="16"/>
          <w:color w:val="auto"/>
        </w:rPr>
      </w:pPr>
    </w:p>
    <w:p>
      <w:pPr>
        <w:ind w:left="1140" w:hanging="1105"/>
        <w:spacing w:after="0"/>
        <w:tabs>
          <w:tab w:leader="none" w:pos="11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Rent reflects in-place contractual (defined as cash-basis excluding rent abatements) rent as of June 30, 2019.</w:t>
      </w:r>
    </w:p>
    <w:p>
      <w:pPr>
        <w:spacing w:after="0" w:line="72" w:lineRule="exact"/>
        <w:rPr>
          <w:rFonts w:ascii="Times New Roman" w:cs="Times New Roman" w:eastAsia="Times New Roman" w:hAnsi="Times New Roman"/>
          <w:sz w:val="16"/>
          <w:szCs w:val="16"/>
          <w:color w:val="auto"/>
        </w:rPr>
      </w:pPr>
    </w:p>
    <w:p>
      <w:pPr>
        <w:ind w:left="1140" w:hanging="1105"/>
        <w:spacing w:after="0"/>
        <w:tabs>
          <w:tab w:leader="none" w:pos="11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occupied square footage of the commercial portion of our portfolio as of June 30, 2019.</w:t>
      </w:r>
    </w:p>
    <w:p>
      <w:pPr>
        <w:spacing w:after="0" w:line="72" w:lineRule="exact"/>
        <w:rPr>
          <w:rFonts w:ascii="Times New Roman" w:cs="Times New Roman" w:eastAsia="Times New Roman" w:hAnsi="Times New Roman"/>
          <w:sz w:val="16"/>
          <w:szCs w:val="16"/>
          <w:color w:val="auto"/>
        </w:rPr>
      </w:pPr>
    </w:p>
    <w:p>
      <w:pPr>
        <w:ind w:left="1140" w:hanging="1105"/>
        <w:spacing w:after="0"/>
        <w:tabs>
          <w:tab w:leader="none" w:pos="11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738" w:right="239" w:bottom="1440" w:gutter="0" w:footer="0" w:header="0"/>
        </w:sectPr>
      </w:pPr>
    </w:p>
    <w:bookmarkStart w:id="28" w:name="page29"/>
    <w:bookmarkEnd w:id="28"/>
    <w:p>
      <w:pPr>
        <w:ind w:left="40" w:right="1260"/>
        <w:spacing w:after="0" w:line="331" w:lineRule="auto"/>
        <w:rPr>
          <w:sz w:val="20"/>
          <w:szCs w:val="20"/>
          <w:color w:val="auto"/>
        </w:rPr>
      </w:pPr>
      <w:r>
        <w:rPr>
          <w:rFonts w:ascii="Times New Roman" w:cs="Times New Roman" w:eastAsia="Times New Roman" w:hAnsi="Times New Roman"/>
          <w:sz w:val="18"/>
          <w:szCs w:val="18"/>
          <w:b w:val="1"/>
          <w:bCs w:val="1"/>
          <w:color w:val="auto"/>
        </w:rPr>
        <w:t>Federal Realty Investment Trust Portfolio Leased Statistics June 30, 2019</w:t>
      </w:r>
    </w:p>
    <w:p>
      <w:pPr>
        <w:spacing w:after="0" w:line="2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Overall Portfolio Statistics (1)</w:t>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Type</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Commercial Properties (2) (3) (4) (sf)</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Residential Properties (units)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u w:val="single" w:color="auto"/>
          <w:color w:val="auto"/>
        </w:rPr>
        <w:t>Comparable Property Statistics (1)</w:t>
      </w:r>
    </w:p>
    <w:p>
      <w:pPr>
        <w:spacing w:after="0" w:line="3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Type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6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At June 30, 2018</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r>
      <w:tr>
        <w:trPr>
          <w:trHeight w:val="471"/>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w w:val="98"/>
              </w:rPr>
              <w:t>Leased %</w:t>
            </w:r>
          </w:p>
        </w:tc>
        <w:tc>
          <w:tcPr>
            <w:tcW w:w="340" w:type="dxa"/>
            <w:vAlign w:val="bottom"/>
          </w:tcPr>
          <w:p>
            <w:pPr>
              <w:spacing w:after="0"/>
              <w:rPr>
                <w:sz w:val="24"/>
                <w:szCs w:val="24"/>
                <w:color w:val="auto"/>
              </w:rPr>
            </w:pPr>
          </w:p>
        </w:tc>
        <w:tc>
          <w:tcPr>
            <w:tcW w:w="106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5"/>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23,868,000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22,448,000</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94.1%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24,250,000</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23,043,000</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95.0%</w:t>
            </w:r>
          </w:p>
        </w:tc>
      </w:tr>
      <w:tr>
        <w:trPr>
          <w:trHeight w:val="540"/>
        </w:trPr>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2,596</w:t>
            </w:r>
          </w:p>
        </w:tc>
        <w:tc>
          <w:tcPr>
            <w:tcW w:w="3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97.3%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2,639</w:t>
            </w:r>
          </w:p>
        </w:tc>
        <w:tc>
          <w:tcPr>
            <w:tcW w:w="12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5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95.5%</w:t>
            </w:r>
          </w:p>
        </w:tc>
      </w:tr>
      <w:tr>
        <w:trPr>
          <w:trHeight w:val="865"/>
        </w:trPr>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At June 30, 2019</w:t>
            </w: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At June 30, 2018</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471"/>
        </w:trPr>
        <w:tc>
          <w:tcPr>
            <w:tcW w:w="7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Size</w:t>
            </w:r>
          </w:p>
        </w:tc>
        <w:tc>
          <w:tcPr>
            <w:tcW w:w="6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Leased</w:t>
            </w:r>
          </w:p>
        </w:tc>
        <w:tc>
          <w:tcPr>
            <w:tcW w:w="38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6"/>
                <w:szCs w:val="16"/>
                <w:color w:val="auto"/>
                <w:w w:val="98"/>
              </w:rPr>
              <w:t>Leased %</w:t>
            </w:r>
          </w:p>
        </w:tc>
        <w:tc>
          <w:tcPr>
            <w:tcW w:w="340" w:type="dxa"/>
            <w:vAlign w:val="bottom"/>
          </w:tcPr>
          <w:p>
            <w:pPr>
              <w:spacing w:after="0"/>
              <w:rPr>
                <w:sz w:val="24"/>
                <w:szCs w:val="24"/>
                <w:color w:val="auto"/>
              </w:rPr>
            </w:pPr>
          </w:p>
        </w:tc>
        <w:tc>
          <w:tcPr>
            <w:tcW w:w="1060" w:type="dxa"/>
            <w:vAlign w:val="bottom"/>
            <w:gridSpan w:val="3"/>
          </w:tcPr>
          <w:p>
            <w:pPr>
              <w:ind w:left="680"/>
              <w:spacing w:after="0"/>
              <w:rPr>
                <w:sz w:val="20"/>
                <w:szCs w:val="20"/>
                <w:color w:val="auto"/>
              </w:rPr>
            </w:pPr>
            <w:r>
              <w:rPr>
                <w:rFonts w:ascii="Times New Roman" w:cs="Times New Roman" w:eastAsia="Times New Roman" w:hAnsi="Times New Roman"/>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Leased</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8"/>
              </w:rPr>
              <w:t>Leased %</w:t>
            </w:r>
          </w:p>
        </w:tc>
      </w:tr>
      <w:tr>
        <w:trPr>
          <w:trHeight w:val="20"/>
        </w:trPr>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-2057400</wp:posOffset>
            </wp:positionV>
            <wp:extent cx="7246620" cy="2778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7787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720"/>
            <w:col w:w="6900"/>
          </w:cols>
          <w:pgMar w:left="240" w:top="738" w:right="239" w:bottom="1440" w:gutter="0" w:footer="0" w:header="0"/>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Commercial Properties (2) (4) (sf)</w:t>
            </w:r>
          </w:p>
        </w:tc>
        <w:tc>
          <w:tcPr>
            <w:tcW w:w="2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22,387,000</w:t>
            </w:r>
          </w:p>
        </w:tc>
        <w:tc>
          <w:tcPr>
            <w:tcW w:w="1300" w:type="dxa"/>
            <w:vAlign w:val="bottom"/>
            <w:tcBorders>
              <w:bottom w:val="single" w:sz="8" w:color="CCEEFF"/>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21,188,000</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94.6%</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22,399,000</w:t>
            </w:r>
          </w:p>
        </w:tc>
        <w:tc>
          <w:tcPr>
            <w:tcW w:w="134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21,434,000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r>
      <w:tr>
        <w:trPr>
          <w:trHeight w:val="270"/>
        </w:trPr>
        <w:tc>
          <w:tcPr>
            <w:tcW w:w="3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7"/>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Residential Properties (units)</w:t>
            </w:r>
          </w:p>
        </w:tc>
        <w:tc>
          <w:tcPr>
            <w:tcW w:w="22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1,350</w:t>
            </w:r>
          </w:p>
        </w:tc>
        <w:tc>
          <w:tcPr>
            <w:tcW w:w="130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1,320</w:t>
            </w:r>
          </w:p>
        </w:tc>
        <w:tc>
          <w:tcPr>
            <w:tcW w:w="10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97.8%</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1,350</w:t>
            </w:r>
          </w:p>
        </w:tc>
        <w:tc>
          <w:tcPr>
            <w:tcW w:w="13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1,310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33"/>
        </w:trPr>
        <w:tc>
          <w:tcPr>
            <w:tcW w:w="35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Glossary of Terms.</w:t>
      </w:r>
    </w:p>
    <w:p>
      <w:pPr>
        <w:spacing w:after="0" w:line="72" w:lineRule="exact"/>
        <w:rPr>
          <w:rFonts w:ascii="Times New Roman" w:cs="Times New Roman" w:eastAsia="Times New Roman" w:hAnsi="Times New Roman"/>
          <w:sz w:val="16"/>
          <w:szCs w:val="16"/>
          <w:color w:val="auto"/>
        </w:rPr>
      </w:pPr>
    </w:p>
    <w:p>
      <w:pPr>
        <w:ind w:left="840" w:hanging="805"/>
        <w:spacing w:after="0"/>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Leasable square feet excludes redevelopment square footage not yet placed in service.</w:t>
      </w:r>
    </w:p>
    <w:p>
      <w:pPr>
        <w:spacing w:after="0" w:line="72" w:lineRule="exact"/>
        <w:rPr>
          <w:rFonts w:ascii="Times New Roman" w:cs="Times New Roman" w:eastAsia="Times New Roman" w:hAnsi="Times New Roman"/>
          <w:sz w:val="16"/>
          <w:szCs w:val="16"/>
          <w:color w:val="auto"/>
        </w:rPr>
      </w:pPr>
    </w:p>
    <w:p>
      <w:pPr>
        <w:ind w:left="840" w:hanging="805"/>
        <w:spacing w:after="0"/>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 June 30, 2019 leased percentage was 97.2% for anchor tenants and 87.8% for small shop tenants.</w:t>
      </w:r>
    </w:p>
    <w:p>
      <w:pPr>
        <w:spacing w:after="0" w:line="72" w:lineRule="exact"/>
        <w:rPr>
          <w:rFonts w:ascii="Times New Roman" w:cs="Times New Roman" w:eastAsia="Times New Roman" w:hAnsi="Times New Roman"/>
          <w:sz w:val="16"/>
          <w:szCs w:val="16"/>
          <w:color w:val="auto"/>
        </w:rPr>
      </w:pPr>
    </w:p>
    <w:p>
      <w:pPr>
        <w:ind w:left="840" w:right="80" w:hanging="805"/>
        <w:spacing w:after="0" w:line="298" w:lineRule="auto"/>
        <w:tabs>
          <w:tab w:leader="none" w:pos="8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Occupied percentage was 93.3% and 93.7% at June 30, 2019 and 2018, respectively, and comparable property occupied percentage was 94.0% and 94.3% at June 30,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38" w:right="239" w:bottom="1440" w:gutter="0" w:footer="0" w:header="0"/>
          <w:type w:val="continuous"/>
        </w:sectPr>
      </w:pPr>
    </w:p>
    <w:bookmarkStart w:id="29" w:name="page30"/>
    <w:bookmarkEnd w:id="29"/>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2940" w:type="dxa"/>
            <w:vAlign w:val="bottom"/>
            <w:vMerge w:val="restart"/>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Credit Ratings</w:t>
            </w: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Annualized Base</w:t>
            </w:r>
          </w:p>
        </w:tc>
        <w:tc>
          <w:tcPr>
            <w:tcW w:w="148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Percentage of Total</w:t>
            </w:r>
          </w:p>
        </w:tc>
        <w:tc>
          <w:tcPr>
            <w:tcW w:w="20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26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Rank   Tenant Name</w:t>
            </w:r>
          </w:p>
        </w:tc>
        <w:tc>
          <w:tcPr>
            <w:tcW w:w="294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48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Annualized Base</w:t>
            </w:r>
          </w:p>
        </w:tc>
        <w:tc>
          <w:tcPr>
            <w:tcW w:w="2080" w:type="dxa"/>
            <w:vAlign w:val="bottom"/>
            <w:vMerge w:val="continue"/>
          </w:tcPr>
          <w:p>
            <w:pPr>
              <w:spacing w:after="0"/>
              <w:rPr>
                <w:sz w:val="12"/>
                <w:szCs w:val="12"/>
                <w:color w:val="auto"/>
              </w:rPr>
            </w:pPr>
          </w:p>
        </w:tc>
        <w:tc>
          <w:tcPr>
            <w:tcW w:w="9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Locations</w:t>
            </w:r>
          </w:p>
        </w:tc>
        <w:tc>
          <w:tcPr>
            <w:tcW w:w="0" w:type="dxa"/>
            <w:vAlign w:val="bottom"/>
          </w:tcPr>
          <w:p>
            <w:pPr>
              <w:spacing w:after="0"/>
              <w:rPr>
                <w:sz w:val="1"/>
                <w:szCs w:val="1"/>
                <w:color w:val="auto"/>
              </w:rPr>
            </w:pPr>
          </w:p>
        </w:tc>
      </w:tr>
      <w:tr>
        <w:trPr>
          <w:trHeight w:val="195"/>
        </w:trPr>
        <w:tc>
          <w:tcPr>
            <w:tcW w:w="2680" w:type="dxa"/>
            <w:vAlign w:val="bottom"/>
            <w:tcBorders>
              <w:bottom w:val="single" w:sz="8" w:color="auto"/>
            </w:tcBorders>
            <w:vMerge w:val="continue"/>
          </w:tcPr>
          <w:p>
            <w:pPr>
              <w:spacing w:after="0"/>
              <w:rPr>
                <w:sz w:val="16"/>
                <w:szCs w:val="16"/>
                <w:color w:val="auto"/>
              </w:rPr>
            </w:pPr>
          </w:p>
        </w:tc>
        <w:tc>
          <w:tcPr>
            <w:tcW w:w="2940" w:type="dxa"/>
            <w:vAlign w:val="bottom"/>
            <w:tcBorders>
              <w:bottom w:val="single" w:sz="8" w:color="auto"/>
            </w:tcBorders>
          </w:tcPr>
          <w:p>
            <w:pPr>
              <w:jc w:val="center"/>
              <w:ind w:left="1028"/>
              <w:spacing w:after="0"/>
              <w:rPr>
                <w:sz w:val="20"/>
                <w:szCs w:val="20"/>
                <w:color w:val="auto"/>
              </w:rPr>
            </w:pPr>
            <w:r>
              <w:rPr>
                <w:rFonts w:ascii="Times New Roman" w:cs="Times New Roman" w:eastAsia="Times New Roman" w:hAnsi="Times New Roman"/>
                <w:sz w:val="14"/>
                <w:szCs w:val="14"/>
                <w:b w:val="1"/>
                <w:bCs w:val="1"/>
                <w:color w:val="auto"/>
              </w:rPr>
              <w:t>(S&amp;P/Moody's/Fitch) (1)</w:t>
            </w:r>
          </w:p>
        </w:tc>
        <w:tc>
          <w:tcPr>
            <w:tcW w:w="1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Rent</w:t>
            </w:r>
          </w:p>
        </w:tc>
        <w:tc>
          <w:tcPr>
            <w:tcW w:w="14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Rent (3)</w:t>
            </w:r>
          </w:p>
        </w:tc>
        <w:tc>
          <w:tcPr>
            <w:tcW w:w="2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Tenant GLA  Total GLA (3)</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p>
      <w:pPr>
        <w:spacing w:after="0" w:line="283"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TJX Companies, The</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 / A2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Ahold Delhaize</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BBB / Baa1 / BBB+</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Gap, Inc., The</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 / Baa2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Bed, Bath &amp; Beyond,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 / Baa3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 Fitness International LLC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 / B2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Splunk,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NR / NR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CVS Corporation</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BBB / Baa2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AMC Entertainment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B / B2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Best Buy Co.,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BBB / Baa1 / BBB</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10</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Dick's Sporting Goods,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NR / NR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11</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Kroger Co., The</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BBB / Baa1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12</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Home Depot,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13</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Michaels Stores,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 / Ba2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14</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Ross Stores,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 / 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15</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Bank of America, N.A.</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16</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DSW,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NR / NR / NR</w:t>
            </w:r>
          </w:p>
        </w:tc>
      </w:tr>
      <w:tr>
        <w:trPr>
          <w:trHeight w:val="262"/>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17</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Ascena Retail Group, Inc. (Dress Barn, Loft,</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CCC+ / B3 / NR</w:t>
            </w:r>
          </w:p>
        </w:tc>
      </w:tr>
      <w:tr>
        <w:trPr>
          <w:trHeight w:val="203"/>
        </w:trPr>
        <w:tc>
          <w:tcPr>
            <w:tcW w:w="260" w:type="dxa"/>
            <w:vAlign w:val="bottom"/>
          </w:tcPr>
          <w:p>
            <w:pPr>
              <w:spacing w:after="0"/>
              <w:rPr>
                <w:sz w:val="17"/>
                <w:szCs w:val="17"/>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Lou &amp; Grey, Ann Taylor, Catherine's, Justice,</w:t>
            </w:r>
          </w:p>
        </w:tc>
        <w:tc>
          <w:tcPr>
            <w:tcW w:w="1580" w:type="dxa"/>
            <w:vAlign w:val="bottom"/>
          </w:tcPr>
          <w:p>
            <w:pPr>
              <w:spacing w:after="0"/>
              <w:rPr>
                <w:sz w:val="17"/>
                <w:szCs w:val="17"/>
                <w:color w:val="auto"/>
              </w:rPr>
            </w:pPr>
          </w:p>
        </w:tc>
      </w:tr>
      <w:tr>
        <w:trPr>
          <w:trHeight w:val="210"/>
        </w:trPr>
        <w:tc>
          <w:tcPr>
            <w:tcW w:w="26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Lane Bryant)</w:t>
            </w:r>
          </w:p>
        </w:tc>
        <w:tc>
          <w:tcPr>
            <w:tcW w:w="1580" w:type="dxa"/>
            <w:vAlign w:val="bottom"/>
          </w:tcPr>
          <w:p>
            <w:pPr>
              <w:spacing w:after="0"/>
              <w:rPr>
                <w:sz w:val="18"/>
                <w:szCs w:val="18"/>
                <w:color w:val="auto"/>
              </w:rPr>
            </w:pPr>
          </w:p>
        </w:tc>
      </w:tr>
      <w:tr>
        <w:trPr>
          <w:trHeight w:val="257"/>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18</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Hudson's Bay Company (Saks, Lord &amp; Taylor)</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9"/>
              </w:rPr>
              <w:t>B / B3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19</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Nordstrom,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BBB+ / Baa1 / BBB+</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20</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Ulta Beauty,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NR / NR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21</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Whole Foods Market,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 / A3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22</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Barnes &amp; Noble, Inc.</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NR / NR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23</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AB Acquisition LLC (Acme, Safeway)</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 / B1 / NR</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24</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Wells Fargo Bank, N.A.</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A- / A2 / A+</w:t>
            </w:r>
          </w:p>
        </w:tc>
      </w:tr>
      <w:tr>
        <w:trPr>
          <w:trHeight w:val="270"/>
        </w:trPr>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7"/>
              </w:rPr>
              <w:t>25</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Starbucks Corporation</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rPr>
              <w:t>BBB+ / Baa1 / BBB+</w:t>
            </w:r>
          </w:p>
        </w:tc>
      </w:tr>
      <w:tr>
        <w:trPr>
          <w:trHeight w:val="270"/>
        </w:trPr>
        <w:tc>
          <w:tcPr>
            <w:tcW w:w="260" w:type="dxa"/>
            <w:vAlign w:val="bottom"/>
          </w:tcPr>
          <w:p>
            <w:pPr>
              <w:spacing w:after="0"/>
              <w:rPr>
                <w:sz w:val="23"/>
                <w:szCs w:val="23"/>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Totals - Top 25 Tenants</w:t>
            </w:r>
          </w:p>
        </w:tc>
        <w:tc>
          <w:tcPr>
            <w:tcW w:w="15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18,386,000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2.62%</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991,000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3.77%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15,764,000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2.25%</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898,000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3.42%</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13,382,000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1.91%</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354,000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1.35%</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11,520,000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1.64%</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660,000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2.51%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11,020,000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1.57%</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465,000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1.77%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10,902,000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1.55%</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235,000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0.89%</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8,842,000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240,000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0.91%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7,239,000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317,000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1.21%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6,633,000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0.95%</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231,000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0.88%</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6,425,000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0.92%</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289,000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1.10%</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6,066,000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529,000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6,014,000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440,000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5,963,000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0.85%</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310,000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1.18%</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5,861,000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0.84%</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291,000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1.11%</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5,828,000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0.83%</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105,000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0.40%</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5,590,000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0.80%</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222,000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0.84%</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5,585,000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0.80%</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181,000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0.69%</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w:t>
            </w:r>
          </w:p>
        </w:tc>
      </w:tr>
      <w:tr>
        <w:trPr>
          <w:trHeight w:val="662"/>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5,406,000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0.77%</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220,000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0.84%</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5,374,000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0.77%</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195,000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0.74%</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4,838,000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140,000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0.53%</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4,772,000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0.68%</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167,000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0.64%</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4,603,000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0.66%</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207,000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0.79%</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4,192,000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0.60%</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412,000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4,173,000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51,000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0.19%</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270"/>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4,153,000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0.59%</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70,000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0.27%</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w:t>
            </w:r>
          </w:p>
        </w:tc>
      </w:tr>
      <w:tr>
        <w:trPr>
          <w:trHeight w:val="47"/>
        </w:trPr>
        <w:tc>
          <w:tcPr>
            <w:tcW w:w="2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17"/>
        </w:trPr>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188,531,000</w:t>
            </w: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26.87%</w:t>
            </w:r>
          </w:p>
        </w:tc>
        <w:tc>
          <w:tcPr>
            <w:tcW w:w="11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8,220,000</w:t>
            </w:r>
          </w:p>
        </w:tc>
        <w:tc>
          <w:tcPr>
            <w:tcW w:w="11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31.28%</w:t>
            </w:r>
          </w:p>
        </w:tc>
        <w:tc>
          <w:tcPr>
            <w:tcW w:w="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w:t>
            </w:r>
          </w:p>
        </w:tc>
      </w:tr>
      <w:tr>
        <w:trPr>
          <w:trHeight w:val="33"/>
        </w:trPr>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-4390390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-4046855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-3703955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-3361055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-3018155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-2675255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-2331720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-1988820</wp:posOffset>
            </wp:positionV>
            <wp:extent cx="7246620" cy="420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-1397000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-1054100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-711200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-368300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-16510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260"/>
            <w:col w:w="5760"/>
          </w:cols>
          <w:pgMar w:left="240" w:top="738" w:right="239" w:bottom="1440" w:gutter="0" w:footer="0" w:header="0"/>
          <w:type w:val="continuous"/>
        </w:sectPr>
      </w:pPr>
    </w:p>
    <w:p>
      <w:pPr>
        <w:spacing w:after="0" w:line="83"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860" w:type="dxa"/>
            <w:vAlign w:val="bottom"/>
          </w:tcPr>
          <w:p>
            <w:pPr>
              <w:spacing w:after="0"/>
              <w:rPr>
                <w:sz w:val="20"/>
                <w:szCs w:val="20"/>
                <w:color w:val="auto"/>
              </w:rPr>
            </w:pPr>
            <w:r>
              <w:rPr>
                <w:rFonts w:ascii="Times New Roman" w:cs="Times New Roman" w:eastAsia="Times New Roman" w:hAnsi="Times New Roman"/>
                <w:sz w:val="16"/>
                <w:szCs w:val="16"/>
                <w:color w:val="auto"/>
              </w:rPr>
              <w:t>Total (5):</w:t>
            </w:r>
          </w:p>
        </w:tc>
        <w:tc>
          <w:tcPr>
            <w:tcW w:w="4400" w:type="dxa"/>
            <w:vAlign w:val="bottom"/>
          </w:tcPr>
          <w:p>
            <w:pPr>
              <w:jc w:val="right"/>
              <w:ind w:right="659"/>
              <w:spacing w:after="0"/>
              <w:rPr>
                <w:sz w:val="20"/>
                <w:szCs w:val="20"/>
                <w:color w:val="auto"/>
              </w:rPr>
            </w:pPr>
            <w:r>
              <w:rPr>
                <w:rFonts w:ascii="Times New Roman" w:cs="Times New Roman" w:eastAsia="Times New Roman" w:hAnsi="Times New Roman"/>
                <w:sz w:val="16"/>
                <w:szCs w:val="16"/>
                <w:color w:val="auto"/>
              </w:rPr>
              <w:t>$   701,517,000  (2)</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26,278,000  (4)</w:t>
            </w:r>
          </w:p>
        </w:tc>
      </w:tr>
    </w:tbl>
    <w:p>
      <w:pPr>
        <w:spacing w:after="0" w:line="3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u w:val="single" w:color="auto"/>
          <w:color w:val="auto"/>
        </w:rPr>
        <w:t>Notes:</w:t>
      </w:r>
    </w:p>
    <w:p>
      <w:pPr>
        <w:spacing w:after="0" w:line="73" w:lineRule="exact"/>
        <w:rPr>
          <w:sz w:val="20"/>
          <w:szCs w:val="20"/>
          <w:color w:val="auto"/>
        </w:rPr>
      </w:pPr>
    </w:p>
    <w:p>
      <w:pPr>
        <w:ind w:left="600" w:hanging="56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Ratings are as of June 30, 2019. Subsequent rating changes have not been reflected.</w:t>
      </w:r>
    </w:p>
    <w:p>
      <w:pPr>
        <w:spacing w:after="0" w:line="86"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aggregate, annualized in-place contractual (defined as cash-basis excluding rent abatements) minimum rent for all occupied spaces as of June 30, 2019.</w:t>
      </w:r>
    </w:p>
    <w:p>
      <w:pPr>
        <w:spacing w:after="0" w:line="99"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Individual items may not add up to total due to rounding.</w:t>
      </w:r>
    </w:p>
    <w:p>
      <w:pPr>
        <w:spacing w:after="0" w:line="86"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redevelopment square footage not yet placed in service.</w:t>
      </w:r>
    </w:p>
    <w:p>
      <w:pPr>
        <w:spacing w:after="0" w:line="86" w:lineRule="exact"/>
        <w:rPr>
          <w:rFonts w:ascii="Times New Roman" w:cs="Times New Roman" w:eastAsia="Times New Roman" w:hAnsi="Times New Roman"/>
          <w:sz w:val="16"/>
          <w:szCs w:val="16"/>
          <w:color w:val="auto"/>
        </w:rPr>
      </w:pPr>
    </w:p>
    <w:p>
      <w:pPr>
        <w:ind w:left="600" w:hanging="565"/>
        <w:spacing w:after="0"/>
        <w:tabs>
          <w:tab w:leader="none" w:pos="60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Totals reflect both the commercial and residential portions of our properties.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738" w:right="239" w:bottom="1440" w:gutter="0" w:footer="0" w:header="0"/>
          <w:type w:val="continuous"/>
        </w:sectPr>
      </w:pPr>
    </w:p>
    <w:bookmarkStart w:id="30" w:name="page31"/>
    <w:bookmarkEnd w:id="30"/>
    <w:p>
      <w:pPr>
        <w:ind w:left="40"/>
        <w:spacing w:after="0"/>
        <w:rPr>
          <w:sz w:val="20"/>
          <w:szCs w:val="20"/>
          <w:color w:val="auto"/>
        </w:rPr>
      </w:pPr>
      <w:r>
        <w:rPr>
          <w:rFonts w:ascii="Times New Roman" w:cs="Times New Roman" w:eastAsia="Times New Roman" w:hAnsi="Times New Roman"/>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Reconciliation of FFO Guidance</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June 30, 2019</w:t>
      </w: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following table provides a reconciliation of the range of estimated earnings per diluted share to estimated FFO per diluted share for the full year 2019.</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Estimates do not include the impact from potential acquisitions or dispositions which have not closed as of June 30, 2019.</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Full Year 2019 Guidance Range</w:t>
            </w: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480"/>
        </w:trPr>
        <w:tc>
          <w:tcPr>
            <w:tcW w:w="8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Low</w:t>
            </w: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High</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net income available to common shareholders, per diluted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gain on sale of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43"/>
        </w:trPr>
        <w:tc>
          <w:tcPr>
            <w:tcW w:w="8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Estimated depreciation and amortization</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Estimated FFO per diluted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w:t>
            </w: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Note: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Glossary of Terms. Individual items may not add up to total due to rounding.</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8"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EBITDA for Real Estate ("EBITDAre"): </w:t>
      </w:r>
      <w:r>
        <w:rPr>
          <w:rFonts w:ascii="Times New Roman" w:cs="Times New Roman" w:eastAsia="Times New Roman" w:hAnsi="Times New Roman"/>
          <w:sz w:val="18"/>
          <w:szCs w:val="18"/>
          <w:color w:val="auto"/>
        </w:rPr>
        <w:t>EBITDAre is a non-GAAP measure that the National Association of Real Estate Investment Trusts ("NAREIT")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defines as: net income computed in accordance with GAAP plus net interest expense, income tax expense, depreciation and amortization, gain or loss on sale of real estate, impairments of real estate,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and six months ended June 30, 2019 and 2018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6"/>
                <w:szCs w:val="16"/>
                <w:color w:val="auto"/>
              </w:rPr>
            </w:pPr>
          </w:p>
        </w:tc>
      </w:tr>
      <w:tr>
        <w:trPr>
          <w:trHeight w:val="275"/>
        </w:trPr>
        <w:tc>
          <w:tcPr>
            <w:tcW w:w="51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82,667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65,533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144,470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128,464</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27,482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27,766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55,515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53,950</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 (1)</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1,666</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59,057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58,381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118,679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116,491</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sale of real estate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w:t>
            </w: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Adjustments of EBITDAre of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3,303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1,638</w:t>
            </w:r>
          </w:p>
        </w:tc>
      </w:tr>
      <w:tr>
        <w:trPr>
          <w:trHeight w:val="250"/>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EBITDAre</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154,580</w:t>
            </w:r>
          </w:p>
        </w:tc>
        <w:tc>
          <w:tcPr>
            <w:tcW w:w="120" w:type="dxa"/>
            <w:vAlign w:val="bottom"/>
          </w:tcPr>
          <w:p>
            <w:pPr>
              <w:spacing w:after="0"/>
              <w:rPr>
                <w:sz w:val="21"/>
                <w:szCs w:val="21"/>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148,941</w:t>
            </w:r>
          </w:p>
        </w:tc>
        <w:tc>
          <w:tcPr>
            <w:tcW w:w="100" w:type="dxa"/>
            <w:vAlign w:val="bottom"/>
          </w:tcPr>
          <w:p>
            <w:pPr>
              <w:spacing w:after="0"/>
              <w:rPr>
                <w:sz w:val="21"/>
                <w:szCs w:val="21"/>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305,543</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292,932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8890</wp:posOffset>
            </wp:positionV>
            <wp:extent cx="3978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For the three and six months ended June 30, 2018, the provision for income tax primarily relates to condominium sales gains.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-127635</wp:posOffset>
            </wp:positionV>
            <wp:extent cx="3978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0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Funds From Operations (FFO): </w:t>
      </w:r>
      <w:r>
        <w:rPr>
          <w:rFonts w:ascii="Times New Roman" w:cs="Times New Roman" w:eastAsia="Times New Roman" w:hAnsi="Times New Roman"/>
          <w:sz w:val="18"/>
          <w:szCs w:val="18"/>
          <w:color w:val="auto"/>
        </w:rPr>
        <w:t>FFO is a supplemental measure of real estate companies' operating performances. NAREIT defines FFO as follows: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income, computed in accordance with GAAP plus real estate related depreciation and amortization and excluding gains and losses on the sale of real estate or changes in control, net of tax, and impairment write-downs of certain real estate assets and investments in entities when the impairment is directly attributable to decreases in the value of depreciable real estate held by the entity.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Property Operating Income: </w:t>
      </w:r>
      <w:r>
        <w:rPr>
          <w:rFonts w:ascii="Times New Roman" w:cs="Times New Roman" w:eastAsia="Times New Roman" w:hAnsi="Times New Roman"/>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Overall Portfolio: </w:t>
      </w:r>
      <w:r>
        <w:rPr>
          <w:rFonts w:ascii="Times New Roman" w:cs="Times New Roman" w:eastAsia="Times New Roman" w:hAnsi="Times New Roman"/>
          <w:sz w:val="18"/>
          <w:szCs w:val="18"/>
          <w:color w:val="auto"/>
        </w:rPr>
        <w:t>Includes all operating properties owned in reporting period.</w:t>
      </w:r>
    </w:p>
    <w:p>
      <w:pPr>
        <w:spacing w:after="0" w:line="225"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Comparable Properties: </w:t>
      </w:r>
      <w:r>
        <w:rPr>
          <w:rFonts w:ascii="Times New Roman" w:cs="Times New Roman" w:eastAsia="Times New Roman" w:hAnsi="Times New Roman"/>
          <w:sz w:val="18"/>
          <w:szCs w:val="18"/>
          <w:color w:val="auto"/>
        </w:rPr>
        <w:t>Represents our consolidated property portfolio other than those properties that distort comparability between periods in two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categories: (1) assets that were not owned for the full quarter in both periods presented and (2) assets currently under development or being repositioned for significant redevelopment and investment. Comparable property growth statistics are calculated on a GAAP basis.</w:t>
      </w:r>
    </w:p>
    <w:p>
      <w:pPr>
        <w:spacing w:after="0" w:line="1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Tenant Improvements and Incentives: </w:t>
      </w:r>
      <w:r>
        <w:rPr>
          <w:rFonts w:ascii="Times New Roman" w:cs="Times New Roman" w:eastAsia="Times New Roman" w:hAnsi="Times New Roman"/>
          <w:sz w:val="18"/>
          <w:szCs w:val="18"/>
          <w:color w:val="auto"/>
        </w:rPr>
        <w:t>Represents not only the total dollars committed for the improvement (fit-out) of a space as it relates to a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2019-12-28T09:31:43Z</dcterms:created>
  <dcterms:modified xsi:type="dcterms:W3CDTF">2019-12-28T09:31:43Z</dcterms:modified>
</cp:coreProperties>
</file>