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780" w:right="3779" w:hanging="344"/>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March 31, 2002</w:t>
      </w:r>
    </w:p>
    <w:p>
      <w:pPr>
        <w:spacing w:after="0" w:line="200" w:lineRule="exact"/>
        <w:rPr>
          <w:sz w:val="24"/>
          <w:szCs w:val="24"/>
          <w:color w:val="auto"/>
        </w:rPr>
      </w:pPr>
    </w:p>
    <w:p>
      <w:pPr>
        <w:spacing w:after="0" w:line="291"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892"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1-07533</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860" w:space="240"/>
            <w:col w:w="1040" w:space="440"/>
            <w:col w:w="5659"/>
          </w:cols>
          <w:pgMar w:left="220" w:top="892" w:right="1440" w:bottom="1440" w:gutter="0" w:footer="0" w:header="0"/>
          <w:type w:val="continuous"/>
        </w:sectPr>
      </w:pPr>
    </w:p>
    <w:p>
      <w:pPr>
        <w:spacing w:after="0" w:line="13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1626 East Jefferson Street, Rockville, Maryland</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939"/>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480" w:space="440"/>
            <w:col w:w="5319"/>
          </w:cols>
          <w:pgMar w:left="220" w:top="892" w:right="1440" w:bottom="1440" w:gutter="0" w:footer="0" w:header="0"/>
          <w:type w:val="continuous"/>
        </w:sectPr>
      </w:pPr>
    </w:p>
    <w:p>
      <w:pPr>
        <w:spacing w:after="0" w:line="13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Registrant's telephone number including area code: 301/998-8100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892" w:right="1440" w:bottom="1440" w:gutter="0" w:footer="0" w:header="0"/>
          <w:type w:val="continuous"/>
        </w:sectPr>
      </w:pPr>
    </w:p>
    <w:bookmarkStart w:id="1" w:name="page2"/>
    <w:bookmarkEnd w:id="1"/>
    <w:p>
      <w:pPr>
        <w:spacing w:after="0"/>
        <w:tabs>
          <w:tab w:leader="none" w:pos="15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March 31, 2002.</w:t>
      </w:r>
    </w:p>
    <w:p>
      <w:pPr>
        <w:spacing w:after="0" w:line="329"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1560" w:hanging="1207"/>
        <w:spacing w:after="0"/>
        <w:tabs>
          <w:tab w:leader="none" w:pos="15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rFonts w:ascii="Courier New" w:cs="Courier New" w:eastAsia="Courier New" w:hAnsi="Courier New"/>
          <w:sz w:val="14"/>
          <w:szCs w:val="14"/>
          <w:color w:val="auto"/>
        </w:rPr>
      </w:pPr>
    </w:p>
    <w:p>
      <w:pPr>
        <w:ind w:left="1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99Supplemental portfolio information at March 31, 2002</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2002</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E. Finger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 and Treasurer</w:t>
      </w:r>
    </w:p>
    <w:p>
      <w:pPr>
        <w:spacing w:after="0" w:line="200" w:lineRule="exact"/>
        <w:rPr>
          <w:sz w:val="20"/>
          <w:szCs w:val="20"/>
          <w:color w:val="auto"/>
        </w:rPr>
      </w:pPr>
    </w:p>
    <w:p>
      <w:pPr>
        <w:sectPr>
          <w:pgSz w:w="11900" w:h="16838" w:orient="portrait"/>
          <w:cols w:equalWidth="0" w:num="3">
            <w:col w:w="440" w:space="340"/>
            <w:col w:w="2220" w:space="720"/>
            <w:col w:w="6519"/>
          </w:cols>
          <w:pgMar w:left="220" w:top="78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type w:val="continuous"/>
        </w:sectPr>
      </w:pPr>
    </w:p>
    <w:bookmarkStart w:id="2" w:name="page3"/>
    <w:bookmarkEnd w:id="2"/>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information at March 31, 2002</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ectPr>
          <w:pgSz w:w="11900" w:h="16838" w:orient="portrait"/>
          <w:cols w:equalWidth="0" w:num="3">
            <w:col w:w="780" w:space="0"/>
            <w:col w:w="4620" w:space="720"/>
            <w:col w:w="4119"/>
          </w:cols>
          <w:pgMar w:left="220" w:top="78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2" w:right="1440" w:bottom="1440" w:gutter="0" w:footer="0" w:header="0"/>
          <w:type w:val="continuous"/>
        </w:sectPr>
      </w:pPr>
    </w:p>
    <w:bookmarkStart w:id="3" w:name="page4"/>
    <w:bookmarkEnd w:id="3"/>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March 31, 2002</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173" w:lineRule="exact"/>
        <w:rPr>
          <w:sz w:val="20"/>
          <w:szCs w:val="20"/>
          <w:color w:val="auto"/>
        </w:rPr>
      </w:pPr>
    </w:p>
    <w:p>
      <w:pPr>
        <w:spacing w:after="0"/>
        <w:tabs>
          <w:tab w:leader="none" w:pos="760" w:val="left"/>
          <w:tab w:leader="none" w:pos="636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Debt Summary................................................</w:t>
      </w:r>
      <w:r>
        <w:rPr>
          <w:sz w:val="20"/>
          <w:szCs w:val="20"/>
          <w:color w:val="auto"/>
        </w:rPr>
        <w:tab/>
      </w:r>
      <w:r>
        <w:rPr>
          <w:rFonts w:ascii="Courier New" w:cs="Courier New" w:eastAsia="Courier New" w:hAnsi="Courier New"/>
          <w:sz w:val="14"/>
          <w:szCs w:val="14"/>
          <w:color w:val="auto"/>
        </w:rPr>
        <w:t>E-2</w:t>
      </w:r>
    </w:p>
    <w:p>
      <w:pPr>
        <w:spacing w:after="0" w:line="173" w:lineRule="exact"/>
        <w:rPr>
          <w:sz w:val="20"/>
          <w:szCs w:val="20"/>
          <w:color w:val="auto"/>
        </w:rPr>
      </w:pPr>
    </w:p>
    <w:p>
      <w:pPr>
        <w:ind w:left="780" w:hanging="772"/>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c>
          <w:tcPr>
            <w:tcW w:w="3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Leased....................................</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480" w:type="dxa"/>
            <w:vAlign w:val="bottom"/>
          </w:tcPr>
          <w:p>
            <w:pPr>
              <w:spacing w:after="0"/>
              <w:rPr>
                <w:sz w:val="14"/>
                <w:szCs w:val="14"/>
                <w:color w:val="auto"/>
              </w:rPr>
            </w:pPr>
          </w:p>
        </w:tc>
        <w:tc>
          <w:tcPr>
            <w:tcW w:w="56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Regional Breakdown...................................</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E-4</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3.</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Sales / Occupancy</w:t>
            </w:r>
          </w:p>
        </w:tc>
        <w:tc>
          <w:tcPr>
            <w:tcW w:w="3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Costs.....................................</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780" w:hanging="772"/>
        <w:spacing w:after="0"/>
        <w:tabs>
          <w:tab w:leader="none" w:pos="7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Comparable</w:t>
            </w:r>
          </w:p>
        </w:tc>
        <w:tc>
          <w:tcPr>
            <w:tcW w:w="31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and Non-Comparable................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5.</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Street Retail</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&amp;</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Development</w:t>
            </w:r>
          </w:p>
        </w:tc>
        <w:tc>
          <w:tcPr>
            <w:tcW w:w="2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Overview..............</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6.</w:t>
            </w:r>
          </w:p>
        </w:tc>
        <w:tc>
          <w:tcPr>
            <w:tcW w:w="3540" w:type="dxa"/>
            <w:vAlign w:val="bottom"/>
            <w:gridSpan w:val="3"/>
          </w:tcPr>
          <w:p>
            <w:pPr>
              <w:ind w:left="300"/>
              <w:spacing w:after="0"/>
              <w:rPr>
                <w:sz w:val="20"/>
                <w:szCs w:val="20"/>
                <w:color w:val="auto"/>
              </w:rPr>
            </w:pPr>
            <w:r>
              <w:rPr>
                <w:rFonts w:ascii="Courier New" w:cs="Courier New" w:eastAsia="Courier New" w:hAnsi="Courier New"/>
                <w:sz w:val="12"/>
                <w:szCs w:val="12"/>
                <w:color w:val="auto"/>
                <w:w w:val="74"/>
              </w:rPr>
              <w:t>Construction Schedule.......................................</w:t>
            </w:r>
          </w:p>
        </w:tc>
        <w:tc>
          <w:tcPr>
            <w:tcW w:w="2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E-8</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7.</w:t>
            </w: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First Quarter</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Earnings Press Release,</w:t>
            </w:r>
          </w:p>
        </w:tc>
        <w:tc>
          <w:tcPr>
            <w:tcW w:w="21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April 29, 2002........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E-9</w:t>
            </w:r>
          </w:p>
        </w:tc>
      </w:tr>
      <w:tr>
        <w:trPr>
          <w:trHeight w:val="331"/>
        </w:trPr>
        <w:tc>
          <w:tcPr>
            <w:tcW w:w="4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4"/>
              </w:rPr>
              <w:t>8.</w:t>
            </w:r>
          </w:p>
        </w:tc>
        <w:tc>
          <w:tcPr>
            <w:tcW w:w="3540" w:type="dxa"/>
            <w:vAlign w:val="bottom"/>
            <w:gridSpan w:val="3"/>
          </w:tcPr>
          <w:p>
            <w:pPr>
              <w:ind w:left="300"/>
              <w:spacing w:after="0"/>
              <w:rPr>
                <w:sz w:val="20"/>
                <w:szCs w:val="20"/>
                <w:color w:val="auto"/>
              </w:rPr>
            </w:pPr>
            <w:r>
              <w:rPr>
                <w:rFonts w:ascii="Courier New" w:cs="Courier New" w:eastAsia="Courier New" w:hAnsi="Courier New"/>
                <w:sz w:val="12"/>
                <w:szCs w:val="12"/>
                <w:color w:val="auto"/>
                <w:w w:val="74"/>
              </w:rPr>
              <w:t>Glossary of Terms...........................................</w:t>
            </w:r>
          </w:p>
        </w:tc>
        <w:tc>
          <w:tcPr>
            <w:tcW w:w="2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E-14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Balance</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Maturity</w:t>
            </w:r>
          </w:p>
        </w:tc>
        <w:tc>
          <w:tcPr>
            <w:tcW w:w="7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Rate</w:t>
            </w:r>
          </w:p>
        </w:tc>
        <w:tc>
          <w:tcPr>
            <w:tcW w:w="440" w:type="dxa"/>
            <w:vAlign w:val="bottom"/>
          </w:tcPr>
          <w:p>
            <w:pPr>
              <w:spacing w:after="0"/>
              <w:rPr>
                <w:sz w:val="14"/>
                <w:szCs w:val="14"/>
                <w:color w:val="auto"/>
              </w:rPr>
            </w:pPr>
          </w:p>
        </w:tc>
        <w:tc>
          <w:tcPr>
            <w:tcW w:w="15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5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Mortgages and Construction Loans</w:t>
            </w:r>
          </w:p>
        </w:tc>
        <w:tc>
          <w:tcPr>
            <w:tcW w:w="1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Leesburg Plaza</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10/01/08</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6.510%</w:t>
            </w:r>
          </w:p>
        </w:tc>
        <w:tc>
          <w:tcPr>
            <w:tcW w:w="44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Federal Plaza</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06/01/11</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6.750%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36,206</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Tysons Station</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09/01/11</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7.400%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6,943</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164 E Houston Street</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10/06/08</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7.500%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295</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Barracks Road</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11/01/15</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44,300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Hauppauge</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11/01/15</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16,700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Lawrence Park</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11/01/15</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31,400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Wildwood</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11/01/15</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27,600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Wynnewood</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11/01/15</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32,000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Brick Plaza</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11/01/15</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7.415%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33,000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Friendship Center</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09/22/03</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libor + 1.35%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17,000</w:t>
            </w:r>
          </w:p>
        </w:tc>
        <w:tc>
          <w:tcPr>
            <w:tcW w:w="960" w:type="dxa"/>
            <w:vAlign w:val="bottom"/>
          </w:tcPr>
          <w:p>
            <w:pPr>
              <w:spacing w:after="0"/>
              <w:rPr>
                <w:sz w:val="14"/>
                <w:szCs w:val="14"/>
                <w:color w:val="auto"/>
              </w:rPr>
            </w:pPr>
          </w:p>
        </w:tc>
      </w:tr>
      <w:tr>
        <w:trPr>
          <w:trHeight w:val="166"/>
        </w:trPr>
        <w:tc>
          <w:tcPr>
            <w:tcW w:w="4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Construction loan on Woodmont East</w:t>
            </w: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4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(may be extended to 8/29/04)</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08/29/02</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libor + 1.35%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23,508</w:t>
            </w:r>
          </w:p>
        </w:tc>
        <w:tc>
          <w:tcPr>
            <w:tcW w:w="960" w:type="dxa"/>
            <w:vAlign w:val="bottom"/>
          </w:tcPr>
          <w:p>
            <w:pPr>
              <w:spacing w:after="0"/>
              <w:rPr>
                <w:sz w:val="14"/>
                <w:szCs w:val="14"/>
                <w:color w:val="auto"/>
              </w:rPr>
            </w:pPr>
          </w:p>
        </w:tc>
      </w:tr>
      <w:tr>
        <w:trPr>
          <w:trHeight w:val="166"/>
        </w:trPr>
        <w:tc>
          <w:tcPr>
            <w:tcW w:w="4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Construction loan on Santana Row</w:t>
            </w: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4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(may be extended to 4/16/06)</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04/16/04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libor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93,086</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Escondido (Municipal bonds)</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10/01/16</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(a)</w:t>
            </w: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9,400</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381,338</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Revolving credit facilities</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12/19/03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libor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.80%</w:t>
            </w:r>
          </w:p>
        </w:tc>
        <w:tc>
          <w:tcPr>
            <w:tcW w:w="44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55,000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Term note with banks</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12/19/03</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125,000</w:t>
            </w:r>
          </w:p>
        </w:tc>
        <w:tc>
          <w:tcPr>
            <w:tcW w:w="960" w:type="dxa"/>
            <w:vAlign w:val="bottom"/>
          </w:tcPr>
          <w:p>
            <w:pPr>
              <w:spacing w:after="0"/>
              <w:rPr>
                <w:sz w:val="14"/>
                <w:szCs w:val="14"/>
                <w:color w:val="auto"/>
              </w:rPr>
            </w:pPr>
          </w:p>
        </w:tc>
      </w:tr>
      <w:tr>
        <w:trPr>
          <w:trHeight w:val="166"/>
        </w:trPr>
        <w:tc>
          <w:tcPr>
            <w:tcW w:w="4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Note issued in Connection with</w:t>
            </w: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74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renovation of Perring Plaza</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01/31/13</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2,359</w:t>
            </w:r>
          </w:p>
        </w:tc>
        <w:tc>
          <w:tcPr>
            <w:tcW w:w="960" w:type="dxa"/>
            <w:vAlign w:val="bottom"/>
          </w:tcPr>
          <w:p>
            <w:pPr>
              <w:spacing w:after="0"/>
              <w:rPr>
                <w:sz w:val="14"/>
                <w:szCs w:val="14"/>
                <w:color w:val="auto"/>
              </w:rPr>
            </w:pPr>
          </w:p>
        </w:tc>
      </w:tr>
      <w:tr>
        <w:trPr>
          <w:trHeight w:val="166"/>
        </w:trPr>
        <w:tc>
          <w:tcPr>
            <w:tcW w:w="4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Note issued in connection with land purchase</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06/30/02</w:t>
            </w: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libor + 1.25%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various</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various</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185,801</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04/30/02</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5.250%</w:t>
            </w:r>
          </w:p>
        </w:tc>
        <w:tc>
          <w:tcPr>
            <w:tcW w:w="44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289</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47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10/28/03</w:t>
            </w: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5.250%</w:t>
            </w:r>
          </w:p>
        </w:tc>
        <w:tc>
          <w:tcPr>
            <w:tcW w:w="44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75,000</w:t>
            </w:r>
          </w:p>
        </w:tc>
        <w:tc>
          <w:tcPr>
            <w:tcW w:w="96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8% Notes (fixed)</w:t>
            </w:r>
          </w:p>
        </w:tc>
        <w:tc>
          <w:tcPr>
            <w:tcW w:w="1380" w:type="dxa"/>
            <w:vAlign w:val="bottom"/>
          </w:tcPr>
          <w:p>
            <w:pPr>
              <w:spacing w:after="0"/>
              <w:rPr>
                <w:sz w:val="24"/>
                <w:szCs w:val="2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04/21/02</w:t>
            </w:r>
          </w:p>
        </w:tc>
        <w:tc>
          <w:tcPr>
            <w:tcW w:w="7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8.000%</w:t>
            </w:r>
          </w:p>
        </w:tc>
        <w:tc>
          <w:tcPr>
            <w:tcW w:w="44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w:t>
            </w:r>
          </w:p>
        </w:tc>
        <w:tc>
          <w:tcPr>
            <w:tcW w:w="960" w:type="dxa"/>
            <w:vAlign w:val="bottom"/>
          </w:tcPr>
          <w:p>
            <w:pPr>
              <w:spacing w:after="0"/>
              <w:rPr>
                <w:sz w:val="24"/>
                <w:szCs w:val="2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6.625% Notes (fixed)</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12/01/05</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6.625%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7.48% Debentures</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08/15/26</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7.480%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6.82% Medium Term Notes</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08/01/27</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6.820%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6.74% Medium Term Notes</w:t>
            </w:r>
          </w:p>
        </w:tc>
        <w:tc>
          <w:tcPr>
            <w:tcW w:w="13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(c)</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03/10/04</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6.370%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39,500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6.99% Medium Term Notes</w:t>
            </w:r>
          </w:p>
        </w:tc>
        <w:tc>
          <w:tcPr>
            <w:tcW w:w="13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(c)</w:t>
            </w: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03/10/06</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6.894%</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40,500</w:t>
            </w:r>
          </w:p>
        </w:tc>
        <w:tc>
          <w:tcPr>
            <w:tcW w:w="960" w:type="dxa"/>
            <w:vAlign w:val="bottom"/>
          </w:tcPr>
          <w:p>
            <w:pPr>
              <w:spacing w:after="0"/>
              <w:rPr>
                <w:sz w:val="14"/>
                <w:szCs w:val="14"/>
                <w:color w:val="auto"/>
              </w:rPr>
            </w:pPr>
          </w:p>
        </w:tc>
      </w:tr>
      <w:tr>
        <w:trPr>
          <w:trHeight w:val="166"/>
        </w:trPr>
        <w:tc>
          <w:tcPr>
            <w:tcW w:w="3360" w:type="dxa"/>
            <w:vAlign w:val="bottom"/>
          </w:tcPr>
          <w:p>
            <w:pPr>
              <w:ind w:left="960"/>
              <w:spacing w:after="0"/>
              <w:rPr>
                <w:sz w:val="20"/>
                <w:szCs w:val="20"/>
                <w:color w:val="auto"/>
              </w:rPr>
            </w:pPr>
            <w:r>
              <w:rPr>
                <w:rFonts w:ascii="Courier New" w:cs="Courier New" w:eastAsia="Courier New" w:hAnsi="Courier New"/>
                <w:sz w:val="14"/>
                <w:szCs w:val="14"/>
                <w:color w:val="auto"/>
              </w:rPr>
              <w:t>8.75% Notes</w:t>
            </w:r>
          </w:p>
        </w:tc>
        <w:tc>
          <w:tcPr>
            <w:tcW w:w="1380" w:type="dxa"/>
            <w:vAlign w:val="bottom"/>
          </w:tcPr>
          <w:p>
            <w:pPr>
              <w:spacing w:after="0"/>
              <w:rPr>
                <w:sz w:val="14"/>
                <w:szCs w:val="14"/>
                <w:color w:val="auto"/>
              </w:rPr>
            </w:pPr>
          </w:p>
        </w:tc>
        <w:tc>
          <w:tcPr>
            <w:tcW w:w="2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12/01/09</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8.750%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175,000</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410,000</w:t>
            </w:r>
          </w:p>
        </w:tc>
        <w:tc>
          <w:tcPr>
            <w:tcW w:w="96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r>
      <w:tr>
        <w:trPr>
          <w:trHeight w:val="331"/>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Total fixed rate debt</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851,034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80.86%</w:t>
            </w:r>
          </w:p>
        </w:tc>
      </w:tr>
      <w:tr>
        <w:trPr>
          <w:trHeight w:val="331"/>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Total variable rate debt</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201,394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19.14%</w:t>
            </w: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$ 1,052,428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interest rate:</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4" w:lineRule="exact"/>
        <w:rPr>
          <w:sz w:val="20"/>
          <w:szCs w:val="20"/>
          <w:color w:val="auto"/>
        </w:rPr>
      </w:pPr>
    </w:p>
    <w:tbl>
      <w:tblPr>
        <w:tblLayout w:type="fixed"/>
        <w:tblInd w:w="4920" w:type="dxa"/>
        <w:tblCellMar>
          <w:top w:w="0" w:type="dxa"/>
          <w:left w:w="0" w:type="dxa"/>
          <w:bottom w:w="0" w:type="dxa"/>
          <w:right w:w="0" w:type="dxa"/>
        </w:tblCellMar>
      </w:tblPr>
      <w:tr>
        <w:trPr>
          <w:trHeight w:val="162"/>
        </w:trPr>
        <w:tc>
          <w:tcPr>
            <w:tcW w:w="4000" w:type="dxa"/>
            <w:vAlign w:val="bottom"/>
            <w:gridSpan w:val="3"/>
          </w:tcPr>
          <w:p>
            <w:pPr>
              <w:spacing w:after="0"/>
              <w:rPr>
                <w:sz w:val="20"/>
                <w:szCs w:val="20"/>
                <w:color w:val="auto"/>
              </w:rPr>
            </w:pPr>
            <w:r>
              <w:rPr>
                <w:rFonts w:ascii="Courier New" w:cs="Courier New" w:eastAsia="Courier New" w:hAnsi="Courier New"/>
                <w:sz w:val="14"/>
                <w:szCs w:val="14"/>
                <w:color w:val="auto"/>
              </w:rPr>
              <w:t>Fixed rate debt</w:t>
            </w:r>
          </w:p>
        </w:tc>
        <w:tc>
          <w:tcPr>
            <w:tcW w:w="1120" w:type="dxa"/>
            <w:vAlign w:val="bottom"/>
          </w:tcPr>
          <w:p>
            <w:pPr>
              <w:ind w:left="640"/>
              <w:spacing w:after="0"/>
              <w:rPr>
                <w:sz w:val="20"/>
                <w:szCs w:val="20"/>
                <w:color w:val="auto"/>
              </w:rPr>
            </w:pPr>
            <w:r>
              <w:rPr>
                <w:rFonts w:ascii="Courier New" w:cs="Courier New" w:eastAsia="Courier New" w:hAnsi="Courier New"/>
                <w:sz w:val="14"/>
                <w:szCs w:val="14"/>
                <w:color w:val="auto"/>
              </w:rPr>
              <w:t>7.27%</w:t>
            </w:r>
          </w:p>
        </w:tc>
        <w:tc>
          <w:tcPr>
            <w:tcW w:w="3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Variable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revolving credit facilities</w:t>
            </w:r>
          </w:p>
        </w:tc>
        <w:tc>
          <w:tcPr>
            <w:tcW w:w="1120" w:type="dxa"/>
            <w:vAlign w:val="bottom"/>
          </w:tcPr>
          <w:p>
            <w:pPr>
              <w:ind w:left="640"/>
              <w:spacing w:after="0"/>
              <w:rPr>
                <w:sz w:val="20"/>
                <w:szCs w:val="20"/>
                <w:color w:val="auto"/>
              </w:rPr>
            </w:pPr>
            <w:r>
              <w:rPr>
                <w:rFonts w:ascii="Courier New" w:cs="Courier New" w:eastAsia="Courier New" w:hAnsi="Courier New"/>
                <w:sz w:val="14"/>
                <w:szCs w:val="14"/>
                <w:color w:val="auto"/>
              </w:rPr>
              <w:t>2.64%</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Variable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muncipal bonds</w:t>
            </w:r>
          </w:p>
        </w:tc>
        <w:tc>
          <w:tcPr>
            <w:tcW w:w="1120" w:type="dxa"/>
            <w:vAlign w:val="bottom"/>
          </w:tcPr>
          <w:p>
            <w:pPr>
              <w:ind w:left="640"/>
              <w:spacing w:after="0"/>
              <w:rPr>
                <w:sz w:val="20"/>
                <w:szCs w:val="20"/>
                <w:color w:val="auto"/>
              </w:rPr>
            </w:pPr>
            <w:r>
              <w:rPr>
                <w:rFonts w:ascii="Courier New" w:cs="Courier New" w:eastAsia="Courier New" w:hAnsi="Courier New"/>
                <w:sz w:val="14"/>
                <w:szCs w:val="14"/>
                <w:color w:val="auto"/>
              </w:rPr>
              <w:t>3.23</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w:t>
            </w:r>
          </w:p>
        </w:tc>
      </w:tr>
    </w:tbl>
    <w:p>
      <w:pPr>
        <w:spacing w:after="0" w:line="335" w:lineRule="exact"/>
        <w:rPr>
          <w:sz w:val="20"/>
          <w:szCs w:val="20"/>
          <w:color w:val="auto"/>
        </w:rPr>
      </w:pPr>
    </w:p>
    <w:p>
      <w:pPr>
        <w:ind w:left="360" w:right="4480" w:hanging="352"/>
        <w:spacing w:after="0" w:line="250"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 The weighted average interest rate for the three months ended March 31, 2002, was 3.23%.</w:t>
      </w:r>
    </w:p>
    <w:p>
      <w:pPr>
        <w:spacing w:after="0" w:line="1" w:lineRule="exact"/>
        <w:rPr>
          <w:rFonts w:ascii="Courier New" w:cs="Courier New" w:eastAsia="Courier New" w:hAnsi="Courier New"/>
          <w:sz w:val="14"/>
          <w:szCs w:val="14"/>
          <w:color w:val="auto"/>
        </w:rPr>
      </w:pPr>
    </w:p>
    <w:p>
      <w:pPr>
        <w:ind w:left="360" w:right="4740" w:hanging="352"/>
        <w:spacing w:after="0" w:line="250"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LIBOR plus 95 basis points. The Trust purchased interest rate swaps or hedges on this note, thereby locking in the LIBOR interest rate at 5.27%.</w:t>
      </w:r>
    </w:p>
    <w:p>
      <w:pPr>
        <w:ind w:left="360" w:right="4740" w:hanging="352"/>
        <w:spacing w:after="0" w:line="250"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at issuance, thereby reducing the effective interest on these notes.</w:t>
      </w:r>
    </w:p>
    <w:p>
      <w:pPr>
        <w:ind w:left="360" w:right="4920" w:hanging="352"/>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three months ended March 31, 2002.</w:t>
      </w:r>
    </w:p>
    <w:p>
      <w:pPr>
        <w:spacing w:after="0" w:line="16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DEBT MATURITIES</w:t>
        <w:tab/>
        <w:t>(excluding capital leases)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Assumes the option to extend the Woodmont East construction loan is exercised</w:t>
      </w:r>
    </w:p>
    <w:p>
      <w:pPr>
        <w:spacing w:after="0" w:line="200" w:lineRule="exact"/>
        <w:rPr>
          <w:sz w:val="20"/>
          <w:szCs w:val="20"/>
          <w:color w:val="auto"/>
        </w:rPr>
      </w:pPr>
    </w:p>
    <w:p>
      <w:pPr>
        <w:spacing w:after="0" w:line="304" w:lineRule="exact"/>
        <w:rPr>
          <w:sz w:val="20"/>
          <w:szCs w:val="20"/>
          <w:color w:val="auto"/>
        </w:rPr>
      </w:pPr>
    </w:p>
    <w:p>
      <w:pPr>
        <w:ind w:left="10180"/>
        <w:spacing w:after="0"/>
        <w:rPr>
          <w:sz w:val="20"/>
          <w:szCs w:val="20"/>
          <w:color w:val="auto"/>
        </w:rPr>
      </w:pPr>
      <w:r>
        <w:rPr>
          <w:rFonts w:ascii="Courier New" w:cs="Courier New" w:eastAsia="Courier New" w:hAnsi="Courier New"/>
          <w:sz w:val="14"/>
          <w:szCs w:val="14"/>
          <w:color w:val="auto"/>
        </w:rPr>
        <w:t>Cumulative</w:t>
      </w:r>
    </w:p>
    <w:p>
      <w:pPr>
        <w:spacing w:after="0" w:line="7" w:lineRule="exact"/>
        <w:rPr>
          <w:sz w:val="20"/>
          <w:szCs w:val="20"/>
          <w:color w:val="auto"/>
        </w:rPr>
      </w:pPr>
    </w:p>
    <w:p>
      <w:pPr>
        <w:ind w:left="1300"/>
        <w:spacing w:after="0"/>
        <w:tabs>
          <w:tab w:leader="none" w:pos="8520" w:val="left"/>
          <w:tab w:leader="none" w:pos="1016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Percent of</w:t>
      </w:r>
      <w:r>
        <w:rPr>
          <w:sz w:val="20"/>
          <w:szCs w:val="20"/>
          <w:color w:val="auto"/>
        </w:rPr>
        <w:tab/>
      </w:r>
      <w:r>
        <w:rPr>
          <w:rFonts w:ascii="Courier New" w:cs="Courier New" w:eastAsia="Courier New" w:hAnsi="Courier New"/>
          <w:sz w:val="14"/>
          <w:szCs w:val="14"/>
          <w:color w:val="auto"/>
        </w:rPr>
        <w:t>Percent of</w:t>
      </w:r>
    </w:p>
    <w:p>
      <w:pPr>
        <w:spacing w:after="0" w:line="7" w:lineRule="exact"/>
        <w:rPr>
          <w:sz w:val="20"/>
          <w:szCs w:val="20"/>
          <w:color w:val="auto"/>
        </w:rPr>
      </w:pPr>
    </w:p>
    <w:p>
      <w:pPr>
        <w:ind w:left="3540"/>
        <w:spacing w:after="0"/>
        <w:tabs>
          <w:tab w:leader="none" w:pos="8780" w:val="left"/>
          <w:tab w:leader="none" w:pos="10500" w:val="left"/>
        </w:tabs>
        <w:rPr>
          <w:sz w:val="20"/>
          <w:szCs w:val="20"/>
          <w:color w:val="auto"/>
        </w:rPr>
      </w:pPr>
      <w:r>
        <w:rPr>
          <w:rFonts w:ascii="Courier New" w:cs="Courier New" w:eastAsia="Courier New" w:hAnsi="Courier New"/>
          <w:sz w:val="14"/>
          <w:szCs w:val="14"/>
          <w:color w:val="auto"/>
        </w:rPr>
        <w:t>Scheduled</w:t>
      </w:r>
      <w:r>
        <w:rPr>
          <w:sz w:val="20"/>
          <w:szCs w:val="20"/>
          <w:color w:val="auto"/>
        </w:rPr>
        <w:tab/>
      </w:r>
      <w:r>
        <w:rPr>
          <w:rFonts w:ascii="Courier New" w:cs="Courier New" w:eastAsia="Courier New" w:hAnsi="Courier New"/>
          <w:sz w:val="14"/>
          <w:szCs w:val="14"/>
          <w:color w:val="auto"/>
        </w:rPr>
        <w:t>Debt</w:t>
      </w:r>
      <w:r>
        <w:rPr>
          <w:sz w:val="20"/>
          <w:szCs w:val="20"/>
          <w:color w:val="auto"/>
        </w:rPr>
        <w:tab/>
      </w:r>
      <w:r>
        <w:rPr>
          <w:rFonts w:ascii="Courier New" w:cs="Courier New" w:eastAsia="Courier New" w:hAnsi="Courier New"/>
          <w:sz w:val="14"/>
          <w:szCs w:val="14"/>
          <w:color w:val="auto"/>
        </w:rPr>
        <w:t>Debt</w:t>
      </w:r>
    </w:p>
    <w:p>
      <w:pPr>
        <w:spacing w:after="0" w:line="7" w:lineRule="exact"/>
        <w:rPr>
          <w:sz w:val="20"/>
          <w:szCs w:val="20"/>
          <w:color w:val="auto"/>
        </w:rPr>
      </w:pPr>
    </w:p>
    <w:p>
      <w:pPr>
        <w:ind w:left="1740"/>
        <w:spacing w:after="0"/>
        <w:tabs>
          <w:tab w:leader="none" w:pos="3340" w:val="left"/>
          <w:tab w:leader="none" w:pos="5420" w:val="left"/>
          <w:tab w:leader="none" w:pos="7400" w:val="left"/>
          <w:tab w:leader="none" w:pos="8600" w:val="left"/>
          <w:tab w:leader="none" w:pos="1032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Amortization</w:t>
      </w:r>
      <w:r>
        <w:rPr>
          <w:sz w:val="20"/>
          <w:szCs w:val="20"/>
          <w:color w:val="auto"/>
        </w:rPr>
        <w:tab/>
      </w:r>
      <w:r>
        <w:rPr>
          <w:rFonts w:ascii="Courier New" w:cs="Courier New" w:eastAsia="Courier New" w:hAnsi="Courier New"/>
          <w:sz w:val="14"/>
          <w:szCs w:val="14"/>
          <w:color w:val="auto"/>
        </w:rPr>
        <w:t>Maturities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Expiring</w:t>
      </w:r>
      <w:r>
        <w:rPr>
          <w:sz w:val="20"/>
          <w:szCs w:val="20"/>
          <w:color w:val="auto"/>
        </w:rPr>
        <w:tab/>
      </w:r>
      <w:r>
        <w:rPr>
          <w:rFonts w:ascii="Courier New" w:cs="Courier New" w:eastAsia="Courier New" w:hAnsi="Courier New"/>
          <w:sz w:val="14"/>
          <w:szCs w:val="14"/>
          <w:color w:val="auto"/>
        </w:rPr>
        <w:t>Expiring</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380"/>
          </w:cols>
          <w:pgMar w:left="220" w:top="616" w:right="299" w:bottom="0" w:gutter="0" w:footer="0" w:header="0"/>
        </w:sectPr>
      </w:pPr>
    </w:p>
    <w:bookmarkStart w:id="5" w:name="page6"/>
    <w:bookmarkEnd w:id="5"/>
    <w:tbl>
      <w:tblPr>
        <w:tblLayout w:type="fixed"/>
        <w:tblInd w:w="260" w:type="dxa"/>
        <w:tblCellMar>
          <w:top w:w="0" w:type="dxa"/>
          <w:left w:w="0" w:type="dxa"/>
          <w:bottom w:w="0" w:type="dxa"/>
          <w:right w:w="0" w:type="dxa"/>
        </w:tblCellMar>
      </w:tblPr>
      <w:tr>
        <w:trPr>
          <w:trHeight w:val="162"/>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28,689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29,145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846</w:t>
            </w:r>
          </w:p>
        </w:tc>
        <w:tc>
          <w:tcPr>
            <w:tcW w:w="5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272,000</w:t>
            </w: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272,846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2004</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2,810</w:t>
            </w:r>
          </w:p>
        </w:tc>
        <w:tc>
          <w:tcPr>
            <w:tcW w:w="5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156,094</w:t>
            </w: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158,904</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43.8%</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3,063</w:t>
            </w:r>
          </w:p>
        </w:tc>
        <w:tc>
          <w:tcPr>
            <w:tcW w:w="5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40,000</w:t>
            </w: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43,063</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2006</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3,412</w:t>
            </w:r>
          </w:p>
        </w:tc>
        <w:tc>
          <w:tcPr>
            <w:tcW w:w="5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40,500</w:t>
            </w: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43,912</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52.1%</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2007</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3,686</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3,686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2008</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3,918</w:t>
            </w:r>
          </w:p>
        </w:tc>
        <w:tc>
          <w:tcPr>
            <w:tcW w:w="5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9,541</w:t>
            </w: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13,459</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2009</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4,095</w:t>
            </w:r>
          </w:p>
        </w:tc>
        <w:tc>
          <w:tcPr>
            <w:tcW w:w="5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175,046</w:t>
            </w: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179,141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70.8%</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2010</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4,427</w:t>
            </w: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4,427</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71.2%</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2011</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4,287</w:t>
            </w:r>
          </w:p>
        </w:tc>
        <w:tc>
          <w:tcPr>
            <w:tcW w:w="5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37,235</w:t>
            </w: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41,522</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75.1%</w:t>
            </w:r>
          </w:p>
        </w:tc>
      </w:tr>
      <w:tr>
        <w:trPr>
          <w:trHeight w:val="166"/>
        </w:trPr>
        <w:tc>
          <w:tcPr>
            <w:tcW w:w="128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Thereafter</w:t>
            </w:r>
          </w:p>
        </w:tc>
        <w:tc>
          <w:tcPr>
            <w:tcW w:w="108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17,116</w:t>
            </w:r>
          </w:p>
        </w:tc>
        <w:tc>
          <w:tcPr>
            <w:tcW w:w="56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245,207</w:t>
            </w:r>
          </w:p>
        </w:tc>
        <w:tc>
          <w:tcPr>
            <w:tcW w:w="5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262,323</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1280" w:type="dxa"/>
            <w:vAlign w:val="bottom"/>
          </w:tcPr>
          <w:p>
            <w:pPr>
              <w:spacing w:after="0"/>
              <w:rPr>
                <w:sz w:val="14"/>
                <w:szCs w:val="14"/>
                <w:color w:val="auto"/>
              </w:rPr>
            </w:pPr>
          </w:p>
        </w:tc>
        <w:tc>
          <w:tcPr>
            <w:tcW w:w="7020" w:type="dxa"/>
            <w:vAlign w:val="bottom"/>
            <w:gridSpan w:val="7"/>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331"/>
        </w:trPr>
        <w:tc>
          <w:tcPr>
            <w:tcW w:w="1280" w:type="dxa"/>
            <w:vAlign w:val="bottom"/>
          </w:tcPr>
          <w:p>
            <w:pPr>
              <w:spacing w:after="0"/>
              <w:rPr>
                <w:sz w:val="24"/>
                <w:szCs w:val="24"/>
                <w:color w:val="auto"/>
              </w:rPr>
            </w:pPr>
          </w:p>
        </w:tc>
        <w:tc>
          <w:tcPr>
            <w:tcW w:w="20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$ 48,116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1,004,312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1,052,428</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000" w:type="dxa"/>
            <w:vAlign w:val="bottom"/>
          </w:tcPr>
          <w:p>
            <w:pPr>
              <w:spacing w:after="0"/>
              <w:rPr>
                <w:sz w:val="24"/>
                <w:szCs w:val="24"/>
                <w:color w:val="auto"/>
              </w:rPr>
            </w:pPr>
          </w:p>
        </w:tc>
      </w:tr>
      <w:tr>
        <w:trPr>
          <w:trHeight w:val="166"/>
        </w:trPr>
        <w:tc>
          <w:tcPr>
            <w:tcW w:w="1280" w:type="dxa"/>
            <w:vAlign w:val="bottom"/>
          </w:tcPr>
          <w:p>
            <w:pPr>
              <w:spacing w:after="0"/>
              <w:rPr>
                <w:sz w:val="14"/>
                <w:szCs w:val="14"/>
                <w:color w:val="auto"/>
              </w:rPr>
            </w:pPr>
          </w:p>
        </w:tc>
        <w:tc>
          <w:tcPr>
            <w:tcW w:w="7020" w:type="dxa"/>
            <w:vAlign w:val="bottom"/>
            <w:gridSpan w:val="7"/>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828"/>
        </w:trPr>
        <w:tc>
          <w:tcPr>
            <w:tcW w:w="128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E-2</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9560"/>
          </w:cols>
          <w:pgMar w:left="1440" w:top="307" w:right="899" w:bottom="1440" w:gutter="0" w:footer="0" w:header="0"/>
        </w:sectPr>
      </w:pPr>
    </w:p>
    <w:bookmarkStart w:id="6" w:name="page7"/>
    <w:bookmarkEnd w:id="6"/>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540"/>
          </w:cols>
          <w:pgMar w:left="220" w:top="947" w:right="139" w:bottom="0" w:gutter="0" w:footer="0" w:header="0"/>
        </w:sectPr>
      </w:pP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Overall Operating Occupancy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(Quarter to Quarter Analysis)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At March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40" w:val="left"/>
          <w:tab w:leader="none" w:pos="46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0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77" w:orient="portrait"/>
          <w:cols w:equalWidth="0" w:num="2">
            <w:col w:w="5520" w:space="260"/>
            <w:col w:w="5760"/>
          </w:cols>
          <w:pgMar w:left="220" w:top="94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14,863,316</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14,201,349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w:t>
      </w:r>
    </w:p>
    <w:p>
      <w:pPr>
        <w:spacing w:after="0" w:line="200" w:lineRule="exact"/>
        <w:rPr>
          <w:sz w:val="20"/>
          <w:szCs w:val="20"/>
          <w:color w:val="auto"/>
        </w:rPr>
      </w:pPr>
    </w:p>
    <w:p>
      <w:pPr>
        <w:sectPr>
          <w:pgSz w:w="11900" w:h="16877" w:orient="portrait"/>
          <w:cols w:equalWidth="0" w:num="4">
            <w:col w:w="5500" w:space="720"/>
            <w:col w:w="1340" w:space="720"/>
            <w:col w:w="1600" w:space="720"/>
            <w:col w:w="940"/>
          </w:cols>
          <w:pgMar w:left="220" w:top="947"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Operating Occupancy</w:t>
      </w:r>
    </w:p>
    <w:p>
      <w:pPr>
        <w:spacing w:after="0" w:line="7" w:lineRule="exact"/>
        <w:rPr>
          <w:sz w:val="20"/>
          <w:szCs w:val="20"/>
          <w:color w:val="auto"/>
        </w:rPr>
      </w:pPr>
    </w:p>
    <w:p>
      <w:pPr>
        <w:ind w:left="1380"/>
        <w:spacing w:after="0"/>
        <w:tabs>
          <w:tab w:leader="none" w:pos="7920" w:val="left"/>
        </w:tabs>
        <w:rPr>
          <w:sz w:val="20"/>
          <w:szCs w:val="20"/>
          <w:color w:val="auto"/>
        </w:rPr>
      </w:pPr>
      <w:r>
        <w:rPr>
          <w:rFonts w:ascii="Courier New" w:cs="Courier New" w:eastAsia="Courier New" w:hAnsi="Courier New"/>
          <w:sz w:val="14"/>
          <w:szCs w:val="14"/>
          <w:color w:val="auto"/>
        </w:rPr>
        <w:t>(Quarter to Quarter Analysis)</w:t>
      </w:r>
      <w:r>
        <w:rPr>
          <w:sz w:val="20"/>
          <w:szCs w:val="20"/>
          <w:color w:val="auto"/>
        </w:rPr>
        <w:tab/>
      </w:r>
      <w:r>
        <w:rPr>
          <w:rFonts w:ascii="Courier New" w:cs="Courier New" w:eastAsia="Courier New" w:hAnsi="Courier New"/>
          <w:sz w:val="14"/>
          <w:szCs w:val="14"/>
          <w:color w:val="auto"/>
        </w:rPr>
        <w:t>At March 31, 2001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tabs>
          <w:tab w:leader="none" w:pos="6360" w:val="left"/>
          <w:tab w:leader="none" w:pos="8420" w:val="left"/>
          <w:tab w:leader="none" w:pos="10320" w:val="left"/>
        </w:tabs>
        <w:rPr>
          <w:sz w:val="20"/>
          <w:szCs w:val="20"/>
          <w:color w:val="auto"/>
        </w:rPr>
      </w:pPr>
      <w:r>
        <w:rPr>
          <w:rFonts w:ascii="Courier New" w:cs="Courier New" w:eastAsia="Courier New" w:hAnsi="Courier New"/>
          <w:sz w:val="14"/>
          <w:szCs w:val="14"/>
          <w:color w:val="auto"/>
        </w:rPr>
        <w:t>Type</w:t>
      </w:r>
      <w:r>
        <w:rPr>
          <w:sz w:val="20"/>
          <w:szCs w:val="20"/>
          <w:color w:val="auto"/>
        </w:rPr>
        <w:tab/>
      </w: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tabs>
          <w:tab w:leader="none" w:pos="5940" w:val="left"/>
          <w:tab w:leader="none" w:pos="8080" w:val="left"/>
          <w:tab w:leader="none" w:pos="101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77" w:orient="portrait"/>
          <w:cols w:equalWidth="0" w:num="1">
            <w:col w:w="11540"/>
          </w:cols>
          <w:pgMar w:left="220" w:top="947" w:right="139" w:bottom="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14,609,901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13,938,466</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77" w:orient="portrait"/>
          <w:cols w:equalWidth="0" w:num="4">
            <w:col w:w="5400" w:space="720"/>
            <w:col w:w="1440" w:space="720"/>
            <w:col w:w="1680" w:space="720"/>
            <w:col w:w="860"/>
          </w:cols>
          <w:pgMar w:left="220" w:top="947"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Overall Operating Occupancy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At March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40" w:val="left"/>
          <w:tab w:leader="none" w:pos="46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0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77" w:orient="portrait"/>
          <w:cols w:equalWidth="0" w:num="2">
            <w:col w:w="5520" w:space="260"/>
            <w:col w:w="5760"/>
          </w:cols>
          <w:pgMar w:left="220" w:top="94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14,863,316</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14,201,349</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w:t>
      </w:r>
    </w:p>
    <w:p>
      <w:pPr>
        <w:spacing w:after="0" w:line="200" w:lineRule="exact"/>
        <w:rPr>
          <w:sz w:val="20"/>
          <w:szCs w:val="20"/>
          <w:color w:val="auto"/>
        </w:rPr>
      </w:pPr>
    </w:p>
    <w:p>
      <w:pPr>
        <w:sectPr>
          <w:pgSz w:w="11900" w:h="16877" w:orient="portrait"/>
          <w:cols w:equalWidth="0" w:num="4">
            <w:col w:w="5500" w:space="720"/>
            <w:col w:w="1340" w:space="720"/>
            <w:col w:w="1680" w:space="720"/>
            <w:col w:w="860"/>
          </w:cols>
          <w:pgMar w:left="220" w:top="947"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Overall Operating Occupancy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At 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40" w:val="left"/>
          <w:tab w:leader="none" w:pos="45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0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77" w:orient="portrait"/>
          <w:cols w:equalWidth="0" w:num="2">
            <w:col w:w="5520" w:space="260"/>
            <w:col w:w="5760"/>
          </w:cols>
          <w:pgMar w:left="220" w:top="94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14,761,301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14,116,003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77" w:orient="portrait"/>
          <w:cols w:equalWidth="0" w:num="4">
            <w:col w:w="5400" w:space="720"/>
            <w:col w:w="1440" w:space="720"/>
            <w:col w:w="1600" w:space="720"/>
            <w:col w:w="940"/>
          </w:cols>
          <w:pgMar w:left="220" w:top="947"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Overall Operating Occupancy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At September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40" w:val="left"/>
          <w:tab w:leader="none" w:pos="45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0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77" w:orient="portrait"/>
          <w:cols w:equalWidth="0" w:num="2">
            <w:col w:w="5520" w:space="260"/>
            <w:col w:w="5760"/>
          </w:cols>
          <w:pgMar w:left="220" w:top="94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14,586,960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13,969,698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77" w:orient="portrait"/>
          <w:cols w:equalWidth="0" w:num="4">
            <w:col w:w="5400" w:space="720"/>
            <w:col w:w="1440" w:space="720"/>
            <w:col w:w="1520" w:space="720"/>
            <w:col w:w="1020"/>
          </w:cols>
          <w:pgMar w:left="220" w:top="947" w:right="1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Overall Operating Occupancy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At June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740" w:val="left"/>
          <w:tab w:leader="none" w:pos="46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400" w:val="left"/>
          <w:tab w:leader="none" w:pos="4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77" w:orient="portrait"/>
          <w:cols w:equalWidth="0" w:num="2">
            <w:col w:w="5520" w:space="260"/>
            <w:col w:w="5760"/>
          </w:cols>
          <w:pgMar w:left="220" w:top="947"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14,401,918</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13,763,220</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77" w:orient="portrait"/>
          <w:cols w:equalWidth="0" w:num="4">
            <w:col w:w="5500" w:space="720"/>
            <w:col w:w="1500" w:space="720"/>
            <w:col w:w="1520" w:space="720"/>
            <w:col w:w="860"/>
          </w:cols>
          <w:pgMar w:left="220" w:top="947" w:right="139" w:bottom="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Same Center Occupancy</w:t>
      </w:r>
    </w:p>
    <w:p>
      <w:pPr>
        <w:sectPr>
          <w:pgSz w:w="11900" w:h="16877" w:orient="portrait"/>
          <w:cols w:equalWidth="0" w:num="1">
            <w:col w:w="11540"/>
          </w:cols>
          <w:pgMar w:left="220" w:top="947" w:right="139" w:bottom="0" w:gutter="0" w:footer="0" w:header="0"/>
          <w:type w:val="continuous"/>
        </w:sectPr>
      </w:pPr>
    </w:p>
    <w:bookmarkStart w:id="7" w:name="page8"/>
    <w:bookmarkEnd w:id="7"/>
    <w:p>
      <w:pPr>
        <w:ind w:left="1300"/>
        <w:spacing w:after="0"/>
        <w:rPr>
          <w:sz w:val="20"/>
          <w:szCs w:val="20"/>
          <w:color w:val="auto"/>
        </w:rPr>
      </w:pPr>
      <w:r>
        <w:rPr>
          <w:rFonts w:ascii="Courier New" w:cs="Courier New" w:eastAsia="Courier New" w:hAnsi="Courier New"/>
          <w:sz w:val="14"/>
          <w:szCs w:val="14"/>
          <w:color w:val="auto"/>
        </w:rPr>
        <w:t>(Quarter to Quarter Comparison)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2060"/>
        <w:spacing w:after="0"/>
        <w:rPr>
          <w:sz w:val="20"/>
          <w:szCs w:val="20"/>
          <w:color w:val="auto"/>
        </w:rPr>
      </w:pPr>
      <w:r>
        <w:rPr>
          <w:rFonts w:ascii="Courier New" w:cs="Courier New" w:eastAsia="Courier New" w:hAnsi="Courier New"/>
          <w:sz w:val="14"/>
          <w:szCs w:val="14"/>
          <w:color w:val="auto"/>
        </w:rPr>
        <w:t>At March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40" w:val="left"/>
          <w:tab w:leader="none" w:pos="46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0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20" w:space="260"/>
            <w:col w:w="5760"/>
          </w:cols>
          <w:pgMar w:left="220" w:top="141" w:right="139" w:bottom="1440" w:gutter="0" w:footer="0" w:header="0"/>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14,401,838</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13,758,702</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w:t>
      </w:r>
    </w:p>
    <w:p>
      <w:pPr>
        <w:spacing w:after="0" w:line="200" w:lineRule="exact"/>
        <w:rPr>
          <w:sz w:val="20"/>
          <w:szCs w:val="20"/>
          <w:color w:val="auto"/>
        </w:rPr>
      </w:pPr>
    </w:p>
    <w:p>
      <w:pPr>
        <w:sectPr>
          <w:pgSz w:w="11900" w:h="16838" w:orient="portrait"/>
          <w:cols w:equalWidth="0" w:num="4">
            <w:col w:w="5400" w:space="720"/>
            <w:col w:w="1360" w:space="720"/>
            <w:col w:w="1760" w:space="720"/>
            <w:col w:w="860"/>
          </w:cols>
          <w:pgMar w:left="220" w:top="14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Same Center Occupancy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(Quarter to Quarter Comparison)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At March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40" w:val="left"/>
          <w:tab w:leader="none" w:pos="45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0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20" w:space="260"/>
            <w:col w:w="576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14,300,826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13,635,785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4">
            <w:col w:w="5580" w:space="720"/>
            <w:col w:w="1340" w:space="720"/>
            <w:col w:w="1520" w:space="720"/>
            <w:col w:w="940"/>
          </w:cols>
          <w:pgMar w:left="220" w:top="14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Same Center Occupancy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At March 31,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40" w:val="left"/>
          <w:tab w:leader="none" w:pos="46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0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20" w:space="260"/>
            <w:col w:w="576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14,401,838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13,758,702</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274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97%</w:t>
      </w:r>
    </w:p>
    <w:p>
      <w:pPr>
        <w:spacing w:after="0" w:line="200" w:lineRule="exact"/>
        <w:rPr>
          <w:sz w:val="20"/>
          <w:szCs w:val="20"/>
          <w:color w:val="auto"/>
        </w:rPr>
      </w:pPr>
    </w:p>
    <w:p>
      <w:pPr>
        <w:sectPr>
          <w:pgSz w:w="11900" w:h="16838" w:orient="portrait"/>
          <w:cols w:equalWidth="0" w:num="4">
            <w:col w:w="5400" w:space="720"/>
            <w:col w:w="1360" w:space="720"/>
            <w:col w:w="1680" w:space="720"/>
            <w:col w:w="940"/>
          </w:cols>
          <w:pgMar w:left="220" w:top="14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Same Center Occupancy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At 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40" w:val="left"/>
          <w:tab w:leader="none" w:pos="45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0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20" w:space="260"/>
            <w:col w:w="576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13,871,494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13,239,805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4">
            <w:col w:w="5740" w:space="720"/>
            <w:col w:w="1360" w:space="720"/>
            <w:col w:w="1260" w:space="720"/>
            <w:col w:w="1020"/>
          </w:cols>
          <w:pgMar w:left="220" w:top="14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Same Center Occupancy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At September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660" w:val="left"/>
          <w:tab w:leader="none" w:pos="456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32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20" w:space="340"/>
            <w:col w:w="568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13,729,885</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13,145,884</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4">
            <w:col w:w="5740" w:space="720"/>
            <w:col w:w="1440" w:space="720"/>
            <w:col w:w="1180" w:space="720"/>
            <w:col w:w="1020"/>
          </w:cols>
          <w:pgMar w:left="220" w:top="14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Same Center Occupancy</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(Rolling 12 Months)</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At June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0"/>
        <w:spacing w:after="0"/>
        <w:tabs>
          <w:tab w:leader="none" w:pos="2740" w:val="left"/>
          <w:tab w:leader="none" w:pos="4640" w:val="left"/>
        </w:tabs>
        <w:rPr>
          <w:sz w:val="20"/>
          <w:szCs w:val="20"/>
          <w:color w:val="auto"/>
        </w:rPr>
      </w:pPr>
      <w:r>
        <w:rPr>
          <w:rFonts w:ascii="Courier New" w:cs="Courier New" w:eastAsia="Courier New" w:hAnsi="Courier New"/>
          <w:sz w:val="14"/>
          <w:szCs w:val="14"/>
          <w:color w:val="auto"/>
        </w:rPr>
        <w:t>Size</w:t>
      </w:r>
      <w:r>
        <w:rPr>
          <w:sz w:val="20"/>
          <w:szCs w:val="20"/>
          <w:color w:val="auto"/>
        </w:rPr>
        <w:tab/>
      </w:r>
      <w:r>
        <w:rPr>
          <w:rFonts w:ascii="Courier New" w:cs="Courier New" w:eastAsia="Courier New" w:hAnsi="Courier New"/>
          <w:sz w:val="14"/>
          <w:szCs w:val="14"/>
          <w:color w:val="auto"/>
        </w:rPr>
        <w:t>Leased</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ind w:left="180"/>
        <w:spacing w:after="0"/>
        <w:tabs>
          <w:tab w:leader="none" w:pos="2400" w:val="left"/>
          <w:tab w:leader="none" w:pos="4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520" w:space="260"/>
            <w:col w:w="576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13,676,328</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13,072,483</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4">
            <w:col w:w="5740" w:space="720"/>
            <w:col w:w="1520" w:space="720"/>
            <w:col w:w="1180" w:space="720"/>
            <w:col w:w="940"/>
          </w:cols>
          <w:pgMar w:left="220" w:top="141" w:right="139"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1540"/>
          </w:cols>
          <w:pgMar w:left="220" w:top="141" w:right="139"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5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Total Square</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940" w:type="dxa"/>
            <w:vAlign w:val="bottom"/>
          </w:tcPr>
          <w:p>
            <w:pPr>
              <w:ind w:left="860"/>
              <w:spacing w:after="0"/>
              <w:rPr>
                <w:sz w:val="20"/>
                <w:szCs w:val="20"/>
                <w:color w:val="auto"/>
              </w:rPr>
            </w:pPr>
            <w:r>
              <w:rPr>
                <w:rFonts w:ascii="Courier New" w:cs="Courier New" w:eastAsia="Courier New" w:hAnsi="Courier New"/>
                <w:sz w:val="14"/>
                <w:szCs w:val="14"/>
                <w:color w:val="auto"/>
              </w:rPr>
              <w:t>Region</w:t>
            </w:r>
          </w:p>
        </w:tc>
        <w:tc>
          <w:tcPr>
            <w:tcW w:w="25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Footage</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03/31/02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5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7,499,108</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5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6,219,368</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25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1,144,840</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24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Total Square</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940" w:type="dxa"/>
            <w:vAlign w:val="bottom"/>
          </w:tcPr>
          <w:p>
            <w:pPr>
              <w:ind w:left="860"/>
              <w:spacing w:after="0"/>
              <w:rPr>
                <w:sz w:val="20"/>
                <w:szCs w:val="20"/>
                <w:color w:val="auto"/>
              </w:rPr>
            </w:pPr>
            <w:r>
              <w:rPr>
                <w:rFonts w:ascii="Courier New" w:cs="Courier New" w:eastAsia="Courier New" w:hAnsi="Courier New"/>
                <w:sz w:val="14"/>
                <w:szCs w:val="14"/>
                <w:color w:val="auto"/>
              </w:rPr>
              <w:t>Region</w:t>
            </w:r>
          </w:p>
        </w:tc>
        <w:tc>
          <w:tcPr>
            <w:tcW w:w="24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Footage</w:t>
            </w:r>
          </w:p>
        </w:tc>
        <w:tc>
          <w:tcPr>
            <w:tcW w:w="1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03/31/02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4,749,945</w:t>
            </w:r>
          </w:p>
        </w:tc>
        <w:tc>
          <w:tcPr>
            <w:tcW w:w="1680" w:type="dxa"/>
            <w:vAlign w:val="bottom"/>
          </w:tcPr>
          <w:p>
            <w:pPr>
              <w:ind w:left="720"/>
              <w:spacing w:after="0"/>
              <w:rPr>
                <w:sz w:val="20"/>
                <w:szCs w:val="20"/>
                <w:color w:val="auto"/>
              </w:rPr>
            </w:pPr>
            <w:r>
              <w:rPr>
                <w:rFonts w:ascii="Courier New" w:cs="Courier New" w:eastAsia="Courier New" w:hAnsi="Courier New"/>
                <w:sz w:val="14"/>
                <w:szCs w:val="14"/>
                <w:color w:val="auto"/>
              </w:rPr>
              <w:t>98%</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2,749,163</w:t>
            </w:r>
          </w:p>
        </w:tc>
        <w:tc>
          <w:tcPr>
            <w:tcW w:w="1680" w:type="dxa"/>
            <w:vAlign w:val="bottom"/>
          </w:tcPr>
          <w:p>
            <w:pPr>
              <w:ind w:left="720"/>
              <w:spacing w:after="0"/>
              <w:rPr>
                <w:sz w:val="20"/>
                <w:szCs w:val="20"/>
                <w:color w:val="auto"/>
              </w:rPr>
            </w:pPr>
            <w:r>
              <w:rPr>
                <w:rFonts w:ascii="Courier New" w:cs="Courier New" w:eastAsia="Courier New" w:hAnsi="Courier New"/>
                <w:sz w:val="14"/>
                <w:szCs w:val="14"/>
                <w:color w:val="auto"/>
              </w:rPr>
              <w:t>91%</w:t>
            </w:r>
          </w:p>
        </w:tc>
      </w:tr>
      <w:tr>
        <w:trPr>
          <w:trHeight w:val="166"/>
        </w:trPr>
        <w:tc>
          <w:tcPr>
            <w:tcW w:w="2940" w:type="dxa"/>
            <w:vAlign w:val="bottom"/>
          </w:tcPr>
          <w:p>
            <w:pPr>
              <w:spacing w:after="0"/>
              <w:rPr>
                <w:sz w:val="14"/>
                <w:szCs w:val="14"/>
                <w:color w:val="auto"/>
              </w:rPr>
            </w:pP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7,499,108</w:t>
            </w:r>
          </w:p>
        </w:tc>
        <w:tc>
          <w:tcPr>
            <w:tcW w:w="168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2,920,469</w:t>
            </w:r>
          </w:p>
        </w:tc>
        <w:tc>
          <w:tcPr>
            <w:tcW w:w="1680" w:type="dxa"/>
            <w:vAlign w:val="bottom"/>
          </w:tcPr>
          <w:p>
            <w:pPr>
              <w:ind w:left="720"/>
              <w:spacing w:after="0"/>
              <w:rPr>
                <w:sz w:val="20"/>
                <w:szCs w:val="20"/>
                <w:color w:val="auto"/>
              </w:rPr>
            </w:pPr>
            <w:r>
              <w:rPr>
                <w:rFonts w:ascii="Courier New" w:cs="Courier New" w:eastAsia="Courier New" w:hAnsi="Courier New"/>
                <w:sz w:val="14"/>
                <w:szCs w:val="14"/>
                <w:color w:val="auto"/>
              </w:rPr>
              <w:t>99%</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3,298,899</w:t>
            </w:r>
          </w:p>
        </w:tc>
        <w:tc>
          <w:tcPr>
            <w:tcW w:w="1680" w:type="dxa"/>
            <w:vAlign w:val="bottom"/>
          </w:tcPr>
          <w:p>
            <w:pPr>
              <w:ind w:left="720"/>
              <w:spacing w:after="0"/>
              <w:rPr>
                <w:sz w:val="20"/>
                <w:szCs w:val="20"/>
                <w:color w:val="auto"/>
              </w:rPr>
            </w:pPr>
            <w:r>
              <w:rPr>
                <w:rFonts w:ascii="Courier New" w:cs="Courier New" w:eastAsia="Courier New" w:hAnsi="Courier New"/>
                <w:sz w:val="14"/>
                <w:szCs w:val="14"/>
                <w:color w:val="auto"/>
              </w:rPr>
              <w:t>93%</w:t>
            </w:r>
          </w:p>
        </w:tc>
      </w:tr>
      <w:tr>
        <w:trPr>
          <w:trHeight w:val="166"/>
        </w:trPr>
        <w:tc>
          <w:tcPr>
            <w:tcW w:w="2940" w:type="dxa"/>
            <w:vAlign w:val="bottom"/>
          </w:tcPr>
          <w:p>
            <w:pPr>
              <w:spacing w:after="0"/>
              <w:rPr>
                <w:sz w:val="14"/>
                <w:szCs w:val="14"/>
                <w:color w:val="auto"/>
              </w:rPr>
            </w:pP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6,219,368</w:t>
            </w:r>
          </w:p>
        </w:tc>
        <w:tc>
          <w:tcPr>
            <w:tcW w:w="1680" w:type="dxa"/>
            <w:vAlign w:val="bottom"/>
          </w:tcPr>
          <w:p>
            <w:pPr>
              <w:spacing w:after="0"/>
              <w:rPr>
                <w:sz w:val="14"/>
                <w:szCs w:val="14"/>
                <w:color w:val="auto"/>
              </w:rPr>
            </w:pP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24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361,313</w:t>
            </w:r>
          </w:p>
        </w:tc>
        <w:tc>
          <w:tcPr>
            <w:tcW w:w="1680" w:type="dxa"/>
            <w:vAlign w:val="bottom"/>
          </w:tcPr>
          <w:p>
            <w:pPr>
              <w:ind w:left="72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783,527</w:t>
            </w:r>
          </w:p>
        </w:tc>
        <w:tc>
          <w:tcPr>
            <w:tcW w:w="16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90%</w:t>
            </w:r>
          </w:p>
        </w:tc>
      </w:tr>
      <w:tr>
        <w:trPr>
          <w:trHeight w:val="166"/>
        </w:trPr>
        <w:tc>
          <w:tcPr>
            <w:tcW w:w="2940" w:type="dxa"/>
            <w:vAlign w:val="bottom"/>
          </w:tcPr>
          <w:p>
            <w:pPr>
              <w:spacing w:after="0"/>
              <w:rPr>
                <w:sz w:val="14"/>
                <w:szCs w:val="14"/>
                <w:color w:val="auto"/>
              </w:rPr>
            </w:pP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2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1,144,840</w:t>
            </w:r>
          </w:p>
        </w:tc>
        <w:tc>
          <w:tcPr>
            <w:tcW w:w="1680" w:type="dxa"/>
            <w:vAlign w:val="bottom"/>
          </w:tcPr>
          <w:p>
            <w:pPr>
              <w:spacing w:after="0"/>
              <w:rPr>
                <w:sz w:val="14"/>
                <w:szCs w:val="14"/>
                <w:color w:val="auto"/>
              </w:rPr>
            </w:pPr>
          </w:p>
        </w:tc>
      </w:tr>
      <w:tr>
        <w:trPr>
          <w:trHeight w:val="497"/>
        </w:trPr>
        <w:tc>
          <w:tcPr>
            <w:tcW w:w="2940" w:type="dxa"/>
            <w:vAlign w:val="bottom"/>
          </w:tcPr>
          <w:p>
            <w:pPr>
              <w:spacing w:after="0"/>
              <w:rPr>
                <w:sz w:val="24"/>
                <w:szCs w:val="24"/>
                <w:color w:val="auto"/>
              </w:rPr>
            </w:pPr>
          </w:p>
        </w:tc>
        <w:tc>
          <w:tcPr>
            <w:tcW w:w="246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E-4</w:t>
            </w:r>
          </w:p>
        </w:tc>
        <w:tc>
          <w:tcPr>
            <w:tcW w:w="16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Sales/Occupancy Costs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Average</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720" w:type="dxa"/>
            <w:vAlign w:val="bottom"/>
          </w:tcPr>
          <w:p>
            <w:pPr>
              <w:spacing w:after="0"/>
              <w:rPr>
                <w:sz w:val="14"/>
                <w:szCs w:val="14"/>
                <w:color w:val="auto"/>
              </w:rPr>
            </w:pP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Average</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Occupancy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Occupancy Costs</w:t>
            </w:r>
          </w:p>
        </w:tc>
      </w:tr>
      <w:tr>
        <w:trPr>
          <w:trHeight w:val="166"/>
        </w:trPr>
        <w:tc>
          <w:tcPr>
            <w:tcW w:w="2720" w:type="dxa"/>
            <w:vAlign w:val="bottom"/>
          </w:tcPr>
          <w:p>
            <w:pPr>
              <w:spacing w:after="0"/>
              <w:rPr>
                <w:sz w:val="14"/>
                <w:szCs w:val="14"/>
                <w:color w:val="auto"/>
              </w:rPr>
            </w:pP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Sales Per</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Cost per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as Percentage</w:t>
            </w:r>
          </w:p>
        </w:tc>
      </w:tr>
      <w:tr>
        <w:trPr>
          <w:trHeight w:val="166"/>
        </w:trPr>
        <w:tc>
          <w:tcPr>
            <w:tcW w:w="2720" w:type="dxa"/>
            <w:vAlign w:val="bottom"/>
          </w:tcPr>
          <w:p>
            <w:pPr>
              <w:spacing w:after="0"/>
              <w:rPr>
                <w:sz w:val="14"/>
                <w:szCs w:val="14"/>
                <w:color w:val="auto"/>
              </w:rPr>
            </w:pP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Square Foot (1)</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Square Foot (2)</w:t>
            </w:r>
          </w:p>
        </w:tc>
        <w:tc>
          <w:tcPr>
            <w:tcW w:w="16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 Sales (2)</w:t>
            </w:r>
          </w:p>
        </w:tc>
      </w:tr>
      <w:tr>
        <w:trPr>
          <w:trHeight w:val="166"/>
        </w:trPr>
        <w:tc>
          <w:tcPr>
            <w:tcW w:w="2720" w:type="dxa"/>
            <w:vAlign w:val="bottom"/>
          </w:tcPr>
          <w:p>
            <w:pPr>
              <w:spacing w:after="0"/>
              <w:rPr>
                <w:sz w:val="14"/>
                <w:szCs w:val="14"/>
                <w:color w:val="auto"/>
              </w:rPr>
            </w:pP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Reporting Tenants</w:t>
            </w: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$317.34</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$19.65</w:t>
            </w:r>
          </w:p>
        </w:tc>
        <w:tc>
          <w:tcPr>
            <w:tcW w:w="168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6.2%</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Reporting Anchor Tenants</w:t>
            </w: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$314.28</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$14.44</w:t>
            </w:r>
          </w:p>
        </w:tc>
        <w:tc>
          <w:tcPr>
            <w:tcW w:w="168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4.6%</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Reporting Small Shop Tenants</w:t>
            </w:r>
          </w:p>
        </w:tc>
        <w:tc>
          <w:tcPr>
            <w:tcW w:w="20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$322.01</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$27.52</w:t>
            </w:r>
          </w:p>
        </w:tc>
        <w:tc>
          <w:tcPr>
            <w:tcW w:w="1680" w:type="dxa"/>
            <w:vAlign w:val="bottom"/>
          </w:tcPr>
          <w:p>
            <w:pPr>
              <w:jc w:val="center"/>
              <w:ind w:left="388"/>
              <w:spacing w:after="0"/>
              <w:rPr>
                <w:sz w:val="20"/>
                <w:szCs w:val="20"/>
                <w:color w:val="auto"/>
              </w:rPr>
            </w:pPr>
            <w:r>
              <w:rPr>
                <w:rFonts w:ascii="Courier New" w:cs="Courier New" w:eastAsia="Courier New" w:hAnsi="Courier New"/>
                <w:sz w:val="14"/>
                <w:szCs w:val="14"/>
                <w:color w:val="auto"/>
              </w:rPr>
              <w:t>8.5%</w:t>
            </w:r>
          </w:p>
        </w:tc>
      </w:tr>
    </w:tbl>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only those tenants that have 12 months of reported sales in 2001.</w:t>
      </w:r>
    </w:p>
    <w:p>
      <w:pPr>
        <w:spacing w:after="0" w:line="172" w:lineRule="exact"/>
        <w:rPr>
          <w:rFonts w:ascii="Courier New" w:cs="Courier New" w:eastAsia="Courier New" w:hAnsi="Courier New"/>
          <w:sz w:val="14"/>
          <w:szCs w:val="14"/>
          <w:color w:val="auto"/>
        </w:rPr>
      </w:pPr>
    </w:p>
    <w:p>
      <w:pPr>
        <w:jc w:val="both"/>
        <w:ind w:left="440" w:right="3599"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costs calculated only for those tenants that have 12 months of reported sales in 2001 and who are in centers that Federal has owned for all of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Average Prior</w:t>
            </w:r>
          </w:p>
        </w:tc>
        <w:tc>
          <w:tcPr>
            <w:tcW w:w="15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Average Current</w:t>
            </w:r>
          </w:p>
        </w:tc>
      </w:tr>
      <w:tr>
        <w:trPr>
          <w:trHeight w:val="166"/>
        </w:trPr>
        <w:tc>
          <w:tcPr>
            <w:tcW w:w="1760" w:type="dxa"/>
            <w:vAlign w:val="bottom"/>
          </w:tcPr>
          <w:p>
            <w:pPr>
              <w:spacing w:after="0"/>
              <w:rPr>
                <w:sz w:val="14"/>
                <w:szCs w:val="14"/>
                <w:color w:val="auto"/>
              </w:rPr>
            </w:pP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Number of</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Square</w:t>
            </w:r>
          </w:p>
        </w:tc>
        <w:tc>
          <w:tcPr>
            <w:tcW w:w="1860" w:type="dxa"/>
            <w:vAlign w:val="bottom"/>
          </w:tcPr>
          <w:p>
            <w:pPr>
              <w:ind w:left="400"/>
              <w:spacing w:after="0"/>
              <w:rPr>
                <w:sz w:val="20"/>
                <w:szCs w:val="20"/>
                <w:color w:val="auto"/>
              </w:rPr>
            </w:pPr>
            <w:r>
              <w:rPr>
                <w:rFonts w:ascii="Courier New" w:cs="Courier New" w:eastAsia="Courier New" w:hAnsi="Courier New"/>
                <w:sz w:val="14"/>
                <w:szCs w:val="14"/>
                <w:color w:val="auto"/>
              </w:rPr>
              <w:t>Average Lease</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Rent Per</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Rolling 12 Months</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Leases Signed</w:t>
            </w:r>
          </w:p>
        </w:tc>
        <w:tc>
          <w:tcPr>
            <w:tcW w:w="1360" w:type="dxa"/>
            <w:vAlign w:val="bottom"/>
          </w:tcPr>
          <w:p>
            <w:pPr>
              <w:ind w:left="460"/>
              <w:spacing w:after="0"/>
              <w:rPr>
                <w:sz w:val="20"/>
                <w:szCs w:val="20"/>
                <w:color w:val="auto"/>
              </w:rPr>
            </w:pPr>
            <w:r>
              <w:rPr>
                <w:rFonts w:ascii="Courier New" w:cs="Courier New" w:eastAsia="Courier New" w:hAnsi="Courier New"/>
                <w:sz w:val="14"/>
                <w:szCs w:val="14"/>
                <w:color w:val="auto"/>
              </w:rPr>
              <w:t>Feet</w:t>
            </w:r>
          </w:p>
        </w:tc>
        <w:tc>
          <w:tcPr>
            <w:tcW w:w="1860" w:type="dxa"/>
            <w:vAlign w:val="bottom"/>
          </w:tcPr>
          <w:p>
            <w:pPr>
              <w:ind w:left="400"/>
              <w:spacing w:after="0"/>
              <w:rPr>
                <w:sz w:val="20"/>
                <w:szCs w:val="20"/>
                <w:color w:val="auto"/>
              </w:rPr>
            </w:pPr>
            <w:r>
              <w:rPr>
                <w:rFonts w:ascii="Courier New" w:cs="Courier New" w:eastAsia="Courier New" w:hAnsi="Courier New"/>
                <w:sz w:val="14"/>
                <w:szCs w:val="14"/>
                <w:color w:val="auto"/>
              </w:rPr>
              <w:t>Term (Years)</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Square Foot</w:t>
            </w:r>
          </w:p>
        </w:tc>
        <w:tc>
          <w:tcPr>
            <w:tcW w:w="15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r>
      <w:tr>
        <w:trPr>
          <w:trHeight w:val="331"/>
        </w:trPr>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1st Quarter 2002</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92</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226,680</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5.8</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$21.81</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$23.34</w:t>
            </w:r>
          </w:p>
        </w:tc>
      </w:tr>
      <w:tr>
        <w:trPr>
          <w:trHeight w:val="166"/>
        </w:trPr>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4th Quarter 2001</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61</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253,166</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$19.73</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$22.40</w:t>
            </w:r>
          </w:p>
        </w:tc>
      </w:tr>
      <w:tr>
        <w:trPr>
          <w:trHeight w:val="166"/>
        </w:trPr>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3rd Quarter 2001</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77</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200,388</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6.1</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$23.03</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$25.57</w:t>
            </w:r>
          </w:p>
        </w:tc>
      </w:tr>
      <w:tr>
        <w:trPr>
          <w:trHeight w:val="166"/>
        </w:trPr>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2nd Quarter 2001</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65</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206,158</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7.3</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$19.86</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$24.78</w:t>
            </w:r>
          </w:p>
        </w:tc>
      </w:tr>
      <w:tr>
        <w:trPr>
          <w:trHeight w:val="166"/>
        </w:trPr>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Total</w:t>
            </w:r>
          </w:p>
        </w:tc>
        <w:tc>
          <w:tcPr>
            <w:tcW w:w="18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295</w:t>
            </w:r>
          </w:p>
        </w:tc>
        <w:tc>
          <w:tcPr>
            <w:tcW w:w="1360" w:type="dxa"/>
            <w:vAlign w:val="bottom"/>
          </w:tcPr>
          <w:p>
            <w:pPr>
              <w:ind w:left="380"/>
              <w:spacing w:after="0"/>
              <w:rPr>
                <w:sz w:val="20"/>
                <w:szCs w:val="20"/>
                <w:color w:val="auto"/>
              </w:rPr>
            </w:pPr>
            <w:r>
              <w:rPr>
                <w:rFonts w:ascii="Courier New" w:cs="Courier New" w:eastAsia="Courier New" w:hAnsi="Courier New"/>
                <w:sz w:val="14"/>
                <w:szCs w:val="14"/>
                <w:color w:val="auto"/>
              </w:rPr>
              <w:t>886,392</w:t>
            </w:r>
          </w:p>
        </w:tc>
        <w:tc>
          <w:tcPr>
            <w:tcW w:w="1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7.2</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$21.04</w:t>
            </w:r>
          </w:p>
        </w:tc>
        <w:tc>
          <w:tcPr>
            <w:tcW w:w="15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$23.91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17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Percentage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720" w:type="dxa"/>
            <w:vAlign w:val="bottom"/>
          </w:tcPr>
          <w:p>
            <w:pPr>
              <w:spacing w:after="0"/>
              <w:rPr>
                <w:sz w:val="14"/>
                <w:szCs w:val="14"/>
                <w:color w:val="auto"/>
              </w:rPr>
            </w:pP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Annualized</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Increase</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Rolling 12 Months</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Increase in Rent</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over Prior Rent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1st Quarter 2002</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$347,660</w:t>
            </w:r>
          </w:p>
        </w:tc>
        <w:tc>
          <w:tcPr>
            <w:tcW w:w="1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$1,002,000</w:t>
            </w:r>
          </w:p>
        </w:tc>
      </w:tr>
      <w:tr>
        <w:trPr>
          <w:trHeight w:val="166"/>
        </w:trPr>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4th Quarter 2001</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$674,705</w:t>
            </w:r>
          </w:p>
        </w:tc>
        <w:tc>
          <w:tcPr>
            <w:tcW w:w="1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$2,485,000</w:t>
            </w:r>
          </w:p>
        </w:tc>
      </w:tr>
      <w:tr>
        <w:trPr>
          <w:trHeight w:val="166"/>
        </w:trPr>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3rd Quarter 2001</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$508,120</w:t>
            </w:r>
          </w:p>
        </w:tc>
        <w:tc>
          <w:tcPr>
            <w:tcW w:w="1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$935,000</w:t>
            </w:r>
          </w:p>
        </w:tc>
      </w:tr>
      <w:tr>
        <w:trPr>
          <w:trHeight w:val="166"/>
        </w:trPr>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2nd Quarter 2001</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$1,014,598</w:t>
            </w:r>
          </w:p>
        </w:tc>
        <w:tc>
          <w:tcPr>
            <w:tcW w:w="1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$1,697,000</w:t>
            </w:r>
          </w:p>
        </w:tc>
      </w:tr>
      <w:tr>
        <w:trPr>
          <w:trHeight w:val="166"/>
        </w:trPr>
        <w:tc>
          <w:tcPr>
            <w:tcW w:w="17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$2,545,083</w:t>
            </w:r>
          </w:p>
        </w:tc>
        <w:tc>
          <w:tcPr>
            <w:tcW w:w="1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$6,119,000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Non-Comparable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Weighted</w:t>
            </w:r>
          </w:p>
        </w:tc>
        <w:tc>
          <w:tcPr>
            <w:tcW w:w="18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Annualized</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58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Number of</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Average Lease</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Average Rent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Current</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Rolling 12 Months</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Leases Signed</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Feet</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Term (Years)</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Per Square Foot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Rent</w:t>
            </w:r>
          </w:p>
        </w:tc>
        <w:tc>
          <w:tcPr>
            <w:tcW w:w="128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9"/>
              </w:rPr>
              <w:t>Costs</w:t>
            </w:r>
          </w:p>
        </w:tc>
      </w:tr>
      <w:tr>
        <w:trPr>
          <w:trHeight w:val="166"/>
        </w:trPr>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1st Quarter 2002</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31,479</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8.2</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$51.73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$1,628,294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$152,000</w:t>
            </w:r>
          </w:p>
        </w:tc>
      </w:tr>
      <w:tr>
        <w:trPr>
          <w:trHeight w:val="166"/>
        </w:trPr>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4th Quarter 2001</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67,720</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10.9</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$47.96</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$3,247,544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$56,000</w:t>
            </w:r>
          </w:p>
        </w:tc>
      </w:tr>
      <w:tr>
        <w:trPr>
          <w:trHeight w:val="166"/>
        </w:trPr>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3rd Quarter 2001</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82,944</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11.4</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$31.97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$2,651,794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6"/>
        </w:trPr>
        <w:tc>
          <w:tcPr>
            <w:tcW w:w="1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2nd Quarter 2001</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135,596</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12.3</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$17.22</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$2,335,496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$448,000</w:t>
            </w:r>
          </w:p>
        </w:tc>
      </w:tr>
      <w:tr>
        <w:trPr>
          <w:trHeight w:val="166"/>
        </w:trPr>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Total</w:t>
            </w:r>
          </w:p>
        </w:tc>
        <w:tc>
          <w:tcPr>
            <w:tcW w:w="14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67</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317,739</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10.9</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$31.04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$9,863,128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$656,000</w:t>
            </w:r>
          </w:p>
        </w:tc>
      </w:tr>
      <w:tr>
        <w:trPr>
          <w:trHeight w:val="663"/>
        </w:trPr>
        <w:tc>
          <w:tcPr>
            <w:tcW w:w="1580" w:type="dxa"/>
            <w:vAlign w:val="bottom"/>
          </w:tcPr>
          <w:p>
            <w:pPr>
              <w:spacing w:after="0"/>
              <w:rPr>
                <w:sz w:val="24"/>
                <w:szCs w:val="24"/>
                <w:color w:val="auto"/>
              </w:rPr>
            </w:pP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E-6</w:t>
            </w:r>
          </w:p>
        </w:tc>
        <w:tc>
          <w:tcPr>
            <w:tcW w:w="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00"/>
          </w:cols>
          <w:pgMar w:left="220" w:top="616" w:right="47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Retail Operating &amp; Development Overview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tcPr>
          <w:p>
            <w:pPr>
              <w:jc w:val="right"/>
              <w:spacing w:after="0"/>
              <w:rPr>
                <w:sz w:val="20"/>
                <w:szCs w:val="20"/>
                <w:color w:val="auto"/>
              </w:rPr>
            </w:pPr>
            <w:r>
              <w:rPr>
                <w:rFonts w:ascii="Courier New" w:cs="Courier New" w:eastAsia="Courier New" w:hAnsi="Courier New"/>
                <w:sz w:val="14"/>
                <w:szCs w:val="14"/>
                <w:color w:val="auto"/>
              </w:rPr>
              <w:t>For the year ended December 31,</w:t>
            </w:r>
          </w:p>
        </w:tc>
        <w:tc>
          <w:tcPr>
            <w:tcW w:w="1340" w:type="dxa"/>
            <w:vAlign w:val="bottom"/>
          </w:tcPr>
          <w:p>
            <w:pPr>
              <w:spacing w:after="0"/>
              <w:rPr>
                <w:sz w:val="14"/>
                <w:szCs w:val="14"/>
                <w:color w:val="auto"/>
              </w:rPr>
            </w:pPr>
          </w:p>
        </w:tc>
        <w:tc>
          <w:tcPr>
            <w:tcW w:w="3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For the three months ended March 31,</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 thousands, except sf data)</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27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2001</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2001</w:t>
            </w:r>
          </w:p>
        </w:tc>
        <w:tc>
          <w:tcPr>
            <w:tcW w:w="1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2760" w:type="dxa"/>
            <w:vAlign w:val="bottom"/>
          </w:tcPr>
          <w:p>
            <w:pPr>
              <w:spacing w:after="0"/>
              <w:rPr>
                <w:sz w:val="14"/>
                <w:szCs w:val="14"/>
                <w:color w:val="auto"/>
              </w:rPr>
            </w:pPr>
          </w:p>
        </w:tc>
        <w:tc>
          <w:tcPr>
            <w:tcW w:w="862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Real Estate Assets (1)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$472,190</w:t>
            </w:r>
          </w:p>
        </w:tc>
        <w:tc>
          <w:tcPr>
            <w:tcW w:w="27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$606,143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$847,526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$668,384</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$884,766</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$55,919</w:t>
            </w:r>
          </w:p>
        </w:tc>
        <w:tc>
          <w:tcPr>
            <w:tcW w:w="27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$63,275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$76,674</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$17,266</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$21,288</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$38,196</w:t>
            </w:r>
          </w:p>
        </w:tc>
        <w:tc>
          <w:tcPr>
            <w:tcW w:w="27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$42,489</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$47,539  (2)</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$11,800</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$13,627   (2)</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Square Feet (3)</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1,792,000</w:t>
            </w:r>
          </w:p>
        </w:tc>
        <w:tc>
          <w:tcPr>
            <w:tcW w:w="27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1,876,000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2,232,000</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1,880,000</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2,318,000</w:t>
            </w:r>
          </w:p>
        </w:tc>
      </w:tr>
    </w:tbl>
    <w:p>
      <w:pPr>
        <w:spacing w:after="0" w:line="335" w:lineRule="exact"/>
        <w:rPr>
          <w:sz w:val="20"/>
          <w:szCs w:val="20"/>
          <w:color w:val="auto"/>
        </w:rPr>
      </w:pPr>
    </w:p>
    <w:p>
      <w:pPr>
        <w:ind w:left="360" w:right="4820" w:hanging="352"/>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Street Retail includes stabilized assets and assets which are in various stages of development and redevelopment. At March 31, 2002, real estate assets includes $357 million related to the Santana Row and Pentagon Row developments.</w:t>
      </w:r>
    </w:p>
    <w:p>
      <w:pPr>
        <w:spacing w:after="0" w:line="1" w:lineRule="exact"/>
        <w:rPr>
          <w:rFonts w:ascii="Courier New" w:cs="Courier New" w:eastAsia="Courier New" w:hAnsi="Courier New"/>
          <w:sz w:val="14"/>
          <w:szCs w:val="14"/>
          <w:color w:val="auto"/>
        </w:rPr>
      </w:pPr>
    </w:p>
    <w:p>
      <w:pPr>
        <w:ind w:left="360" w:right="4820" w:hanging="352"/>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is reduced by start-up expenses for Street Retail's development projects.</w:t>
      </w:r>
    </w:p>
    <w:p>
      <w:pPr>
        <w:ind w:left="360" w:right="4660" w:hanging="352"/>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new development square footage, redevelopment square footage, and Rollingwood Apartments.</w:t>
      </w: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held for sale.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w w:val="99"/>
              </w:rPr>
              <w:t>Square Feet</w:t>
            </w:r>
          </w:p>
        </w:tc>
        <w:tc>
          <w:tcPr>
            <w:tcW w:w="4100" w:type="dxa"/>
            <w:vAlign w:val="bottom"/>
          </w:tcPr>
          <w:p>
            <w:pPr>
              <w:ind w:left="1640"/>
              <w:spacing w:after="0"/>
              <w:rPr>
                <w:sz w:val="20"/>
                <w:szCs w:val="20"/>
                <w:color w:val="auto"/>
              </w:rPr>
            </w:pPr>
            <w:r>
              <w:rPr>
                <w:rFonts w:ascii="Courier New" w:cs="Courier New" w:eastAsia="Courier New" w:hAnsi="Courier New"/>
                <w:sz w:val="14"/>
                <w:szCs w:val="14"/>
                <w:color w:val="auto"/>
              </w:rPr>
              <w:t>MID-ATLANTIC</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Square Feet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Connecticut</w:t>
            </w:r>
          </w:p>
        </w:tc>
        <w:tc>
          <w:tcPr>
            <w:tcW w:w="1500" w:type="dxa"/>
            <w:vAlign w:val="bottom"/>
          </w:tcPr>
          <w:p>
            <w:pPr>
              <w:spacing w:after="0"/>
              <w:rPr>
                <w:sz w:val="24"/>
                <w:szCs w:val="24"/>
                <w:color w:val="auto"/>
              </w:rPr>
            </w:pPr>
          </w:p>
        </w:tc>
        <w:tc>
          <w:tcPr>
            <w:tcW w:w="4100" w:type="dxa"/>
            <w:vAlign w:val="bottom"/>
          </w:tcPr>
          <w:p>
            <w:pPr>
              <w:ind w:left="1640"/>
              <w:spacing w:after="0"/>
              <w:rPr>
                <w:sz w:val="20"/>
                <w:szCs w:val="20"/>
                <w:color w:val="auto"/>
              </w:rPr>
            </w:pPr>
            <w:r>
              <w:rPr>
                <w:rFonts w:ascii="Courier New" w:cs="Courier New" w:eastAsia="Courier New" w:hAnsi="Courier New"/>
                <w:sz w:val="14"/>
                <w:szCs w:val="14"/>
                <w:color w:val="auto"/>
              </w:rPr>
              <w:t>Virginia</w:t>
            </w:r>
          </w:p>
        </w:tc>
        <w:tc>
          <w:tcPr>
            <w:tcW w:w="1320" w:type="dxa"/>
            <w:vAlign w:val="bottom"/>
          </w:tcPr>
          <w:p>
            <w:pPr>
              <w:spacing w:after="0"/>
              <w:rPr>
                <w:sz w:val="24"/>
                <w:szCs w:val="2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Greenwich Avenue</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81,000</w:t>
            </w: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Pentagon Row</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294,000</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West Hartford</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126,000</w:t>
            </w: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Village at Shirlington</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203,000</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Westport</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26,000</w:t>
            </w:r>
          </w:p>
        </w:tc>
        <w:tc>
          <w:tcPr>
            <w:tcW w:w="4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Illinois</w:t>
            </w:r>
          </w:p>
        </w:tc>
        <w:tc>
          <w:tcPr>
            <w:tcW w:w="1500" w:type="dxa"/>
            <w:vAlign w:val="bottom"/>
          </w:tcPr>
          <w:p>
            <w:pPr>
              <w:spacing w:after="0"/>
              <w:rPr>
                <w:sz w:val="24"/>
                <w:szCs w:val="24"/>
                <w:color w:val="auto"/>
              </w:rPr>
            </w:pPr>
          </w:p>
        </w:tc>
        <w:tc>
          <w:tcPr>
            <w:tcW w:w="4100" w:type="dxa"/>
            <w:vAlign w:val="bottom"/>
          </w:tcPr>
          <w:p>
            <w:pPr>
              <w:ind w:left="1640"/>
              <w:spacing w:after="0"/>
              <w:rPr>
                <w:sz w:val="20"/>
                <w:szCs w:val="20"/>
                <w:color w:val="auto"/>
              </w:rPr>
            </w:pPr>
            <w:r>
              <w:rPr>
                <w:rFonts w:ascii="Courier New" w:cs="Courier New" w:eastAsia="Courier New" w:hAnsi="Courier New"/>
                <w:sz w:val="14"/>
                <w:szCs w:val="14"/>
                <w:color w:val="auto"/>
              </w:rPr>
              <w:t>WESTERN</w:t>
            </w:r>
          </w:p>
        </w:tc>
        <w:tc>
          <w:tcPr>
            <w:tcW w:w="1320" w:type="dxa"/>
            <w:vAlign w:val="bottom"/>
          </w:tcPr>
          <w:p>
            <w:pPr>
              <w:spacing w:after="0"/>
              <w:rPr>
                <w:sz w:val="24"/>
                <w:szCs w:val="2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Evanston</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19,000</w:t>
            </w:r>
          </w:p>
        </w:tc>
        <w:tc>
          <w:tcPr>
            <w:tcW w:w="4100" w:type="dxa"/>
            <w:vAlign w:val="bottom"/>
          </w:tcPr>
          <w:p>
            <w:pPr>
              <w:ind w:left="1640"/>
              <w:spacing w:after="0"/>
              <w:rPr>
                <w:sz w:val="20"/>
                <w:szCs w:val="20"/>
                <w:color w:val="auto"/>
              </w:rPr>
            </w:pPr>
            <w:r>
              <w:rPr>
                <w:rFonts w:ascii="Courier New" w:cs="Courier New" w:eastAsia="Courier New" w:hAnsi="Courier New"/>
                <w:sz w:val="14"/>
                <w:szCs w:val="14"/>
                <w:color w:val="auto"/>
              </w:rPr>
              <w:t>Arizona</w:t>
            </w:r>
          </w:p>
        </w:tc>
        <w:tc>
          <w:tcPr>
            <w:tcW w:w="13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Mill Avenue</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Massachusetts</w:t>
            </w:r>
          </w:p>
        </w:tc>
        <w:tc>
          <w:tcPr>
            <w:tcW w:w="1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Coolidge Corner</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13,000</w:t>
            </w:r>
          </w:p>
        </w:tc>
        <w:tc>
          <w:tcPr>
            <w:tcW w:w="4100" w:type="dxa"/>
            <w:vAlign w:val="bottom"/>
          </w:tcPr>
          <w:p>
            <w:pPr>
              <w:ind w:left="1640"/>
              <w:spacing w:after="0"/>
              <w:rPr>
                <w:sz w:val="20"/>
                <w:szCs w:val="20"/>
                <w:color w:val="auto"/>
              </w:rPr>
            </w:pPr>
            <w:r>
              <w:rPr>
                <w:rFonts w:ascii="Courier New" w:cs="Courier New" w:eastAsia="Courier New" w:hAnsi="Courier New"/>
                <w:sz w:val="14"/>
                <w:szCs w:val="14"/>
                <w:color w:val="auto"/>
              </w:rPr>
              <w:t>California</w:t>
            </w:r>
          </w:p>
        </w:tc>
        <w:tc>
          <w:tcPr>
            <w:tcW w:w="1320" w:type="dxa"/>
            <w:vAlign w:val="bottom"/>
          </w:tcPr>
          <w:p>
            <w:pPr>
              <w:spacing w:after="0"/>
              <w:rPr>
                <w:sz w:val="14"/>
                <w:szCs w:val="14"/>
                <w:color w:val="auto"/>
              </w:rPr>
            </w:pPr>
          </w:p>
        </w:tc>
      </w:tr>
      <w:tr>
        <w:trPr>
          <w:trHeight w:val="166"/>
        </w:trPr>
        <w:tc>
          <w:tcPr>
            <w:tcW w:w="2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Colorado Boulevard</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69,000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500" w:type="dxa"/>
            <w:vAlign w:val="bottom"/>
          </w:tcPr>
          <w:p>
            <w:pPr>
              <w:spacing w:after="0"/>
              <w:rPr>
                <w:sz w:val="14"/>
                <w:szCs w:val="14"/>
                <w:color w:val="auto"/>
              </w:rPr>
            </w:pP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Fifth Avenue</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51,000</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Central Avenue</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11,000</w:t>
            </w: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Hermosa Beach</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24,000</w:t>
            </w:r>
          </w:p>
        </w:tc>
      </w:tr>
      <w:tr>
        <w:trPr>
          <w:trHeight w:val="166"/>
        </w:trPr>
        <w:tc>
          <w:tcPr>
            <w:tcW w:w="2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Hollywood Blvd.</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160,000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1500" w:type="dxa"/>
            <w:vAlign w:val="bottom"/>
          </w:tcPr>
          <w:p>
            <w:pPr>
              <w:spacing w:after="0"/>
              <w:rPr>
                <w:sz w:val="14"/>
                <w:szCs w:val="14"/>
                <w:color w:val="auto"/>
              </w:rPr>
            </w:pP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Old Town Center</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97,000</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Forest Hills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85,000</w:t>
            </w: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Post Street</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103,000</w:t>
            </w:r>
          </w:p>
        </w:tc>
      </w:tr>
      <w:tr>
        <w:trPr>
          <w:trHeight w:val="166"/>
        </w:trPr>
        <w:tc>
          <w:tcPr>
            <w:tcW w:w="2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Santana Row</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N/A (3)</w:t>
            </w:r>
          </w:p>
        </w:tc>
      </w:tr>
      <w:tr>
        <w:trPr>
          <w:trHeight w:val="166"/>
        </w:trPr>
        <w:tc>
          <w:tcPr>
            <w:tcW w:w="2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Third Street Promenade</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201,000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500" w:type="dxa"/>
            <w:vAlign w:val="bottom"/>
          </w:tcPr>
          <w:p>
            <w:pPr>
              <w:spacing w:after="0"/>
              <w:rPr>
                <w:sz w:val="14"/>
                <w:szCs w:val="14"/>
                <w:color w:val="auto"/>
              </w:rPr>
            </w:pPr>
          </w:p>
        </w:tc>
        <w:tc>
          <w:tcPr>
            <w:tcW w:w="4100" w:type="dxa"/>
            <w:vAlign w:val="bottom"/>
          </w:tcPr>
          <w:p>
            <w:pPr>
              <w:ind w:left="1640"/>
              <w:spacing w:after="0"/>
              <w:rPr>
                <w:sz w:val="20"/>
                <w:szCs w:val="20"/>
                <w:color w:val="auto"/>
              </w:rPr>
            </w:pPr>
            <w:r>
              <w:rPr>
                <w:rFonts w:ascii="Courier New" w:cs="Courier New" w:eastAsia="Courier New" w:hAnsi="Courier New"/>
                <w:sz w:val="14"/>
                <w:szCs w:val="14"/>
                <w:color w:val="auto"/>
              </w:rPr>
              <w:t>Oregon</w:t>
            </w:r>
          </w:p>
        </w:tc>
        <w:tc>
          <w:tcPr>
            <w:tcW w:w="1320" w:type="dxa"/>
            <w:vAlign w:val="bottom"/>
          </w:tcPr>
          <w:p>
            <w:pPr>
              <w:spacing w:after="0"/>
              <w:rPr>
                <w:sz w:val="14"/>
                <w:szCs w:val="1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Sam's Park N Shop</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w:t>
            </w: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Tanasbourne</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N/A (4)</w:t>
            </w: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Friendship Center</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119,000</w:t>
            </w:r>
          </w:p>
        </w:tc>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Uptown</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100,000</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Florida</w:t>
            </w:r>
          </w:p>
        </w:tc>
        <w:tc>
          <w:tcPr>
            <w:tcW w:w="1500" w:type="dxa"/>
            <w:vAlign w:val="bottom"/>
          </w:tcPr>
          <w:p>
            <w:pPr>
              <w:spacing w:after="0"/>
              <w:rPr>
                <w:sz w:val="24"/>
                <w:szCs w:val="24"/>
                <w:color w:val="auto"/>
              </w:rPr>
            </w:pPr>
          </w:p>
        </w:tc>
        <w:tc>
          <w:tcPr>
            <w:tcW w:w="4100" w:type="dxa"/>
            <w:vAlign w:val="bottom"/>
          </w:tcPr>
          <w:p>
            <w:pPr>
              <w:ind w:left="1640"/>
              <w:spacing w:after="0"/>
              <w:rPr>
                <w:sz w:val="20"/>
                <w:szCs w:val="20"/>
                <w:color w:val="auto"/>
              </w:rPr>
            </w:pPr>
            <w:r>
              <w:rPr>
                <w:rFonts w:ascii="Courier New" w:cs="Courier New" w:eastAsia="Courier New" w:hAnsi="Courier New"/>
                <w:sz w:val="14"/>
                <w:szCs w:val="14"/>
                <w:color w:val="auto"/>
              </w:rPr>
              <w:t>Texas</w:t>
            </w:r>
          </w:p>
        </w:tc>
        <w:tc>
          <w:tcPr>
            <w:tcW w:w="1320" w:type="dxa"/>
            <w:vAlign w:val="bottom"/>
          </w:tcPr>
          <w:p>
            <w:pPr>
              <w:spacing w:after="0"/>
              <w:rPr>
                <w:sz w:val="24"/>
                <w:szCs w:val="2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Winter Park</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28,000</w:t>
            </w:r>
          </w:p>
        </w:tc>
        <w:tc>
          <w:tcPr>
            <w:tcW w:w="4100" w:type="dxa"/>
            <w:vAlign w:val="bottom"/>
          </w:tcPr>
          <w:p>
            <w:pPr>
              <w:ind w:left="1980"/>
              <w:spacing w:after="0"/>
              <w:rPr>
                <w:sz w:val="20"/>
                <w:szCs w:val="20"/>
                <w:color w:val="auto"/>
              </w:rPr>
            </w:pPr>
            <w:r>
              <w:rPr>
                <w:rFonts w:ascii="Courier New" w:cs="Courier New" w:eastAsia="Courier New" w:hAnsi="Courier New"/>
                <w:sz w:val="14"/>
                <w:szCs w:val="14"/>
                <w:color w:val="auto"/>
              </w:rPr>
              <w:t>Houston Street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N/A (3)</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Maryland</w:t>
            </w:r>
          </w:p>
        </w:tc>
        <w:tc>
          <w:tcPr>
            <w:tcW w:w="15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Bethesda Row</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418,000</w:t>
            </w:r>
          </w:p>
        </w:tc>
        <w:tc>
          <w:tcPr>
            <w:tcW w:w="41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1320" w:type="dxa"/>
            <w:vAlign w:val="bottom"/>
          </w:tcPr>
          <w:p>
            <w:pPr>
              <w:spacing w:after="0"/>
              <w:rPr>
                <w:sz w:val="14"/>
                <w:szCs w:val="14"/>
                <w:color w:val="auto"/>
              </w:rPr>
            </w:pPr>
          </w:p>
        </w:tc>
      </w:tr>
      <w:tr>
        <w:trPr>
          <w:trHeight w:val="166"/>
        </w:trPr>
        <w:tc>
          <w:tcPr>
            <w:tcW w:w="2900" w:type="dxa"/>
            <w:vAlign w:val="bottom"/>
          </w:tcPr>
          <w:p>
            <w:pPr>
              <w:ind w:left="440"/>
              <w:spacing w:after="0"/>
              <w:rPr>
                <w:sz w:val="20"/>
                <w:szCs w:val="20"/>
                <w:color w:val="auto"/>
              </w:rPr>
            </w:pPr>
            <w:r>
              <w:rPr>
                <w:rFonts w:ascii="Courier New" w:cs="Courier New" w:eastAsia="Courier New" w:hAnsi="Courier New"/>
                <w:sz w:val="14"/>
                <w:szCs w:val="14"/>
                <w:color w:val="auto"/>
              </w:rPr>
              <w:t>Rollingwood Apartments</w:t>
            </w:r>
          </w:p>
        </w:tc>
        <w:tc>
          <w:tcPr>
            <w:tcW w:w="1500" w:type="dxa"/>
            <w:vAlign w:val="bottom"/>
          </w:tcPr>
          <w:p>
            <w:pPr>
              <w:ind w:left="560"/>
              <w:spacing w:after="0"/>
              <w:rPr>
                <w:sz w:val="20"/>
                <w:szCs w:val="20"/>
                <w:color w:val="auto"/>
              </w:rPr>
            </w:pPr>
            <w:r>
              <w:rPr>
                <w:rFonts w:ascii="Courier New" w:cs="Courier New" w:eastAsia="Courier New" w:hAnsi="Courier New"/>
                <w:sz w:val="14"/>
                <w:szCs w:val="14"/>
                <w:color w:val="auto"/>
              </w:rPr>
              <w:t>282 units</w:t>
            </w:r>
          </w:p>
        </w:tc>
        <w:tc>
          <w:tcPr>
            <w:tcW w:w="41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13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11380"/>
          </w:cols>
          <w:pgMar w:left="220" w:top="947" w:right="299" w:bottom="1440" w:gutter="0" w:footer="0" w:header="0"/>
        </w:sectPr>
      </w:pPr>
    </w:p>
    <w:bookmarkStart w:id="12" w:name="page13"/>
    <w:bookmarkEnd w:id="12"/>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Construction 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2002</w:t>
      </w:r>
    </w:p>
    <w:p>
      <w:pPr>
        <w:spacing w:after="0" w:line="200" w:lineRule="exact"/>
        <w:rPr>
          <w:sz w:val="20"/>
          <w:szCs w:val="20"/>
          <w:color w:val="auto"/>
        </w:rPr>
      </w:pPr>
    </w:p>
    <w:p>
      <w:pPr>
        <w:spacing w:after="0" w:line="304" w:lineRule="exact"/>
        <w:rPr>
          <w:sz w:val="20"/>
          <w:szCs w:val="20"/>
          <w:color w:val="auto"/>
        </w:rPr>
      </w:pPr>
    </w:p>
    <w:p>
      <w:pPr>
        <w:ind w:left="1052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ind w:left="6720"/>
        <w:spacing w:after="0"/>
        <w:tabs>
          <w:tab w:leader="none" w:pos="7560" w:val="left"/>
          <w:tab w:leader="none" w:pos="1032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Estimate To Complete</w:t>
      </w:r>
      <w:r>
        <w:rPr>
          <w:sz w:val="20"/>
          <w:szCs w:val="20"/>
          <w:color w:val="auto"/>
        </w:rPr>
        <w:tab/>
      </w:r>
      <w:r>
        <w:rPr>
          <w:rFonts w:ascii="Courier New" w:cs="Courier New" w:eastAsia="Courier New" w:hAnsi="Courier New"/>
          <w:sz w:val="14"/>
          <w:szCs w:val="14"/>
          <w:color w:val="auto"/>
        </w:rPr>
        <w:t>Completed</w:t>
      </w:r>
    </w:p>
    <w:p>
      <w:pPr>
        <w:spacing w:after="0" w:line="7" w:lineRule="exact"/>
        <w:rPr>
          <w:sz w:val="20"/>
          <w:szCs w:val="20"/>
          <w:color w:val="auto"/>
        </w:rPr>
      </w:pPr>
    </w:p>
    <w:p>
      <w:pPr>
        <w:ind w:left="1900"/>
        <w:spacing w:after="0"/>
        <w:tabs>
          <w:tab w:leader="none" w:pos="3860" w:val="left"/>
          <w:tab w:leader="none" w:pos="6540" w:val="left"/>
          <w:tab w:leader="none" w:pos="7480" w:val="left"/>
          <w:tab w:leader="none" w:pos="8940" w:val="left"/>
          <w:tab w:leader="none" w:pos="10500" w:val="left"/>
        </w:tabs>
        <w:rPr>
          <w:sz w:val="20"/>
          <w:szCs w:val="20"/>
          <w:color w:val="auto"/>
        </w:rPr>
      </w:pPr>
      <w:r>
        <w:rPr>
          <w:rFonts w:ascii="Courier New" w:cs="Courier New" w:eastAsia="Courier New" w:hAnsi="Courier New"/>
          <w:sz w:val="14"/>
          <w:szCs w:val="14"/>
          <w:color w:val="auto"/>
        </w:rPr>
        <w:t>Project</w:t>
      </w:r>
      <w:r>
        <w:rPr>
          <w:sz w:val="20"/>
          <w:szCs w:val="20"/>
          <w:color w:val="auto"/>
        </w:rPr>
        <w:tab/>
      </w:r>
      <w:r>
        <w:rPr>
          <w:rFonts w:ascii="Courier New" w:cs="Courier New" w:eastAsia="Courier New" w:hAnsi="Courier New"/>
          <w:sz w:val="14"/>
          <w:szCs w:val="14"/>
          <w:color w:val="auto"/>
        </w:rPr>
        <w:t>Specifications</w:t>
      </w:r>
      <w:r>
        <w:rPr>
          <w:sz w:val="20"/>
          <w:szCs w:val="20"/>
          <w:color w:val="auto"/>
        </w:rPr>
        <w:tab/>
      </w:r>
      <w:r>
        <w:rPr>
          <w:rFonts w:ascii="Courier New" w:cs="Courier New" w:eastAsia="Courier New" w:hAnsi="Courier New"/>
          <w:sz w:val="14"/>
          <w:szCs w:val="14"/>
          <w:color w:val="auto"/>
        </w:rPr>
        <w:t>To Date</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Cost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 in  millions)</w:t>
            </w:r>
          </w:p>
        </w:tc>
        <w:tc>
          <w:tcPr>
            <w:tcW w:w="1340" w:type="dxa"/>
            <w:vAlign w:val="bottom"/>
          </w:tcPr>
          <w:p>
            <w:pPr>
              <w:spacing w:after="0"/>
              <w:rPr>
                <w:sz w:val="14"/>
                <w:szCs w:val="14"/>
                <w:color w:val="auto"/>
              </w:rPr>
            </w:pPr>
          </w:p>
        </w:tc>
      </w:tr>
      <w:tr>
        <w:trPr>
          <w:trHeight w:val="497"/>
        </w:trPr>
        <w:tc>
          <w:tcPr>
            <w:tcW w:w="250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300,000 sf retail</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w:t>
            </w:r>
          </w:p>
        </w:tc>
        <w:tc>
          <w:tcPr>
            <w:tcW w:w="5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$83</w:t>
            </w:r>
          </w:p>
        </w:tc>
        <w:tc>
          <w:tcPr>
            <w:tcW w:w="12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w:t>
            </w:r>
          </w:p>
        </w:tc>
        <w:tc>
          <w:tcPr>
            <w:tcW w:w="1340" w:type="dxa"/>
            <w:vAlign w:val="bottom"/>
          </w:tcPr>
          <w:p>
            <w:pPr>
              <w:ind w:left="640"/>
              <w:spacing w:after="0"/>
              <w:rPr>
                <w:sz w:val="20"/>
                <w:szCs w:val="20"/>
                <w:color w:val="auto"/>
              </w:rPr>
            </w:pPr>
            <w:r>
              <w:rPr>
                <w:rFonts w:ascii="Courier New" w:cs="Courier New" w:eastAsia="Courier New" w:hAnsi="Courier New"/>
                <w:sz w:val="14"/>
                <w:szCs w:val="14"/>
                <w:color w:val="auto"/>
              </w:rPr>
              <w:t>$92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Santana Row (Phase I)</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538,000 sf retail</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$274</w:t>
            </w:r>
          </w:p>
        </w:tc>
        <w:tc>
          <w:tcPr>
            <w:tcW w:w="12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$197</w:t>
            </w:r>
          </w:p>
        </w:tc>
        <w:tc>
          <w:tcPr>
            <w:tcW w:w="13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$29</w:t>
            </w:r>
          </w:p>
        </w:tc>
        <w:tc>
          <w:tcPr>
            <w:tcW w:w="1340" w:type="dxa"/>
            <w:vAlign w:val="bottom"/>
          </w:tcPr>
          <w:p>
            <w:pPr>
              <w:ind w:left="640"/>
              <w:spacing w:after="0"/>
              <w:rPr>
                <w:sz w:val="20"/>
                <w:szCs w:val="20"/>
                <w:color w:val="auto"/>
              </w:rPr>
            </w:pPr>
            <w:r>
              <w:rPr>
                <w:rFonts w:ascii="Courier New" w:cs="Courier New" w:eastAsia="Courier New" w:hAnsi="Courier New"/>
                <w:sz w:val="14"/>
                <w:szCs w:val="14"/>
                <w:color w:val="auto"/>
              </w:rPr>
              <w:t>$500 (3)</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3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501 residential units</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214 hotel rooms</w:t>
            </w: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994"/>
        </w:trPr>
        <w:tc>
          <w:tcPr>
            <w:tcW w:w="2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320" w:type="dxa"/>
            <w:vAlign w:val="bottom"/>
            <w:gridSpan w:val="3"/>
          </w:tcPr>
          <w:p>
            <w:pPr>
              <w:ind w:left="880"/>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$357</w:t>
            </w:r>
          </w:p>
        </w:tc>
        <w:tc>
          <w:tcPr>
            <w:tcW w:w="128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$206</w:t>
            </w:r>
          </w:p>
        </w:tc>
        <w:tc>
          <w:tcPr>
            <w:tcW w:w="138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$29</w:t>
            </w:r>
          </w:p>
        </w:tc>
        <w:tc>
          <w:tcPr>
            <w:tcW w:w="1340" w:type="dxa"/>
            <w:vAlign w:val="bottom"/>
          </w:tcPr>
          <w:p>
            <w:pPr>
              <w:ind w:left="640"/>
              <w:spacing w:after="0"/>
              <w:rPr>
                <w:sz w:val="20"/>
                <w:szCs w:val="20"/>
                <w:color w:val="auto"/>
              </w:rPr>
            </w:pPr>
            <w:r>
              <w:rPr>
                <w:rFonts w:ascii="Courier New" w:cs="Courier New" w:eastAsia="Courier New" w:hAnsi="Courier New"/>
                <w:sz w:val="14"/>
                <w:szCs w:val="14"/>
                <w:color w:val="auto"/>
              </w:rPr>
              <w:t>$592</w:t>
            </w:r>
          </w:p>
        </w:tc>
      </w:tr>
      <w:tr>
        <w:trPr>
          <w:trHeight w:val="166"/>
        </w:trPr>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320" w:type="dxa"/>
            <w:vAlign w:val="bottom"/>
            <w:gridSpan w:val="3"/>
          </w:tcPr>
          <w:p>
            <w:pPr>
              <w:ind w:left="880"/>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28"/>
        </w:trPr>
        <w:tc>
          <w:tcPr>
            <w:tcW w:w="2500" w:type="dxa"/>
            <w:vAlign w:val="bottom"/>
          </w:tcPr>
          <w:p>
            <w:pPr>
              <w:spacing w:after="0"/>
              <w:rPr>
                <w:sz w:val="24"/>
                <w:szCs w:val="24"/>
                <w:color w:val="auto"/>
              </w:rPr>
            </w:pPr>
          </w:p>
        </w:tc>
        <w:tc>
          <w:tcPr>
            <w:tcW w:w="1980" w:type="dxa"/>
            <w:vAlign w:val="bottom"/>
          </w:tcPr>
          <w:p>
            <w:pPr>
              <w:ind w:left="520"/>
              <w:spacing w:after="0"/>
              <w:rPr>
                <w:sz w:val="20"/>
                <w:szCs w:val="20"/>
                <w:color w:val="auto"/>
              </w:rPr>
            </w:pPr>
            <w:r>
              <w:rPr>
                <w:rFonts w:ascii="Courier New" w:cs="Courier New" w:eastAsia="Courier New" w:hAnsi="Courier New"/>
                <w:sz w:val="14"/>
                <w:szCs w:val="14"/>
                <w:color w:val="auto"/>
              </w:rPr>
              <w:t>Expected</w:t>
            </w: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500" w:type="dxa"/>
            <w:vAlign w:val="bottom"/>
          </w:tcPr>
          <w:p>
            <w:pPr>
              <w:spacing w:after="0"/>
              <w:rPr>
                <w:sz w:val="14"/>
                <w:szCs w:val="14"/>
                <w:color w:val="auto"/>
              </w:rPr>
            </w:pP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Stabilized</w:t>
            </w: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Principal</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500" w:type="dxa"/>
            <w:vAlign w:val="bottom"/>
          </w:tcPr>
          <w:p>
            <w:pPr>
              <w:ind w:left="1040"/>
              <w:spacing w:after="0"/>
              <w:rPr>
                <w:sz w:val="20"/>
                <w:szCs w:val="20"/>
                <w:color w:val="auto"/>
              </w:rPr>
            </w:pPr>
            <w:r>
              <w:rPr>
                <w:rFonts w:ascii="Courier New" w:cs="Courier New" w:eastAsia="Courier New" w:hAnsi="Courier New"/>
                <w:sz w:val="14"/>
                <w:szCs w:val="14"/>
                <w:color w:val="auto"/>
              </w:rPr>
              <w:t>Project</w:t>
            </w:r>
          </w:p>
        </w:tc>
        <w:tc>
          <w:tcPr>
            <w:tcW w:w="1980" w:type="dxa"/>
            <w:vAlign w:val="bottom"/>
          </w:tcPr>
          <w:p>
            <w:pPr>
              <w:ind w:left="620"/>
              <w:spacing w:after="0"/>
              <w:rPr>
                <w:sz w:val="20"/>
                <w:szCs w:val="20"/>
                <w:color w:val="auto"/>
              </w:rPr>
            </w:pPr>
            <w:r>
              <w:rPr>
                <w:rFonts w:ascii="Courier New" w:cs="Courier New" w:eastAsia="Courier New" w:hAnsi="Courier New"/>
                <w:sz w:val="14"/>
                <w:szCs w:val="14"/>
                <w:color w:val="auto"/>
              </w:rPr>
              <w:t>Return</w:t>
            </w:r>
          </w:p>
        </w:tc>
        <w:tc>
          <w:tcPr>
            <w:tcW w:w="14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Tenants</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52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63"/>
        </w:trPr>
        <w:tc>
          <w:tcPr>
            <w:tcW w:w="250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8.25% - 8.5%</w:t>
            </w:r>
          </w:p>
        </w:tc>
        <w:tc>
          <w:tcPr>
            <w:tcW w:w="20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Bed, Bath &amp; Beyond</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19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Harris Teeter</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Santana Row (Phase I)</w:t>
            </w:r>
          </w:p>
        </w:tc>
        <w:tc>
          <w:tcPr>
            <w:tcW w:w="34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6.25% - 7.0%   (4) Borders Books</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19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Burberry</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Century Theaters</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Crate &amp; Barrel</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Gucci</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Maggiano's</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80" w:type="dxa"/>
            <w:vAlign w:val="bottom"/>
          </w:tcPr>
          <w:p>
            <w:pPr>
              <w:ind w:left="100"/>
              <w:spacing w:after="0"/>
              <w:rPr>
                <w:sz w:val="20"/>
                <w:szCs w:val="20"/>
                <w:color w:val="auto"/>
              </w:rPr>
            </w:pPr>
            <w:r>
              <w:rPr>
                <w:rFonts w:ascii="Courier New" w:cs="Courier New" w:eastAsia="Courier New" w:hAnsi="Courier New"/>
                <w:sz w:val="14"/>
                <w:szCs w:val="14"/>
                <w:color w:val="auto"/>
              </w:rPr>
              <w:t>Tommy Bahamas</w:t>
            </w: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20" w:right="4660" w:hanging="350"/>
        <w:spacing w:after="0" w:line="252" w:lineRule="auto"/>
        <w:tabs>
          <w:tab w:leader="none" w:pos="12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master planned this project and is developing the retail component. The project also includes 500 apartment units owned and operated by Post Properties.</w:t>
      </w:r>
    </w:p>
    <w:p>
      <w:pPr>
        <w:spacing w:after="0" w:line="162" w:lineRule="exact"/>
        <w:rPr>
          <w:rFonts w:ascii="Courier New" w:cs="Courier New" w:eastAsia="Courier New" w:hAnsi="Courier New"/>
          <w:sz w:val="14"/>
          <w:szCs w:val="14"/>
          <w:color w:val="auto"/>
        </w:rPr>
      </w:pPr>
    </w:p>
    <w:p>
      <w:pPr>
        <w:ind w:left="1220" w:right="4480" w:hanging="350"/>
        <w:spacing w:after="0" w:line="251" w:lineRule="auto"/>
        <w:tabs>
          <w:tab w:leader="none" w:pos="122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 includes the "1,500 foot main street" and nine buildings. Completion of eight buildings with 440,000 square feet of retail space is scheduled for September 2002 with the ninth building to be completed twelve to eighteen months later. At April 23, 2002, leases for over 313,000 square feet of retail space have been executed or are under signed letters of intent. As a result of the retail leasing to date, over 80% of the first floor space directly on Santana Row, the development's main street, is leased or under signed letter of intent.</w:t>
      </w:r>
    </w:p>
    <w:p>
      <w:pPr>
        <w:spacing w:after="0" w:line="163" w:lineRule="exact"/>
        <w:rPr>
          <w:rFonts w:ascii="Courier New" w:cs="Courier New" w:eastAsia="Courier New" w:hAnsi="Courier New"/>
          <w:sz w:val="14"/>
          <w:szCs w:val="14"/>
          <w:color w:val="auto"/>
        </w:rPr>
      </w:pPr>
    </w:p>
    <w:p>
      <w:pPr>
        <w:ind w:left="1220" w:right="4560" w:hanging="436"/>
        <w:spacing w:after="0" w:line="251" w:lineRule="auto"/>
        <w:tabs>
          <w:tab w:leader="none" w:pos="12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total cost for Phase I of $500 million includes the land and infrastructure for the later phases as well as Phase I. The infrastructure for the project includes the cost of obtaining zoning; off-site improvements such as curbs, curb cuts and an off-ramp for the highway; site work and grading; construction of the streets; common area amenities, parks and landscaping; a central utility plant with the capacity to service all phases of the project; technology initiatives; and the interest carry on these costs.</w:t>
      </w:r>
    </w:p>
    <w:p>
      <w:pPr>
        <w:spacing w:after="0" w:line="163" w:lineRule="exact"/>
        <w:rPr>
          <w:rFonts w:ascii="Courier New" w:cs="Courier New" w:eastAsia="Courier New" w:hAnsi="Courier New"/>
          <w:sz w:val="14"/>
          <w:szCs w:val="14"/>
          <w:color w:val="auto"/>
        </w:rPr>
      </w:pPr>
    </w:p>
    <w:p>
      <w:pPr>
        <w:ind w:left="1220" w:right="4660" w:hanging="350"/>
        <w:spacing w:after="0" w:line="252" w:lineRule="auto"/>
        <w:tabs>
          <w:tab w:leader="none" w:pos="122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all buildings in Phase I are stabilized. Assumes monthly residential rents of $2.25 per foot. Every $.10 cent change in monthly rents will result in a 15 basis point change in the stabilized return.</w:t>
      </w:r>
    </w:p>
    <w:p>
      <w:pPr>
        <w:spacing w:after="0" w:line="200" w:lineRule="exact"/>
        <w:rPr>
          <w:sz w:val="20"/>
          <w:szCs w:val="20"/>
          <w:color w:val="auto"/>
        </w:rPr>
      </w:pPr>
    </w:p>
    <w:p>
      <w:pPr>
        <w:spacing w:after="0" w:line="29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E-8</w:t>
      </w:r>
    </w:p>
    <w:p>
      <w:pPr>
        <w:sectPr>
          <w:pgSz w:w="11900" w:h="16838" w:orient="portrait"/>
          <w:cols w:equalWidth="0" w:num="1">
            <w:col w:w="11380"/>
          </w:cols>
          <w:pgMar w:left="220" w:top="616" w:right="299" w:bottom="757"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FOR IMMEDIATE RELEASE</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Inquiries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Andrew Blocher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Relations &amp; Capital Markets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ablocher@federalrealty.com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 Inquiries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Kristine Warner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Communications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301/998-8212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kwarner@federalrealty.com</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760" w:space="720"/>
            <w:col w:w="5759"/>
          </w:cols>
          <w:pgMar w:left="220" w:top="616" w:right="1440" w:bottom="1440" w:gutter="0" w:footer="0" w:header="0"/>
          <w:type w:val="continuous"/>
        </w:sectPr>
      </w:pPr>
    </w:p>
    <w:p>
      <w:pPr>
        <w:spacing w:after="0" w:line="1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FIRST QUARTER 2002 OPERATING RESULTS</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ROCKVILLE, MD (April 29, 2002) - Federal Realty Investment Trust (NYSE:FRT) today reported operating results for its first quarter ended March 31, 2002.</w:t>
      </w:r>
    </w:p>
    <w:p>
      <w:pPr>
        <w:spacing w:after="0" w:line="160" w:lineRule="exact"/>
        <w:rPr>
          <w:sz w:val="20"/>
          <w:szCs w:val="20"/>
          <w:color w:val="auto"/>
        </w:rPr>
      </w:pPr>
    </w:p>
    <w:p>
      <w:pPr>
        <w:ind w:left="860" w:right="4119" w:hanging="421"/>
        <w:spacing w:after="0" w:line="255" w:lineRule="auto"/>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 operations (FFO), excluding restructuring charges, increased to $0.67 per diluted share</w:t>
      </w:r>
    </w:p>
    <w:p>
      <w:pPr>
        <w:spacing w:after="0" w:line="159"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operating income increased 6.8% on a same-center basis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remained strong at 95.5% at quarter end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Trust reported FFO of $19.0 million for the first quarter, or $0.46 per diluted share. This includes a $0.21 charge recognized as a result of the change in business strategy and resulting restructuring announced March 11, 2002. Excluding these charges, the Trust reported FFO of $27.5 million, or $0.67 per diluted share, a 1.5% increase over the $0.66 reported for last year's first quarter and $0.01 above consensus First Call estimates.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Rental income increased 7.1% from $66.8 million in 2001 to $71.6 million in 2002. On a same-center basis, which excludes the impact of properties acquired, developed or sold during the analyzed periods, rental income increased 5.1% from $65.7 million to $69.0 million. Net operating income increased 6.2% from $49.8 million to $52.9 million. On a same center basis, net operating income increased 6.8% from</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FIRST</w:t>
        <w:tab/>
        <w:t>QUARTER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$47.3 million to $50.5 million. Strong core operating performance, net of pre-opening expenses incurred at Santana Row, was the primary driver of the improvement in funds from operations.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March 31, 2002, overall occupancy remained strong at 95.5%, compared to 95.4% on March 31, 2001. During the first quarter, the Trust signed leases for over 258,000 square feet of retail space and 37,000 square feet of office space. On a comparable retail space basis, the Trust leased over 225,000 square feet at an average increase in rent per square foot of 7%. The weighted-average new rent on these same space leases was $23.34 per square foot compared to the previous average rent of $21.81 per square foot.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outstanding locations have resulted in strong occupancy during a time when others are reporting significant declines," stated Donald C. Wood, president and chief operating officer for Federal Realty. "Additionally, our properties are situated in areas with excellent demographics and barriers to entry, which positions the Trust to continue to produce superior results."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Santana Row Update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Santana Row, Federal Realty's mixed-use community in San Jose, California, construction is advancing in anticipation of the September 19 opening date. Retail leasing continues to progress as the Trust has executed 78 leases and letters of intent, totaling 325,000 square feet, comprising 83% of first floor space directly on the main street of the project, ensuring a vibrant street experience by the opening date. After a thorough and conservative review of project costs, the Trust estimates the total cost of Phase I to be $500 million, which includes all infrastructure and 19 acres of undeveloped land on which the Trust has entitlements to build an additional 700 residential units and approximately 200,000 square feet of retail space.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Guidance and Conference Call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Federal Realty's management team will present a more in depth discussion of the Trust's operating performance and provide earnings guidance on it's first quarter earnings conference call, which is scheduled for Tuesday, April 30, 2002 at 11:00 A.M. Eastern Time. To participate, please call (800) 319-9003 five to ten minutes prior to the start time. Federal Realty will also provide an online Web Simulcast on the company's web site, www.federalrealty.com available for</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seven days following the conference</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2002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call. A telephone recording of the call can also be heard by dialing (888)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203-1112. The passcode for this replay is 510761.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shopping centers and street retail properties. Federal Realty's portfolio contains 15.1 million square feet located in major metropolitan markets across the United States. The operating portfolio is currently 95.5% leased to over 2,100 national, regional and local retailers with no single tenant accounting for more than 2.4% of rental revenue. Federal Realty has paid quarterly dividends to its shareholders continuously since its founding in 1962, and has increased its dividend rate for 34 consecutive years, the longest consecutive record in the REIT industry. Shares of Federal Realty are traded on the New York Stock Exchange under the symbol FRT. Additional information about Federal Realty can be found on the Internet at www.federalrealty.com.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Language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6" w:name="page17"/>
    <w:bookmarkEnd w:id="16"/>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3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5040" w:type="dxa"/>
            <w:vAlign w:val="bottom"/>
          </w:tcPr>
          <w:p>
            <w:pPr>
              <w:spacing w:after="0"/>
              <w:rPr>
                <w:sz w:val="14"/>
                <w:szCs w:val="14"/>
                <w:color w:val="auto"/>
              </w:rPr>
            </w:pP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2002</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Revenues</w:t>
            </w:r>
          </w:p>
        </w:tc>
        <w:tc>
          <w:tcPr>
            <w:tcW w:w="5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6"/>
        </w:trPr>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Rental income</w:t>
            </w: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$71,575</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$66,825</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 property income</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3,482</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2,709</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Interest  and other income</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1,261</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1,857</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76,318</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71,391</w:t>
            </w: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6"/>
        </w:trPr>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Rental</w:t>
            </w: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15,622</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15,029</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Real estate taxes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7,832</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6,600</w:t>
            </w:r>
          </w:p>
        </w:tc>
      </w:tr>
      <w:tr>
        <w:trPr>
          <w:trHeight w:val="166"/>
        </w:trPr>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16,640</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17,150</w:t>
            </w:r>
          </w:p>
        </w:tc>
      </w:tr>
      <w:tr>
        <w:trPr>
          <w:trHeight w:val="166"/>
        </w:trPr>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2,999</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3,133</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Restructuring expenses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8,489</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Depreciation and amortization</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15,986</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14,110</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67,568</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56,022</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Operating income before investors' share</w:t>
            </w:r>
          </w:p>
        </w:tc>
        <w:tc>
          <w:tcPr>
            <w:tcW w:w="1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6"/>
        </w:trPr>
        <w:tc>
          <w:tcPr>
            <w:tcW w:w="66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of operations and discontinued operations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8,750</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15,369</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Investors' share of operations</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(697)</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(1,378)</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before loss on abandoned developments held for sale</w:t>
            </w:r>
          </w:p>
        </w:tc>
        <w:tc>
          <w:tcPr>
            <w:tcW w:w="1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6"/>
        </w:trPr>
        <w:tc>
          <w:tcPr>
            <w:tcW w:w="66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and discontinued operations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8,053</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13,991</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Discontinued operations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242</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before loss on abandoned developments held for sale</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8,316</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14,233</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(9,647)</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Net (loss) income</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(1,331)</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14,233</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on preferred stock</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(4,856)</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(1,988)</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Net (loss) income available for common shareholders</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($6,187)</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$12,245</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Earnings per common share, basic</w:t>
            </w:r>
          </w:p>
        </w:tc>
        <w:tc>
          <w:tcPr>
            <w:tcW w:w="1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6"/>
        </w:trPr>
        <w:tc>
          <w:tcPr>
            <w:tcW w:w="66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Income before loss on abandoned developments held for sale</w:t>
            </w:r>
          </w:p>
        </w:tc>
        <w:tc>
          <w:tcPr>
            <w:tcW w:w="1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6"/>
        </w:trPr>
        <w:tc>
          <w:tcPr>
            <w:tcW w:w="66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and discontinued operations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$0.08</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w:t>
            </w:r>
          </w:p>
        </w:tc>
      </w:tr>
      <w:tr>
        <w:trPr>
          <w:trHeight w:val="166"/>
        </w:trPr>
        <w:tc>
          <w:tcPr>
            <w:tcW w:w="66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Discontinued operations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0.01</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66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(0.24)</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($0.15)</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$0.32</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39,702</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38,822</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Earnings per common share, diluted</w:t>
            </w:r>
          </w:p>
        </w:tc>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6"/>
        </w:trPr>
        <w:tc>
          <w:tcPr>
            <w:tcW w:w="66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Income before loss on abandoned developments held for sale</w:t>
            </w:r>
          </w:p>
        </w:tc>
        <w:tc>
          <w:tcPr>
            <w:tcW w:w="1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6"/>
        </w:trPr>
        <w:tc>
          <w:tcPr>
            <w:tcW w:w="66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and discontinued operations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$0.08</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$0.31</w:t>
            </w:r>
          </w:p>
        </w:tc>
      </w:tr>
      <w:tr>
        <w:trPr>
          <w:trHeight w:val="166"/>
        </w:trPr>
        <w:tc>
          <w:tcPr>
            <w:tcW w:w="66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Discontinued operations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0.01</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66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(0.24)</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($0.15)</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$0.32</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40,942</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39,856</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Funds from Operations</w:t>
            </w:r>
          </w:p>
        </w:tc>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6"/>
        </w:trPr>
        <w:tc>
          <w:tcPr>
            <w:tcW w:w="66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Net (loss) income available for common shareholders</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($6,187)</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$12,245</w:t>
            </w:r>
          </w:p>
        </w:tc>
      </w:tr>
      <w:tr>
        <w:trPr>
          <w:trHeight w:val="166"/>
        </w:trPr>
        <w:tc>
          <w:tcPr>
            <w:tcW w:w="1560" w:type="dxa"/>
            <w:vAlign w:val="bottom"/>
          </w:tcPr>
          <w:p>
            <w:pPr>
              <w:ind w:left="960"/>
              <w:spacing w:after="0"/>
              <w:rPr>
                <w:sz w:val="20"/>
                <w:szCs w:val="20"/>
                <w:color w:val="auto"/>
              </w:rPr>
            </w:pPr>
            <w:r>
              <w:rPr>
                <w:rFonts w:ascii="Courier New" w:cs="Courier New" w:eastAsia="Courier New" w:hAnsi="Courier New"/>
                <w:sz w:val="14"/>
                <w:szCs w:val="14"/>
                <w:color w:val="auto"/>
              </w:rPr>
              <w:t>Add:</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loss on abandoned developments held for sale</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9,647</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ind w:left="960"/>
              <w:spacing w:after="0"/>
              <w:rPr>
                <w:sz w:val="20"/>
                <w:szCs w:val="20"/>
                <w:color w:val="auto"/>
              </w:rPr>
            </w:pPr>
            <w:r>
              <w:rPr>
                <w:rFonts w:ascii="Courier New" w:cs="Courier New" w:eastAsia="Courier New" w:hAnsi="Courier New"/>
                <w:sz w:val="14"/>
                <w:szCs w:val="14"/>
                <w:color w:val="auto"/>
              </w:rPr>
              <w:t>Add:</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of real estate assets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14,537</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12,866</w:t>
            </w:r>
          </w:p>
        </w:tc>
      </w:tr>
      <w:tr>
        <w:trPr>
          <w:trHeight w:val="166"/>
        </w:trPr>
        <w:tc>
          <w:tcPr>
            <w:tcW w:w="1560" w:type="dxa"/>
            <w:vAlign w:val="bottom"/>
          </w:tcPr>
          <w:p>
            <w:pPr>
              <w:ind w:left="960"/>
              <w:spacing w:after="0"/>
              <w:rPr>
                <w:sz w:val="20"/>
                <w:szCs w:val="20"/>
                <w:color w:val="auto"/>
              </w:rPr>
            </w:pPr>
            <w:r>
              <w:rPr>
                <w:rFonts w:ascii="Courier New" w:cs="Courier New" w:eastAsia="Courier New" w:hAnsi="Courier New"/>
                <w:sz w:val="14"/>
                <w:szCs w:val="14"/>
                <w:color w:val="auto"/>
              </w:rPr>
              <w:t>Add:</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amortization of initial direct costs of leases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1,171</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969</w:t>
            </w:r>
          </w:p>
        </w:tc>
      </w:tr>
      <w:tr>
        <w:trPr>
          <w:trHeight w:val="166"/>
        </w:trPr>
        <w:tc>
          <w:tcPr>
            <w:tcW w:w="1560" w:type="dxa"/>
            <w:vAlign w:val="bottom"/>
          </w:tcPr>
          <w:p>
            <w:pPr>
              <w:ind w:left="960"/>
              <w:spacing w:after="0"/>
              <w:rPr>
                <w:sz w:val="20"/>
                <w:szCs w:val="20"/>
                <w:color w:val="auto"/>
              </w:rPr>
            </w:pPr>
            <w:r>
              <w:rPr>
                <w:rFonts w:ascii="Courier New" w:cs="Courier New" w:eastAsia="Courier New" w:hAnsi="Courier New"/>
                <w:sz w:val="14"/>
                <w:szCs w:val="14"/>
                <w:color w:val="auto"/>
              </w:rPr>
              <w:t>Add:</w:t>
            </w:r>
          </w:p>
        </w:tc>
        <w:tc>
          <w:tcPr>
            <w:tcW w:w="5040" w:type="dxa"/>
            <w:vAlign w:val="bottom"/>
          </w:tcPr>
          <w:p>
            <w:pPr>
              <w:spacing w:after="0"/>
              <w:rPr>
                <w:sz w:val="20"/>
                <w:szCs w:val="20"/>
                <w:color w:val="auto"/>
              </w:rPr>
            </w:pPr>
            <w:r>
              <w:rPr>
                <w:rFonts w:ascii="Courier New" w:cs="Courier New" w:eastAsia="Courier New" w:hAnsi="Courier New"/>
                <w:sz w:val="14"/>
                <w:szCs w:val="14"/>
                <w:color w:val="auto"/>
              </w:rPr>
              <w:t>(loss) income attributable to operating partnership units</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(136)</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Funds from operations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$19,032</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$26,379</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Funds from operations per share, diluted</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$0.46</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$0.66</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497"/>
        </w:trPr>
        <w:tc>
          <w:tcPr>
            <w:tcW w:w="15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March 31,</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(unaudited)</w:t>
            </w:r>
          </w:p>
        </w:tc>
        <w:tc>
          <w:tcPr>
            <w:tcW w:w="2040" w:type="dxa"/>
            <w:vAlign w:val="bottom"/>
          </w:tcPr>
          <w:p>
            <w:pPr>
              <w:spacing w:after="0"/>
              <w:rPr>
                <w:sz w:val="14"/>
                <w:szCs w:val="14"/>
                <w:color w:val="auto"/>
              </w:rPr>
            </w:pPr>
          </w:p>
        </w:tc>
      </w:tr>
      <w:tr>
        <w:trPr>
          <w:trHeight w:val="166"/>
        </w:trPr>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Assets</w:t>
            </w:r>
          </w:p>
        </w:tc>
        <w:tc>
          <w:tcPr>
            <w:tcW w:w="5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6"/>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Real estate, at cost</w:t>
            </w:r>
          </w:p>
        </w:tc>
        <w:tc>
          <w:tcPr>
            <w:tcW w:w="1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331"/>
        </w:trPr>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5040" w:type="dxa"/>
            <w:vAlign w:val="bottom"/>
          </w:tcPr>
          <w:p>
            <w:pPr>
              <w:spacing w:after="0"/>
              <w:rPr>
                <w:sz w:val="24"/>
                <w:szCs w:val="2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$1,770,455</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$1,782,318</w:t>
            </w:r>
          </w:p>
        </w:tc>
      </w:tr>
      <w:tr>
        <w:trPr>
          <w:trHeight w:val="166"/>
        </w:trPr>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Development</w:t>
            </w: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356,450</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321,986</w:t>
            </w:r>
          </w:p>
        </w:tc>
      </w:tr>
      <w:tr>
        <w:trPr>
          <w:trHeight w:val="166"/>
        </w:trPr>
        <w:tc>
          <w:tcPr>
            <w:tcW w:w="1560" w:type="dxa"/>
            <w:vAlign w:val="bottom"/>
          </w:tcPr>
          <w:p>
            <w:pPr>
              <w:ind w:left="360"/>
              <w:spacing w:after="0"/>
              <w:rPr>
                <w:sz w:val="20"/>
                <w:szCs w:val="20"/>
                <w:color w:val="auto"/>
              </w:rPr>
            </w:pPr>
            <w:r>
              <w:rPr>
                <w:rFonts w:ascii="Courier New" w:cs="Courier New" w:eastAsia="Courier New" w:hAnsi="Courier New"/>
                <w:sz w:val="14"/>
                <w:szCs w:val="14"/>
                <w:color w:val="auto"/>
              </w:rPr>
              <w:t>Held for sale</w:t>
            </w: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18,141</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2,145,046</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2,104,304</w:t>
            </w:r>
          </w:p>
        </w:tc>
      </w:tr>
      <w:tr>
        <w:trPr>
          <w:trHeight w:val="331"/>
        </w:trPr>
        <w:tc>
          <w:tcPr>
            <w:tcW w:w="66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(410,295)</w:t>
            </w:r>
          </w:p>
        </w:tc>
        <w:tc>
          <w:tcPr>
            <w:tcW w:w="2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(395,767)</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1,734,751</w:t>
            </w:r>
          </w:p>
        </w:tc>
        <w:tc>
          <w:tcPr>
            <w:tcW w:w="2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1,708,537</w:t>
            </w:r>
          </w:p>
        </w:tc>
      </w:tr>
    </w:tbl>
    <w:p>
      <w:pPr>
        <w:sectPr>
          <w:pgSz w:w="11900" w:h="16838" w:orient="portrait"/>
          <w:cols w:equalWidth="0" w:num="1">
            <w:col w:w="10239"/>
          </w:cols>
          <w:pgMar w:left="220" w:top="616" w:right="1440" w:bottom="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20"/>
                <w:szCs w:val="20"/>
                <w:color w:val="auto"/>
              </w:rPr>
            </w:pPr>
            <w:r>
              <w:rPr>
                <w:rFonts w:ascii="Courier New" w:cs="Courier New" w:eastAsia="Courier New" w:hAnsi="Courier New"/>
                <w:sz w:val="14"/>
                <w:szCs w:val="14"/>
                <w:color w:val="auto"/>
              </w:rPr>
              <w:t>Mortgage notes receivable</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48,661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35,607</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Cash and investments</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17,325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17,563</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17,095</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18,580</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57,367</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57,691</w:t>
            </w:r>
          </w:p>
        </w:tc>
      </w:tr>
      <w:tr>
        <w:trPr>
          <w:trHeight w:val="166"/>
        </w:trPr>
        <w:tc>
          <w:tcPr>
            <w:tcW w:w="5380" w:type="dxa"/>
            <w:vAlign w:val="bottom"/>
          </w:tcPr>
          <w:p>
            <w:pPr>
              <w:spacing w:after="0"/>
              <w:rPr>
                <w:sz w:val="14"/>
                <w:szCs w:val="14"/>
                <w:color w:val="auto"/>
              </w:rPr>
            </w:pP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$1,875,199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$1,837,978</w:t>
            </w:r>
          </w:p>
        </w:tc>
      </w:tr>
      <w:tr>
        <w:trPr>
          <w:trHeight w:val="166"/>
        </w:trPr>
        <w:tc>
          <w:tcPr>
            <w:tcW w:w="5380" w:type="dxa"/>
            <w:vAlign w:val="bottom"/>
          </w:tcPr>
          <w:p>
            <w:pPr>
              <w:spacing w:after="0"/>
              <w:rPr>
                <w:sz w:val="14"/>
                <w:szCs w:val="14"/>
                <w:color w:val="auto"/>
              </w:rPr>
            </w:pP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38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5380" w:type="dxa"/>
            <w:vAlign w:val="bottom"/>
          </w:tcPr>
          <w:p>
            <w:pPr>
              <w:ind w:left="340"/>
              <w:spacing w:after="0"/>
              <w:rPr>
                <w:sz w:val="20"/>
                <w:szCs w:val="20"/>
                <w:color w:val="auto"/>
              </w:rPr>
            </w:pPr>
            <w:r>
              <w:rPr>
                <w:rFonts w:ascii="Courier New" w:cs="Courier New" w:eastAsia="Courier New" w:hAnsi="Courier New"/>
                <w:sz w:val="14"/>
                <w:szCs w:val="14"/>
                <w:color w:val="auto"/>
              </w:rPr>
              <w:t>Obligations under capital leases, mortgages and</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$481,001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$450,336</w:t>
            </w:r>
          </w:p>
        </w:tc>
      </w:tr>
      <w:tr>
        <w:trPr>
          <w:trHeight w:val="166"/>
        </w:trPr>
        <w:tc>
          <w:tcPr>
            <w:tcW w:w="5380" w:type="dxa"/>
            <w:vAlign w:val="bottom"/>
          </w:tcPr>
          <w:p>
            <w:pPr>
              <w:ind w:left="340"/>
              <w:spacing w:after="0"/>
              <w:rPr>
                <w:sz w:val="20"/>
                <w:szCs w:val="20"/>
                <w:color w:val="auto"/>
              </w:rPr>
            </w:pPr>
            <w:r>
              <w:rPr>
                <w:rFonts w:ascii="Courier New" w:cs="Courier New" w:eastAsia="Courier New" w:hAnsi="Courier New"/>
                <w:sz w:val="14"/>
                <w:szCs w:val="14"/>
                <w:color w:val="auto"/>
              </w:rPr>
              <w:t>construction loans</w:t>
            </w:r>
          </w:p>
        </w:tc>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5380" w:type="dxa"/>
            <w:vAlign w:val="bottom"/>
          </w:tcPr>
          <w:p>
            <w:pPr>
              <w:ind w:left="340"/>
              <w:spacing w:after="0"/>
              <w:rPr>
                <w:sz w:val="20"/>
                <w:szCs w:val="20"/>
                <w:color w:val="auto"/>
              </w:rPr>
            </w:pPr>
            <w:r>
              <w:rPr>
                <w:rFonts w:ascii="Courier New" w:cs="Courier New" w:eastAsia="Courier New" w:hAnsi="Courier New"/>
                <w:sz w:val="14"/>
                <w:szCs w:val="14"/>
                <w:color w:val="auto"/>
              </w:rPr>
              <w:t>Notes payable</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185,801</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174,843</w:t>
            </w:r>
          </w:p>
        </w:tc>
      </w:tr>
      <w:tr>
        <w:trPr>
          <w:trHeight w:val="166"/>
        </w:trPr>
        <w:tc>
          <w:tcPr>
            <w:tcW w:w="5380" w:type="dxa"/>
            <w:vAlign w:val="bottom"/>
          </w:tcPr>
          <w:p>
            <w:pPr>
              <w:ind w:left="340"/>
              <w:spacing w:after="0"/>
              <w:rPr>
                <w:sz w:val="20"/>
                <w:szCs w:val="20"/>
                <w:color w:val="auto"/>
              </w:rPr>
            </w:pPr>
            <w:r>
              <w:rPr>
                <w:rFonts w:ascii="Courier New" w:cs="Courier New" w:eastAsia="Courier New" w:hAnsi="Courier New"/>
                <w:sz w:val="14"/>
                <w:szCs w:val="14"/>
                <w:color w:val="auto"/>
              </w:rPr>
              <w:t>Senior Notes</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410,000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410,000</w:t>
            </w:r>
          </w:p>
        </w:tc>
      </w:tr>
      <w:tr>
        <w:trPr>
          <w:trHeight w:val="166"/>
        </w:trPr>
        <w:tc>
          <w:tcPr>
            <w:tcW w:w="5380" w:type="dxa"/>
            <w:vAlign w:val="bottom"/>
          </w:tcPr>
          <w:p>
            <w:pPr>
              <w:ind w:left="3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75,289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5380" w:type="dxa"/>
            <w:vAlign w:val="bottom"/>
          </w:tcPr>
          <w:p>
            <w:pPr>
              <w:ind w:left="340"/>
              <w:spacing w:after="0"/>
              <w:rPr>
                <w:sz w:val="20"/>
                <w:szCs w:val="20"/>
                <w:color w:val="auto"/>
              </w:rPr>
            </w:pPr>
            <w:r>
              <w:rPr>
                <w:rFonts w:ascii="Courier New" w:cs="Courier New" w:eastAsia="Courier New" w:hAnsi="Courier New"/>
                <w:sz w:val="14"/>
                <w:szCs w:val="14"/>
                <w:color w:val="auto"/>
              </w:rPr>
              <w:t>Other liabilities</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139,770</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135,122</w:t>
            </w:r>
          </w:p>
        </w:tc>
      </w:tr>
      <w:tr>
        <w:trPr>
          <w:trHeight w:val="331"/>
        </w:trPr>
        <w:tc>
          <w:tcPr>
            <w:tcW w:w="53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583,338</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592,388</w:t>
            </w:r>
          </w:p>
        </w:tc>
      </w:tr>
      <w:tr>
        <w:trPr>
          <w:trHeight w:val="166"/>
        </w:trPr>
        <w:tc>
          <w:tcPr>
            <w:tcW w:w="5380" w:type="dxa"/>
            <w:vAlign w:val="bottom"/>
          </w:tcPr>
          <w:p>
            <w:pPr>
              <w:spacing w:after="0"/>
              <w:rPr>
                <w:sz w:val="14"/>
                <w:szCs w:val="14"/>
                <w:color w:val="auto"/>
              </w:rPr>
            </w:pP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8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$1,875,199</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$1,837,978</w:t>
            </w:r>
          </w:p>
        </w:tc>
      </w:tr>
      <w:tr>
        <w:trPr>
          <w:trHeight w:val="166"/>
        </w:trPr>
        <w:tc>
          <w:tcPr>
            <w:tcW w:w="5380" w:type="dxa"/>
            <w:vAlign w:val="bottom"/>
          </w:tcPr>
          <w:p>
            <w:pPr>
              <w:spacing w:after="0"/>
              <w:rPr>
                <w:sz w:val="14"/>
                <w:szCs w:val="14"/>
                <w:color w:val="auto"/>
              </w:rPr>
            </w:pPr>
          </w:p>
        </w:tc>
        <w:tc>
          <w:tcPr>
            <w:tcW w:w="25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9879"/>
          </w:cols>
          <w:pgMar w:left="580" w:top="141" w:right="1440" w:bottom="1440" w:gutter="0" w:footer="0" w:header="0"/>
        </w:sectPr>
      </w:pPr>
    </w:p>
    <w:bookmarkStart w:id="18" w:name="page19"/>
    <w:bookmarkEnd w:id="18"/>
    <w:p>
      <w:pPr>
        <w:jc w:val="center"/>
        <w:ind w:right="3419"/>
        <w:spacing w:after="0"/>
        <w:rPr>
          <w:sz w:val="20"/>
          <w:szCs w:val="20"/>
          <w:color w:val="auto"/>
        </w:rPr>
      </w:pPr>
      <w:r>
        <w:rPr>
          <w:rFonts w:ascii="Courier New" w:cs="Courier New" w:eastAsia="Courier New" w:hAnsi="Courier New"/>
          <w:sz w:val="14"/>
          <w:szCs w:val="14"/>
          <w:color w:val="auto"/>
        </w:rPr>
        <w:t>Glossary of Terms</w:t>
      </w:r>
    </w:p>
    <w:p>
      <w:pPr>
        <w:spacing w:after="0" w:line="17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Leases signed - prior rent: Total cash (not straight lined) rent paid by the previous tenant; includes minimum and percentage rent.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current rent: Total cash (not straight lined) rent paid by the current (new) tenant; includes minimum rent only.</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Net Operating Income: Gross revenues, including mortgage interest income, less rental expenses and real estate taxes.</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properties owned and operating in the periods being compared. Excludes centers purchased or sold as well as properties under redevelopment and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200" w:lineRule="exact"/>
        <w:rPr>
          <w:sz w:val="20"/>
          <w:szCs w:val="20"/>
          <w:color w:val="auto"/>
        </w:rPr>
      </w:pPr>
    </w:p>
    <w:p>
      <w:pPr>
        <w:spacing w:after="0" w:line="29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E-10</w:t>
      </w:r>
    </w:p>
    <w:sectPr>
      <w:pgSz w:w="11900" w:h="16838" w:orient="portrait"/>
      <w:cols w:equalWidth="0" w:num="1">
        <w:col w:w="10239"/>
      </w:cols>
      <w:pgMar w:left="2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3"/>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4"/>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decimal"/>
      <w:start w:val="1"/>
    </w:lvl>
  </w:abstractNum>
  <w:abstractNum w:abstractNumId="8">
    <w:nsid w:val="12200854"/>
    <w:multiLevelType w:val="hybridMultilevel"/>
    <w:lvl w:ilvl="0">
      <w:lvlJc w:val="left"/>
      <w:lvlText w:val="(%1)"/>
      <w:numFmt w:val="decimal"/>
      <w:start w:val="3"/>
    </w:lvl>
    <w:lvl w:ilvl="1">
      <w:lvlJc w:val="left"/>
      <w:lvlText w:val="(%2)"/>
      <w:numFmt w:val="decimal"/>
      <w:start w:val="4"/>
    </w:lvl>
  </w:abstractNum>
  <w:abstractNum w:abstractNumId="9">
    <w:nsid w:val="4DB127F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2019-12-13T01:00:48Z</dcterms:created>
  <dcterms:modified xsi:type="dcterms:W3CDTF">2019-12-13T01:00:48Z</dcterms:modified>
</cp:coreProperties>
</file>