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March 31, 2014</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5"/>
              </w:rPr>
              <w:t>Maryland</w:t>
            </w:r>
          </w:p>
        </w:tc>
        <w:tc>
          <w:tcPr>
            <w:tcW w:w="2340" w:type="dxa"/>
            <w:vAlign w:val="bottom"/>
          </w:tcPr>
          <w:p>
            <w:pPr>
              <w:jc w:val="right"/>
              <w:ind w:right="610"/>
              <w:spacing w:after="0"/>
              <w:rPr>
                <w:sz w:val="20"/>
                <w:szCs w:val="20"/>
                <w:color w:val="auto"/>
              </w:rPr>
            </w:pPr>
            <w:r>
              <w:rPr>
                <w:rFonts w:ascii="Arial" w:cs="Arial" w:eastAsia="Arial" w:hAnsi="Arial"/>
                <w:sz w:val="20"/>
                <w:szCs w:val="20"/>
                <w:b w:val="1"/>
                <w:bCs w:val="1"/>
                <w:color w:val="auto"/>
              </w:rPr>
              <w:t>52-0782497</w:t>
            </w:r>
          </w:p>
        </w:tc>
      </w:tr>
      <w:tr>
        <w:trPr>
          <w:trHeight w:val="247"/>
        </w:trPr>
        <w:tc>
          <w:tcPr>
            <w:tcW w:w="6780" w:type="dxa"/>
            <w:vAlign w:val="bottom"/>
          </w:tcPr>
          <w:p>
            <w:pPr>
              <w:jc w:val="center"/>
              <w:ind w:right="2653"/>
              <w:spacing w:after="0"/>
              <w:rPr>
                <w:sz w:val="20"/>
                <w:szCs w:val="20"/>
                <w:color w:val="auto"/>
              </w:rPr>
            </w:pPr>
            <w:r>
              <w:rPr>
                <w:rFonts w:ascii="Arial" w:cs="Arial" w:eastAsia="Arial" w:hAnsi="Arial"/>
                <w:sz w:val="16"/>
                <w:szCs w:val="16"/>
                <w:b w:val="1"/>
                <w:bCs w:val="1"/>
                <w:color w:val="auto"/>
                <w:w w:val="93"/>
              </w:rPr>
              <w:t>(State of Organization)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23"/>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0"/>
              </w:rPr>
              <w:t>1626 East Jefferson Street, Rockville, Maryland</w:t>
            </w:r>
          </w:p>
        </w:tc>
        <w:tc>
          <w:tcPr>
            <w:tcW w:w="2340" w:type="dxa"/>
            <w:vAlign w:val="bottom"/>
          </w:tcPr>
          <w:p>
            <w:pPr>
              <w:jc w:val="right"/>
              <w:ind w:right="830"/>
              <w:spacing w:after="0"/>
              <w:rPr>
                <w:sz w:val="20"/>
                <w:szCs w:val="20"/>
                <w:color w:val="auto"/>
              </w:rPr>
            </w:pPr>
            <w:r>
              <w:rPr>
                <w:rFonts w:ascii="Arial" w:cs="Arial" w:eastAsia="Arial" w:hAnsi="Arial"/>
                <w:sz w:val="20"/>
                <w:szCs w:val="20"/>
                <w:b w:val="1"/>
                <w:bCs w:val="1"/>
                <w:color w:val="auto"/>
              </w:rPr>
              <w:t>20852</w:t>
            </w:r>
          </w:p>
        </w:tc>
      </w:tr>
      <w:tr>
        <w:trPr>
          <w:trHeight w:val="247"/>
        </w:trPr>
        <w:tc>
          <w:tcPr>
            <w:tcW w:w="6780" w:type="dxa"/>
            <w:vAlign w:val="bottom"/>
          </w:tcPr>
          <w:p>
            <w:pPr>
              <w:jc w:val="center"/>
              <w:ind w:right="2673"/>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6780" w:type="dxa"/>
            <w:vAlign w:val="bottom"/>
          </w:tcPr>
          <w:p>
            <w:pPr>
              <w:jc w:val="right"/>
              <w:ind w:right="1033"/>
              <w:spacing w:after="0"/>
              <w:rPr>
                <w:sz w:val="20"/>
                <w:szCs w:val="20"/>
                <w:color w:val="auto"/>
              </w:rPr>
            </w:pPr>
            <w:r>
              <w:rPr>
                <w:rFonts w:ascii="Arial" w:cs="Arial" w:eastAsia="Arial" w:hAnsi="Arial"/>
                <w:sz w:val="18"/>
                <w:szCs w:val="18"/>
                <w:b w:val="1"/>
                <w:bCs w:val="1"/>
                <w:color w:val="auto"/>
              </w:rPr>
              <w:t>(301) 998-8100</w:t>
            </w:r>
          </w:p>
        </w:tc>
        <w:tc>
          <w:tcPr>
            <w:tcW w:w="2340" w:type="dxa"/>
            <w:vAlign w:val="bottom"/>
          </w:tcPr>
          <w:p>
            <w:pPr>
              <w:spacing w:after="0"/>
              <w:rPr>
                <w:sz w:val="24"/>
                <w:szCs w:val="24"/>
                <w:color w:val="auto"/>
              </w:rPr>
            </w:pPr>
          </w:p>
        </w:tc>
      </w:tr>
      <w:tr>
        <w:trPr>
          <w:trHeight w:val="204"/>
        </w:trPr>
        <w:tc>
          <w:tcPr>
            <w:tcW w:w="6780" w:type="dxa"/>
            <w:vAlign w:val="bottom"/>
          </w:tcPr>
          <w:p>
            <w:pPr>
              <w:jc w:val="center"/>
              <w:ind w:left="3273"/>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340" w:type="dxa"/>
            <w:vAlign w:val="bottom"/>
          </w:tcPr>
          <w:p>
            <w:pPr>
              <w:spacing w:after="0"/>
              <w:rPr>
                <w:sz w:val="17"/>
                <w:szCs w:val="17"/>
                <w:color w:val="auto"/>
              </w:rPr>
            </w:pPr>
          </w:p>
        </w:tc>
      </w:tr>
    </w:tbl>
    <w:p>
      <w:pPr>
        <w:spacing w:after="0" w:line="14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40" w:space="70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4">
            <w:col w:w="1720" w:space="72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8" w:lineRule="exact"/>
        <w:rPr>
          <w:sz w:val="24"/>
          <w:szCs w:val="24"/>
          <w:color w:val="auto"/>
        </w:rPr>
      </w:pPr>
    </w:p>
    <w:p>
      <w:pPr>
        <w:sectPr>
          <w:pgSz w:w="11900" w:h="16838" w:orient="portrait"/>
          <w:cols w:equalWidth="0" w:num="3">
            <w:col w:w="8240" w:space="240"/>
            <w:col w:w="500" w:space="180"/>
            <w:col w:w="226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Registrant’s common shares outstanding on May 5, 2014 was 67,271,589.</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Arial" w:cs="Arial" w:eastAsia="Arial" w:hAnsi="Arial"/>
                <w:sz w:val="16"/>
                <w:szCs w:val="16"/>
                <w:b w:val="1"/>
                <w:bCs w:val="1"/>
                <w:color w:val="0000EE"/>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w w:val="97"/>
              </w:rPr>
              <w:t>QUARTER ENDED MARCH 31, 2014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1.</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Consolidated Balance Sheets as of March 31, 2014 (unaudited) and December 31, 2013</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Consolidated Statements of Comprehensive Income (unaudited) for the three months ended March 31, 2014 and 2013</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Consolidated Statement of Shareholders' Equity (unaudited) for the three months ended March 31, 2014</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Consolidated Statements of Cash Flows (unaudited) for the three months ended March 31, 2014 and 2013</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8</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2.</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15</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3.</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4.</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1.</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1A.</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2.</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3.</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4.</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5.</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6.</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939"/>
        </w:trPr>
        <w:tc>
          <w:tcPr>
            <w:tcW w:w="880" w:type="dxa"/>
            <w:vAlign w:val="bottom"/>
          </w:tcPr>
          <w:p>
            <w:pPr>
              <w:spacing w:after="0"/>
              <w:rPr>
                <w:sz w:val="24"/>
                <w:szCs w:val="24"/>
                <w:color w:val="auto"/>
              </w:rPr>
            </w:pPr>
          </w:p>
        </w:tc>
        <w:tc>
          <w:tcPr>
            <w:tcW w:w="10340" w:type="dxa"/>
            <w:vAlign w:val="bottom"/>
            <w:gridSpan w:val="2"/>
          </w:tcPr>
          <w:p>
            <w:pPr>
              <w:jc w:val="center"/>
              <w:ind w:right="59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balance sheet as of December 31, 2013,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months ended March 31, 2014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6"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9"/>
              </w:rPr>
              <w:t>(In thousands, except share data)</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9"/>
              </w:rPr>
              <w:t>Operating (including $281,602 and $265,138 of consolidated variable interest entities, 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4,815,667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4,618,258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572,986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531,205</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5,388,653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5,149,463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Less accumulated depreciation and amortization (including $20,974 and $19,086 of consolidated variable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(1,383,520)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(1,350,471)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4,005,133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3,798,992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88,927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92,769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84,838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55,155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145,062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Debt issuance costs, net of accumulated amortization of $10,261 and $9,535, respectively</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13,698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14,056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4,405,647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rPr>
              <w:t>Mortgages payable (including $209,742 and $202,782 of consolidated variable interest entities,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658,264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588,456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71,671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300,910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300,822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1,361,098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1,360,913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157,357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156,270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52,385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100,283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2,721,011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2,643,572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110,368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104,425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67,267,030 and 66,701,422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2,114,666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2,062,708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(637,638)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(623,795)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1,485,738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1,448,160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88,530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1,574,268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1,471,297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4,405,647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5"/>
              </w:rPr>
              <w:t>(In thousands, except per share data)</w:t>
            </w:r>
          </w:p>
        </w:tc>
        <w:tc>
          <w:tcPr>
            <w:tcW w:w="0" w:type="dxa"/>
            <w:vAlign w:val="bottom"/>
          </w:tcPr>
          <w:p>
            <w:pPr>
              <w:spacing w:after="0"/>
              <w:rPr>
                <w:sz w:val="1"/>
                <w:szCs w:val="1"/>
                <w:color w:val="auto"/>
              </w:rPr>
            </w:pPr>
          </w:p>
        </w:tc>
      </w:tr>
      <w:tr>
        <w:trPr>
          <w:trHeight w:val="255"/>
        </w:trPr>
        <w:tc>
          <w:tcPr>
            <w:tcW w:w="5320" w:type="dxa"/>
            <w:vAlign w:val="bottom"/>
          </w:tcPr>
          <w:p>
            <w:pPr>
              <w:ind w:left="40"/>
              <w:spacing w:after="0"/>
              <w:rPr>
                <w:sz w:val="20"/>
                <w:szCs w:val="20"/>
                <w:color w:val="auto"/>
              </w:rPr>
            </w:pPr>
            <w:r>
              <w:rPr>
                <w:rFonts w:ascii="Arial" w:cs="Arial" w:eastAsia="Arial" w:hAnsi="Arial"/>
                <w:sz w:val="18"/>
                <w:szCs w:val="18"/>
                <w:color w:val="auto"/>
              </w:rPr>
              <w:t>REVENUE</w:t>
            </w:r>
          </w:p>
        </w:tc>
        <w:tc>
          <w:tcPr>
            <w:tcW w:w="3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152,616</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3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170,828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157,149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29,501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17,572</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40,517</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107,384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94,647</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62,502</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(27,405)</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Income from real estate partnership</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35,439</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 - income</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40,545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35,842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38,753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34,588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0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38,618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34,453</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3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3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basic</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64,692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3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diluted</w:t>
            </w: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66,773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64,847</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32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40,002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37,457</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3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38,210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36,203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40" w:type="dxa"/>
            <w:vAlign w:val="bottom"/>
            <w:gridSpan w:val="3"/>
          </w:tcPr>
          <w:p>
            <w:pPr>
              <w:jc w:val="center"/>
              <w:ind w:left="2690"/>
              <w:spacing w:after="0"/>
              <w:rPr>
                <w:sz w:val="20"/>
                <w:szCs w:val="20"/>
                <w:color w:val="auto"/>
              </w:rPr>
            </w:pPr>
            <w:r>
              <w:rPr>
                <w:rFonts w:ascii="Arial" w:cs="Arial" w:eastAsia="Arial" w:hAnsi="Arial"/>
                <w:sz w:val="18"/>
                <w:szCs w:val="18"/>
                <w:color w:val="auto"/>
                <w:w w:val="89"/>
              </w:rPr>
              <w:t>The accompanying notes are an integral part of these consolidated statements.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4"/>
                <w:szCs w:val="24"/>
                <w:color w:val="auto"/>
              </w:rPr>
            </w:pPr>
          </w:p>
        </w:tc>
        <w:tc>
          <w:tcPr>
            <w:tcW w:w="3020" w:type="dxa"/>
            <w:vAlign w:val="bottom"/>
          </w:tcPr>
          <w:p>
            <w:pPr>
              <w:jc w:val="right"/>
              <w:ind w:right="249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2014</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16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Preferred Shares</w:t>
            </w:r>
          </w:p>
        </w:tc>
        <w:tc>
          <w:tcPr>
            <w:tcW w:w="280" w:type="dxa"/>
            <w:vAlign w:val="bottom"/>
            <w:vMerge w:val="restart"/>
          </w:tcPr>
          <w:p>
            <w:pPr>
              <w:spacing w:after="0"/>
              <w:rPr>
                <w:sz w:val="13"/>
                <w:szCs w:val="13"/>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Shares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164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46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7"/>
          </w:tcPr>
          <w:p>
            <w:pPr>
              <w:ind w:left="80"/>
              <w:spacing w:after="0"/>
              <w:rPr>
                <w:sz w:val="20"/>
                <w:szCs w:val="20"/>
                <w:color w:val="auto"/>
              </w:rPr>
            </w:pPr>
            <w:r>
              <w:rPr>
                <w:rFonts w:ascii="Arial" w:cs="Arial" w:eastAsia="Arial" w:hAnsi="Arial"/>
                <w:sz w:val="14"/>
                <w:szCs w:val="14"/>
                <w:b w:val="1"/>
                <w:bCs w:val="1"/>
                <w:color w:val="auto"/>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399,896</w:t>
            </w:r>
          </w:p>
        </w:tc>
        <w:tc>
          <w:tcPr>
            <w:tcW w:w="2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7"/>
              </w:rPr>
              <w:t>$ 9,997</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66,701,422</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667</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$2,062,708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(623,795)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23,137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$ 1,471,297</w:t>
            </w:r>
          </w:p>
        </w:tc>
        <w:tc>
          <w:tcPr>
            <w:tcW w:w="0" w:type="dxa"/>
            <w:vAlign w:val="bottom"/>
          </w:tcPr>
          <w:p>
            <w:pPr>
              <w:spacing w:after="0"/>
              <w:rPr>
                <w:sz w:val="1"/>
                <w:szCs w:val="1"/>
                <w:color w:val="auto"/>
              </w:rPr>
            </w:pPr>
          </w:p>
        </w:tc>
      </w:tr>
      <w:tr>
        <w:trPr>
          <w:trHeight w:val="220"/>
        </w:trPr>
        <w:tc>
          <w:tcPr>
            <w:tcW w:w="2460" w:type="dxa"/>
            <w:vAlign w:val="bottom"/>
          </w:tcPr>
          <w:p>
            <w:pPr>
              <w:ind w:left="40"/>
              <w:spacing w:after="0"/>
              <w:rPr>
                <w:sz w:val="20"/>
                <w:szCs w:val="20"/>
                <w:color w:val="auto"/>
              </w:rPr>
            </w:pPr>
            <w:r>
              <w:rPr>
                <w:rFonts w:ascii="Arial" w:cs="Arial" w:eastAsia="Arial" w:hAnsi="Arial"/>
                <w:sz w:val="16"/>
                <w:szCs w:val="16"/>
                <w:color w:val="auto"/>
              </w:rPr>
              <w:t>Net income, excluding $764</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40"/>
              <w:spacing w:after="0"/>
              <w:rPr>
                <w:sz w:val="20"/>
                <w:szCs w:val="20"/>
                <w:color w:val="auto"/>
              </w:rPr>
            </w:pPr>
            <w:r>
              <w:rPr>
                <w:rFonts w:ascii="Arial" w:cs="Arial" w:eastAsia="Arial" w:hAnsi="Arial"/>
                <w:sz w:val="16"/>
                <w:szCs w:val="16"/>
                <w:color w:val="auto"/>
              </w:rPr>
              <w:t>attributable to redeemable</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38,753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39,781</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Other comprehensive loss - change</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 value of interest rate swaps</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20"/>
        </w:trPr>
        <w:tc>
          <w:tcPr>
            <w:tcW w:w="2460" w:type="dxa"/>
            <w:vAlign w:val="bottom"/>
          </w:tcPr>
          <w:p>
            <w:pPr>
              <w:ind w:left="40"/>
              <w:spacing w:after="0"/>
              <w:rPr>
                <w:sz w:val="20"/>
                <w:szCs w:val="20"/>
                <w:color w:val="auto"/>
              </w:rPr>
            </w:pPr>
            <w:r>
              <w:rPr>
                <w:rFonts w:ascii="Arial" w:cs="Arial" w:eastAsia="Arial" w:hAnsi="Arial"/>
                <w:sz w:val="16"/>
                <w:szCs w:val="16"/>
                <w:color w:val="auto"/>
              </w:rPr>
              <w:t>Dividends declared to common</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(52,461)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(52,461)</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to preferred</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20"/>
        </w:trPr>
        <w:tc>
          <w:tcPr>
            <w:tcW w:w="2460" w:type="dxa"/>
            <w:vAlign w:val="bottom"/>
          </w:tcPr>
          <w:p>
            <w:pPr>
              <w:ind w:left="40"/>
              <w:spacing w:after="0"/>
              <w:rPr>
                <w:sz w:val="20"/>
                <w:szCs w:val="20"/>
                <w:color w:val="auto"/>
              </w:rPr>
            </w:pPr>
            <w:r>
              <w:rPr>
                <w:rFonts w:ascii="Arial" w:cs="Arial" w:eastAsia="Arial" w:hAnsi="Arial"/>
                <w:sz w:val="16"/>
                <w:szCs w:val="16"/>
                <w:color w:val="auto"/>
              </w:rPr>
              <w:t>Distributions declared to</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shares issued</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455,735</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50,158</w:t>
            </w:r>
          </w:p>
        </w:tc>
        <w:tc>
          <w:tcPr>
            <w:tcW w:w="0" w:type="dxa"/>
            <w:vAlign w:val="bottom"/>
          </w:tcPr>
          <w:p>
            <w:pPr>
              <w:spacing w:after="0"/>
              <w:rPr>
                <w:sz w:val="1"/>
                <w:szCs w:val="1"/>
                <w:color w:val="auto"/>
              </w:rPr>
            </w:pPr>
          </w:p>
        </w:tc>
      </w:tr>
      <w:tr>
        <w:trPr>
          <w:trHeight w:val="237"/>
        </w:trPr>
        <w:tc>
          <w:tcPr>
            <w:tcW w:w="246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18,610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1,392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issued under dividend</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reinvestment plan</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4,908</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20"/>
        </w:trPr>
        <w:tc>
          <w:tcPr>
            <w:tcW w:w="2460" w:type="dxa"/>
            <w:vAlign w:val="bottom"/>
          </w:tcPr>
          <w:p>
            <w:pPr>
              <w:ind w:left="40"/>
              <w:spacing w:after="0"/>
              <w:rPr>
                <w:sz w:val="20"/>
                <w:szCs w:val="20"/>
                <w:color w:val="auto"/>
              </w:rPr>
            </w:pPr>
            <w:r>
              <w:rPr>
                <w:rFonts w:ascii="Arial" w:cs="Arial" w:eastAsia="Arial" w:hAnsi="Arial"/>
                <w:sz w:val="16"/>
                <w:szCs w:val="16"/>
                <w:color w:val="auto"/>
                <w:w w:val="90"/>
              </w:rPr>
              <w:t>Share-based compensation expense,</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40"/>
              <w:spacing w:after="0"/>
              <w:rPr>
                <w:sz w:val="20"/>
                <w:szCs w:val="20"/>
                <w:color w:val="auto"/>
              </w:rPr>
            </w:pPr>
            <w:r>
              <w:rPr>
                <w:rFonts w:ascii="Arial" w:cs="Arial" w:eastAsia="Arial" w:hAnsi="Arial"/>
                <w:sz w:val="16"/>
                <w:szCs w:val="16"/>
                <w:color w:val="auto"/>
                <w:w w:val="95"/>
              </w:rPr>
              <w:t>net of shares withheld for employee</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taxes</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86,355</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Contributions from noncontrolling</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65,350</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65,350</w:t>
            </w:r>
          </w:p>
        </w:tc>
        <w:tc>
          <w:tcPr>
            <w:tcW w:w="0" w:type="dxa"/>
            <w:vAlign w:val="bottom"/>
          </w:tcPr>
          <w:p>
            <w:pPr>
              <w:spacing w:after="0"/>
              <w:rPr>
                <w:sz w:val="1"/>
                <w:szCs w:val="1"/>
                <w:color w:val="auto"/>
              </w:rPr>
            </w:pPr>
          </w:p>
        </w:tc>
      </w:tr>
      <w:tr>
        <w:trPr>
          <w:trHeight w:val="220"/>
        </w:trPr>
        <w:tc>
          <w:tcPr>
            <w:tcW w:w="2460" w:type="dxa"/>
            <w:vAlign w:val="bottom"/>
          </w:tcPr>
          <w:p>
            <w:pPr>
              <w:ind w:left="40"/>
              <w:spacing w:after="0"/>
              <w:rPr>
                <w:sz w:val="20"/>
                <w:szCs w:val="20"/>
                <w:color w:val="auto"/>
              </w:rPr>
            </w:pPr>
            <w:r>
              <w:rPr>
                <w:rFonts w:ascii="Arial" w:cs="Arial" w:eastAsia="Arial" w:hAnsi="Arial"/>
                <w:sz w:val="16"/>
                <w:szCs w:val="16"/>
                <w:color w:val="auto"/>
              </w:rPr>
              <w:t>Adjustment to redeemable</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  —</w:t>
            </w:r>
          </w:p>
        </w:tc>
        <w:tc>
          <w:tcPr>
            <w:tcW w:w="920" w:type="dxa"/>
            <w:vAlign w:val="bottom"/>
            <w:gridSpan w:val="2"/>
          </w:tcPr>
          <w:p>
            <w:pPr>
              <w:ind w:left="380"/>
              <w:spacing w:after="0"/>
              <w:rPr>
                <w:sz w:val="20"/>
                <w:szCs w:val="20"/>
                <w:color w:val="auto"/>
              </w:rPr>
            </w:pPr>
            <w:r>
              <w:rPr>
                <w:rFonts w:ascii="Arial" w:cs="Arial" w:eastAsia="Arial" w:hAnsi="Arial"/>
                <w:sz w:val="16"/>
                <w:szCs w:val="16"/>
                <w:color w:val="auto"/>
              </w:rPr>
              <w:t>—  —</w:t>
            </w:r>
          </w:p>
        </w:tc>
        <w:tc>
          <w:tcPr>
            <w:tcW w:w="1120" w:type="dxa"/>
            <w:vAlign w:val="bottom"/>
            <w:gridSpan w:val="2"/>
          </w:tcPr>
          <w:p>
            <w:pPr>
              <w:ind w:left="580"/>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2014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399,896</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7"/>
              </w:rPr>
              <w:t>$ 9,997</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67,267,030</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$2,114,666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(637,638)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88,530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$ 1,574,268</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190"/>
        </w:trPr>
        <w:tc>
          <w:tcPr>
            <w:tcW w:w="8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35,842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including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40,624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Income from real estate partnership</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Decrease (increase) in prepaid expenses and other assets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 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Decrease in security deposits and other liabilities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(7,284)</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(33,367)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(issuance) of mortgage and other notes receivable,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(45,675)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mortgages, capital leases and notes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Issuance of common shares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51,615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32,542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(46,884)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(1,295)</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88,927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75,699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31,274</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2014</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and California. As of March 31, 2014, we owned or had a majority interest in community and neighborhood shopping centers and mixed-use properties which are operated as 89 predominantly retail real estate projects.</w:t>
      </w:r>
    </w:p>
    <w:p>
      <w:pPr>
        <w:spacing w:after="0" w:line="10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2013 amounts have been reclassified to conform to current period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ASU 2014-08 amends the definition of a discontinued operation to include only the disposal of a component of an entity that represents a strategic shift that has or will have a major impact on an entity’s operations and financial results. The standard also requires additional disclosures about discontinued operations as well as disposal transactions that do not meet the discontinued operations criteria. The standard is applicable prospectively for all disposals initially classified as held for sale in periods after adoption. We adopted the standard effective January 1, 2014, and there was no impact to the current period financial statements. In future periods, the adoption will result in most individual property disposals not qualifying for discontinued operations presentation and thus, the results of those disposals will remain in “income from continuing operations.” Properties sold prior to January 1, 2014, are not subject to ASU 2014-08 and therefore, continue to be classified as discontinued operations using the previous definition.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6"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30,241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23,137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27,405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20,463</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30,315</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FINANCING TRANSACTION: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68,282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8580" w:type="dxa"/>
            <w:vAlign w:val="bottom"/>
          </w:tcPr>
          <w:p>
            <w:pPr>
              <w:spacing w:after="0"/>
              <w:rPr>
                <w:sz w:val="20"/>
                <w:szCs w:val="20"/>
                <w:color w:val="auto"/>
              </w:rPr>
            </w:pPr>
            <w:r>
              <w:rPr>
                <w:rFonts w:ascii="Arial" w:cs="Arial" w:eastAsia="Arial" w:hAnsi="Arial"/>
                <w:sz w:val="18"/>
                <w:szCs w:val="18"/>
                <w:color w:val="auto"/>
              </w:rPr>
              <w:t>See Note 3 for additional disclosures relating to The Grove at Shrewsbury and Brook 35 acquisition.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Effective January 1, 2014, we acquired a controlling interest in The Grove at Shrewsbury, a 187,000 square foot shopping center in Shrewsbury, New Jersey, and Brook 35, a 99,000 square foot shopping center in Sea Girt, New Jersey for a gross value of $161 million. Our effective economic interest approximates 84% and was funded by the assumption of our share of $68 million of mortgage debt, 632,000 downREIT operating partnership units, and $13 million of cash (which was in an escrow account at December 31, 2013). We incurred $2.0 million of acquisition costs, of which $0.9 million were incurred in 2014 and included in "general and administrative expense" for the three months ended March 31, 2014.</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entered into an agreement to acquire the interest of one of the non-controlling interest holders in The Grove at Shrewsbury in 2015. As this non-controlling interest is mandatorily redeemable it has been classified as a liability of approximately $9 million and is included in "other liabilities and deferred credits" on the March 31, 2014 consolidated balance sheet. An additional non-controlling interest holder has the right to require us to acquire its interests in The Grove at Shrewsbury and Brook 35 at the then current fair market value beginning on January 1, 2017.</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purchase price has been preliminarily allocated to real estate assets, debt, other liabilities, and non-controlling interests. The purchase price allocation to all acquired assets, liabilities, and non-controlling interests will be finalized after our valuation studies are complete.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PARTNERSHIP</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March 31, 2014,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center"/>
              <w:ind w:right="133"/>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5,018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net income from real estate partnership</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169,848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170,867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5,420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178,205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Mortgages payable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56,862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56,922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117,452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117,723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partners’ capital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178,205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unconsolidated debt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17,059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17,077</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investment in real estate partnership</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connection with the acquisition of The Grove at Shrewsbury and Brook 35 on January 1, 2014, we assumed mortgage loans with a face amount of $68.3 million and a fair value of $73.8 million. The mortgage loans are secured by the individual properties with the following contractual terms: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Stated Interest Rate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Maturity Date</w:t>
            </w:r>
          </w:p>
        </w:tc>
      </w:tr>
      <w:tr>
        <w:trPr>
          <w:trHeight w:val="264"/>
        </w:trPr>
        <w:tc>
          <w:tcPr>
            <w:tcW w:w="5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Brook 35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1, 2014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The Grove at Shrewsbury (East)</w:t>
            </w:r>
          </w:p>
        </w:tc>
        <w:tc>
          <w:tcPr>
            <w:tcW w:w="2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October 1, 2017</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Grove at Shrewsbury (West)</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 2018</w:t>
            </w:r>
          </w:p>
        </w:tc>
      </w:tr>
      <w:tr>
        <w:trPr>
          <w:trHeight w:val="27"/>
        </w:trPr>
        <w:tc>
          <w:tcPr>
            <w:tcW w:w="5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three months ended March 31, 2014, the maximum amount of borrowings outstanding under our $600.0 million revolving credit facility was $4.0 million, the weighted average borrowings outstanding was $0.3 million, and the weighted average interest rate, before amortization of debt fees, was 1.07%. At March 31, 2014, there was no balance outstanding. Our revolving credit facility, term loan and certain notes require us to comply with various financial covenants, including the maintenance of minimum shareholders’ equity and debt coverage ratios and a maximum ratio of debt to net worth. As of March 31, 2014, we were in compliance with all debt covenants.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959,174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979,326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889,278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912,251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1,361,098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1,421,343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1,360,913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1,397,731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March 31, 2014, we have two interest rate swap agreements with a notional amount of $275.0 million that are measured at fair value on a recurring basis. The interest rate swap agreements fix the variable portion of our $275.0 million term loan at 1.72% from December 1, 2011 through November 1, 2018, and effectively fix the rate of the term loan at 3.02%.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$4.2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March 31, 2014, and we do not anticipate it will have a significant effect in the future.</w:t>
      </w:r>
    </w:p>
    <w:p>
      <w:pPr>
        <w:spacing w:after="0" w:line="196"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March 31, 2014 was a liability of $2.0 million and is included in "accounts payable and accrued expenses" on our consolidated balance sheet. The change in valuation on our interest rate swaps was $0.5 million (including $1.1 million reclassified from other comprehensive loss to interest expense) for the three months ended March 31, 2014 and is included in "accumulated other comprehensive loss."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liabilities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March 31, 2014</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1,960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1,417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1,417</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917,755 downREIT operating partnership units are outstanding which have a total fair value of $105.3 million, based on our closing stock price on March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w w:val="97"/>
              </w:rPr>
              <w:t>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2014</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2013</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0.780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0.730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0.339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0.339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0.339</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0.339</w:t>
            </w:r>
          </w:p>
        </w:tc>
      </w:tr>
    </w:tbl>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February 12, 2014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March 31, 2014, we issued 455,712 common shares at a weighted average price per share of $111.35 for net cash proceeds of $50.2 million and paid $0.5 million in commissions and $0.1 million in additional offering expenses related to the sales of these common shares. As of March 31, 2014, we had the capacity to issue up to $249.3 million in common shares under our ATM equity program.</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3"/>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116,065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110,031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37,459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30,828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2,724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166,193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152,616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740" w:hanging="652"/>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Residential minimum rents consist of the rental amounts for residential units at Rollingwood Apartments, The Crest at Congressional Plaza Apartments, Santana Row, Bethesda Row, and Chelsea Residential.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Minimum rents include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3"/>
          </w:tcPr>
          <w:p>
            <w:pPr>
              <w:jc w:val="center"/>
              <w:ind w:right="214"/>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540"/>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center"/>
              <w:ind w:left="540"/>
              <w:spacing w:after="0"/>
              <w:rPr>
                <w:sz w:val="20"/>
                <w:szCs w:val="20"/>
                <w:color w:val="auto"/>
              </w:rPr>
            </w:pPr>
            <w:r>
              <w:rPr>
                <w:rFonts w:ascii="Arial" w:cs="Arial" w:eastAsia="Arial" w:hAnsi="Arial"/>
                <w:sz w:val="14"/>
                <w:szCs w:val="14"/>
                <w:b w:val="1"/>
                <w:bCs w:val="1"/>
                <w:color w:val="auto"/>
                <w:w w:val="94"/>
              </w:rPr>
              <w:t>(In millions)</w:t>
            </w:r>
          </w:p>
        </w:tc>
        <w:tc>
          <w:tcPr>
            <w:tcW w:w="92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During 2013 and prior to our adoption of ASU 2014-08 as further discussed in Note 2, certain disposal transactions were considered discontinued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financial information for these discontinued operations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Three Months Ended March</w:t>
            </w:r>
          </w:p>
        </w:tc>
      </w:tr>
      <w:tr>
        <w:trPr>
          <w:trHeight w:val="192"/>
        </w:trPr>
        <w:tc>
          <w:tcPr>
            <w:tcW w:w="9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31,</w:t>
            </w:r>
          </w:p>
        </w:tc>
      </w:tr>
      <w:tr>
        <w:trPr>
          <w:trHeight w:val="196"/>
        </w:trPr>
        <w:tc>
          <w:tcPr>
            <w:tcW w:w="9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2013</w:t>
            </w:r>
          </w:p>
        </w:tc>
      </w:tr>
      <w:tr>
        <w:trPr>
          <w:trHeight w:val="196"/>
        </w:trPr>
        <w:tc>
          <w:tcPr>
            <w:tcW w:w="9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right"/>
              <w:ind w:right="461"/>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discontinued operations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1"/>
              <w:spacing w:after="0"/>
              <w:rPr>
                <w:sz w:val="20"/>
                <w:szCs w:val="20"/>
                <w:color w:val="auto"/>
              </w:rPr>
            </w:pPr>
            <w:r>
              <w:rPr>
                <w:rFonts w:ascii="Arial" w:cs="Arial" w:eastAsia="Arial" w:hAnsi="Arial"/>
                <w:sz w:val="18"/>
                <w:szCs w:val="18"/>
                <w:color w:val="auto"/>
              </w:rPr>
              <w:t>0.4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incurred</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Grants of common shares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2,989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Grants of options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r>
      <w:tr>
        <w:trPr>
          <w:trHeight w:val="237"/>
        </w:trPr>
        <w:tc>
          <w:tcPr>
            <w:tcW w:w="85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3,075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share-based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2,873</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March 31, 2014 and 2013,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no anti-dilutive stock options for the three months ended March 31, 2014 and 2013.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gridSpan w:val="4"/>
          </w:tcPr>
          <w:p>
            <w:pPr>
              <w:jc w:val="center"/>
              <w:ind w:right="79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left="72"/>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40,545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35,439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38,380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Results from discontinued operations attributable to the Trust</w:t>
            </w:r>
          </w:p>
        </w:tc>
        <w:tc>
          <w:tcPr>
            <w:tcW w:w="9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90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38,380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34,239</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66,615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64,692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66,773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64,847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38,753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34,185</w:t>
            </w:r>
          </w:p>
        </w:tc>
        <w:tc>
          <w:tcPr>
            <w:tcW w:w="0" w:type="dxa"/>
            <w:vAlign w:val="bottom"/>
          </w:tcPr>
          <w:p>
            <w:pPr>
              <w:spacing w:after="0"/>
              <w:rPr>
                <w:sz w:val="1"/>
                <w:szCs w:val="1"/>
                <w:color w:val="auto"/>
              </w:rPr>
            </w:pPr>
          </w:p>
        </w:tc>
      </w:tr>
      <w:tr>
        <w:trPr>
          <w:trHeight w:val="702"/>
        </w:trPr>
        <w:tc>
          <w:tcPr>
            <w:tcW w:w="8340" w:type="dxa"/>
            <w:vAlign w:val="bottom"/>
          </w:tcPr>
          <w:p>
            <w:pPr>
              <w:ind w:left="5620"/>
              <w:spacing w:after="0"/>
              <w:rPr>
                <w:sz w:val="20"/>
                <w:szCs w:val="20"/>
                <w:color w:val="auto"/>
              </w:rPr>
            </w:pPr>
            <w:r>
              <w:rPr>
                <w:rFonts w:ascii="Arial" w:cs="Arial" w:eastAsia="Arial" w:hAnsi="Arial"/>
                <w:sz w:val="18"/>
                <w:szCs w:val="18"/>
                <w:color w:val="auto"/>
              </w:rPr>
              <w:t>14</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2013 filed with the Securities and Exchange Commission (the “SEC”) on February 11, 2014.</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2013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and California. As of March 31, 2014, we owned or had a majority interest in community and neighborhood shopping centers and mixed-use properties which are operated as 89 predominantly retail real estate projects comprising approximately 19.8 million square feet (excludes unconsolidated joint venture properties). In total, the real estate projects were 95.6% leased and 94.7% occupied at March 31, 2014. A joint venture in which we own a 30% interest owned seven retail real estate projects totaling approximately 1.0 million square feet as of March 31, 2014. In total, the joint venture properties in which we own a 30% interest were 84.5% leased and 82.3% occupied at March 31, 2014.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Significant Property Acquisition</w:t>
      </w:r>
    </w:p>
    <w:p>
      <w:pPr>
        <w:spacing w:after="0" w:line="9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Effective January 1, 2014, we acquired a controlling interest in The Grove at Shrewsbury, a 187,000 square foot shopping center in Shrewsbury, New Jersey, and Brook 35, a 99,000 square foot shopping center in Sea Girt, New Jersey for a gross value of $161 million. Our effective economic interest approximates 84% and was funded by the assumption of our share of $68 million of mortgage debt, 632,000 operating partnership units, and $13 million of cash (which was in an escrow account at December 31, 2013). We incurred $2.0 million of acquisition costs, of which $0.9 million were incurred in 2014 and included in "general and administrative expense" for the three months ended March 31, 2014.</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entered into an agreement to acquire the interest of one of the non-controlling interest holders in The Grove at Shrewsbury in 2015. As this non-controlling interest is mandatorily redeemable it has been classified as a liability of approximately $9 million and is included in "other liabilities and deferred credits" on the March 31, 2014 consolidated balance sheet. An additional non-controlling interest holder has the right to require us to acquire its interests in The Grove at Shrewsbury and Brook 35 at the then current fair market value beginning on January 1, 2017.</w:t>
      </w:r>
    </w:p>
    <w:p>
      <w:pPr>
        <w:spacing w:after="0" w:line="3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purchase price has been preliminarily allocated to real estate assets, debt, other liabilities, and non-controlling interests.The purchase price allocation to all acquired assets, liabilities, and non-controlling interests will be finalized after our valuation studies are complete.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Significant Debt and Equity Transactions</w:t>
      </w:r>
    </w:p>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connection with the acquisition of The Grove at Shrewsbury and Brook 35 on January 1, 2014, we assumed mortgage debt secured by the individual properties with the following contractual terms: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Stated Interest Rate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Maturity Date</w:t>
            </w:r>
          </w:p>
        </w:tc>
      </w:tr>
      <w:tr>
        <w:trPr>
          <w:trHeight w:val="264"/>
        </w:trPr>
        <w:tc>
          <w:tcPr>
            <w:tcW w:w="5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Brook 35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1, 2014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The Grove at Shrewsbury (East)</w:t>
            </w:r>
          </w:p>
        </w:tc>
        <w:tc>
          <w:tcPr>
            <w:tcW w:w="2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October 1, 2017</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Grove at Shrewsbury (West)</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 2018</w:t>
            </w:r>
          </w:p>
        </w:tc>
      </w:tr>
      <w:tr>
        <w:trPr>
          <w:trHeight w:val="27"/>
        </w:trPr>
        <w:tc>
          <w:tcPr>
            <w:tcW w:w="5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February 12, 2014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March 31, 2014, we issued 455,712 common shares at a weighted average price per share of $111.35 for net cash proceeds of $50.2 million and paid $0.5 million in commissions and $0.1 million in additional offering expenses related to the sales of these common shares. As of March 31, 2014, we had the capacity to issue up to $249.3 million in common shares under our ATM equity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$71 million and $2 million, respectively, for the three months ended March 31, 2014 and $43 million and $1 million, respectively, for the three months ended March 31, 2013. We capitalized external and internal costs related to other property improvements of $6 million and less than $1 million, respectively, for the three months ended March 31, 2014 and $5 million and less than $1 million, respectively, for the three months ended March 31, 2013. We capitalized external and internal costs related to leasing activities of $2 million and $1 million, respectively, for the three months ended March 31, 2014 and $1 million and $1 million, respectively, for the the three months ended March 31, 2013. The amount of capitalized internal costs for salaries and related benefits for development and redevelopment activities, other property improvements, and leasing activities were $1 million, less than $1 million, and $1 million, respectively, for both the three months ended March 31, 2014 and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ASU 2014-08 amends the definition of a discontinued operation to include only the disposal of a component of an entity that represents a strategic shift that has or will have a major impact on an entity’s operations and financial results. The standard also requires additional disclosures about discontinued operations as well as disposal transactions that do not meet the discontinued operations criteria. The standard is applicable prospectively for all disposals initially classified as held for sale in periods after adoption. We adopted the standard effective January 1, 2014, and there was no impact to the current period financial statements. In future periods, the adoption will result in most individual property disposals not qualifying for discontinued operations presentation and thus, the results of those disposals will remain in “income from continuing operations.” Properties sold prior to January 1, 2014, are not subject to ASU 2014-08 and therefore, continue to be classified as discontinued operations using the previous definition.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While we have recently seen some tenants downsizing or filing for bankruptcy, we have generally continued to see positive signs of improvement for many of our tenants as well as increased interest from prospective tenants for our retail spaces. While there can be no assurance that these positive signs will continue, we remain cautiously optimistic regarding the improved trends we have seen over the past few years. We believe the locations of our centers and diverse tenant base partially mitigates any negative change in the economic environment; however, any significant reduction in our tenants' abilities to pay base rent, percentage rent or other charges will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adversely affect our financial condition and results of operations. We seek to maintain a mix of strong national, regional, and local retailers. At March 31, 2014, no single tenant accounted for more than 3.3% of annualized base rent.</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properties are located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2014, we expect to have redevelopment projects stabilizing with projected costs of approximately $97 million, including our most recent phase of Santana Row discussed below.</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continue our ongoing redevelopment efforts at Santana Row which currently has zoning entitlements to build an additional 348 residential units and 305,000 square feet of retail and office space. The first phase of our new 212 unit residential building was completed in first quarter 2014 with the remainder of the building expected to be completed by mid-2014. The building is expected to stabilize in 2014 and to cost approximately $75 million of which $72 million has been incurred to date.</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continue to invest in the development at Assembly Row which is a long-term development project we expect to be involved in over the coming years. The carrying value of the development portion of this project at March 31, 2014 is approximately $285 million. The project currently has zoning entitlements to build 2.3 million square feet of commercial-use buildings, 2,100 residential units, and a 200 room hotel. We have agreements with AvalonBay Communities ("AvalonBay") for a portion of the first phase of development at Assembly Row which will include 450 residential units (by AvalonBay) and approximately 326,000 square feet of retail space and 98,000 square feet of office space (both by the Trust). The Massachusetts Bay Transit Authority (MBTA) is constructing the new orange line T-Stop at the property, which is expected to open in 2014. Construction on the first phase and infrastructure is ongoing and we expect Phase I to open in 2014 and stabilize in 2015. Total expected costs for Phase I of Assembly Row range from $190 million to $200 million of which $148 million has been incurred to date. In total, including costs incurred in Q1 2014, we expect to invest between $65 million and $85 million in Assembly Row in 2014, net of expected public funding.</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In the third quarter 2012, we broke ground on the first phase of Pike &amp; Rose in Rockville, MD, a long-term multi-phased mixed-use project located on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portion of our Mid-Pike Plaza property. The property currently has zoning entitlements to build 1.7 million square feet of commercial-use buildings and 1,583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residential units. Phase I of Pike &amp; Rose involved demolition of roughly 25% of the existing gross leasable area at Mid-Pike Plaza (which was completed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second quarter 2012). The remainder of Mid-Pike Plaza is currently vacant and we expect to demolish it in 2014. Construction on the 493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residential units, 151,000 square feet of retail space and 79,000 square feet of office space in Phase I is ongoing. We expect a portion of Phase I to open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and the remainder in 2015 and expect Phase I to stabilize in 2015/2016. Total expected costs for Phase I of Pike &amp; Rose range from $245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$255 million of which $141 million has been incurred to date. Including costs incurred in Q1 2014, we expect to invest between $90 million and $120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2014 related to Phase I.</w:t>
      </w:r>
    </w:p>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Some of our acquisitions do not initially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new or assumed mortgages.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March 31, 2014, the leasable square feet in our properties was 94.7% occupied and 95.6%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first quarter 2014, we signed leases for a total of 364,000 square feet of retail space including 328,000 square feet of comparable space leases (leases for which there was a prior tenant) at an average rental increase of 18% on a cash basis and 29% on a straight-line basis. New leases for comparable spaces were signed for 177,000 square feet at an average rental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increase of 16% on a cash basis and 27% on a straight-line basis. Renewals for comparable spaces were signed for 152,000 square feet at an average rental increase of 19% on a cash basis and 31% on a straight-line basis. Tenant improvements and incentives for comparable spaces were $43.31 per square foot for new leases and $1.09 per square foot for renewals for the three months ended March 31, 2014.</w:t>
      </w:r>
    </w:p>
    <w:p>
      <w:pPr>
        <w:spacing w:after="0" w:line="12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(fit-out) of a space as it relates to a specific 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leases signed in 2014 generally become effective over the following two years though some may not become effective until 2017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Historically, we have executed comparable space leases for 1.2 to 1.5 million square feet of retail space each year. We believe our leasing volume for 2014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For the three months ended March 31, 2014, all or a portion of 78 properties were considered same-center and twelve properties were considered redevelopment or expansion. For the three months ended March 31, 2014, two properties were moved from same-center to redevelopment, one property was moved from redevelopment to same-center, and one property was removed from redevelopment as it is vacant and prepared to be demolished, when compared to the designations as of December 31, 2013.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6"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MARCH 31, 2014 AND 2013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152,616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13,577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170,828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157,149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13,679</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18,700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1,128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47,073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114,998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110,076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4,922</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38,753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34,588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4,165</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Total property revenue increased $13.7 million, or 8.7%, to $170.8 million in the three months ended March 31, 2014 compared to $157.1 million in the three months ended March 31, 2013. The percentage occupied at our shopping centers increased to 94.7% at March 31, 2014 compared to 94.5% at March 31, 2013.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$13.6 million, or 8.9%, to $166.2 million in the three months ended March 31, 2014 compared to $152.6 million in the three months ended March 31, 2013 due primarily to the following:</w:t>
      </w:r>
    </w:p>
    <w:p>
      <w:pPr>
        <w:spacing w:after="0" w:line="19" w:lineRule="exact"/>
        <w:rPr>
          <w:sz w:val="20"/>
          <w:szCs w:val="20"/>
          <w:color w:val="auto"/>
        </w:rPr>
      </w:pPr>
    </w:p>
    <w:p>
      <w:pPr>
        <w:ind w:left="1700" w:right="120" w:hanging="801"/>
        <w:spacing w:after="0" w:line="298" w:lineRule="auto"/>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increase of $7.8 million at same-center properties due primarily to a $5.1 million increase in recovery income (primarily the result of reimbursements for higher snow removal costs) and higher rental rates of approximately $2.5 million,</w:t>
      </w:r>
    </w:p>
    <w:p>
      <w:pPr>
        <w:ind w:left="1700" w:hanging="80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$4.5 million attributable to properties acquired in 2014 and 2013, and</w:t>
      </w:r>
    </w:p>
    <w:p>
      <w:pPr>
        <w:spacing w:after="0" w:line="63" w:lineRule="exact"/>
        <w:rPr>
          <w:rFonts w:ascii="Arial" w:cs="Arial" w:eastAsia="Arial" w:hAnsi="Arial"/>
          <w:sz w:val="18"/>
          <w:szCs w:val="18"/>
          <w:color w:val="auto"/>
        </w:rPr>
      </w:pPr>
    </w:p>
    <w:p>
      <w:pPr>
        <w:ind w:left="1700" w:right="180" w:hanging="801"/>
        <w:spacing w:after="0" w:line="277"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$1.9 million at redevelopment properties due primarily to the lease-up and stabilization of some of our redevelopment properties,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340" w:hanging="801"/>
        <w:spacing w:after="0" w:line="277" w:lineRule="auto"/>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$0.6 million from Mid-Pike Plaza as the property is prepared to be demolished for the future development of Pike &amp; Rose.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property expenses increased $8.8 million, or 18.6%, to $55.8 million in the three months ended March 31, 2014 compared to $47.1 million in the three months ended March 31, 2013. Changes in the components of property expenses are discussed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Rental expenses increased $7.6 million, or 25.9%, to $37.1 million in the three months ended March 31, 2014 compared to $29.5 million in the three months ended March 31, 2013. This increase is primarily due to the following:</w:t>
      </w:r>
    </w:p>
    <w:p>
      <w:pPr>
        <w:spacing w:after="0" w:line="8" w:lineRule="exact"/>
        <w:rPr>
          <w:sz w:val="20"/>
          <w:szCs w:val="20"/>
          <w:color w:val="auto"/>
        </w:rPr>
      </w:pPr>
    </w:p>
    <w:p>
      <w:pPr>
        <w:ind w:left="1700" w:right="340" w:hanging="801"/>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$5.1 million in repairs and maintenance at same-center and redevelopment properties due primarily to higher snow removal costs,</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$0.8 million related to properties acquired in 2014 and 2013,</w:t>
      </w:r>
    </w:p>
    <w:p>
      <w:pPr>
        <w:spacing w:after="0" w:line="63" w:lineRule="exact"/>
        <w:rPr>
          <w:rFonts w:ascii="Arial" w:cs="Arial" w:eastAsia="Arial" w:hAnsi="Arial"/>
          <w:sz w:val="18"/>
          <w:szCs w:val="18"/>
          <w:color w:val="auto"/>
        </w:rPr>
      </w:pPr>
    </w:p>
    <w:p>
      <w:pPr>
        <w:ind w:left="1700" w:right="320" w:hanging="801"/>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 increase of $0.6 million in utilities at our same-center and redevelopment properties primarily due to higher electric costs and usage as a result of the harsh winter,</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$0.5 million in payroll expense,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$0.3 million in bad debt expense at same-center properties.</w:t>
      </w:r>
    </w:p>
    <w:p>
      <w:pPr>
        <w:spacing w:after="0" w:line="17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increased to 21.9% in the three months ended March 31, 2014 from 18.9% in the three months ended March 31,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Real estate tax expense increased $1.1 million, or 6.4%, to $18.7 million in the three months ended March 31, 2014 compared to $17.6 million in the three months ended March 31, 2013 due primarily to higher assessments at our same-center and redevelopment properties and due to real estate taxes on properties acquired in 2014 and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Property operating income increased $4.9 million, or 4.5%, to $115.0 million in the three months ended March 31, 2014 compared to $110.1 million in the three months ended March 31, 2013. This increase is primarily due to properties acquired in 2014 and 2013 and growth in earnings at same-center properties and redevelopment properties, partially offset by a decline in earnings at Mid-Pike Plaza.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expense decreased $4.3 million, or 15.6%, to $23.1 million in the three months ended March 31, 2014 compared to $27.4 million in the three months ended March 31, 2013. This decrease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$4.0 million due to a lower overall weighted average borrowing rate,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$2.7 million in capitalized interest,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$2.4 million due to higher borrowings.</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Gross interest costs were $28.7 million and $30.2 million in the three months ended March 31, 2014 and 2013, respectively. Capitalized interest was $5.6 million and $2.8 million in the three months ended March 31, 2014 and 2013,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General and administrative expense increased $0.6 million, or 9.2%, to $7.7 million in the three months ended March 31, 2014 from $7.1 million in the three months ended March 31, 2013. This increase is due primarily to higher acquisition costs from the 2014 acquisitions of The Grove at Shrewsbury and Brook 35.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Depreciation and amortization expense increased $3.3 million, or 8.2%, to $43.9 million in the three months ended March 31, 2014 from $40.5 million in the three months ended March 31, 2013. This increase is due primarily to 2014 and 2013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 Income</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Income from discontinued operations represents the operating income of properties that were disposed prior to January 1, 2014, which were required to be reported separately from results of ongoing operations. The reported operating income of $0.4 million for the three months ended March 31, 2013 primarily represents the operating income for the period during which we owned properties sold in 2013.</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6" w:right="29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Cash and cash equivalents were $75.7 million at March 31, 2014. Additionally, we have a $600.0 million unsecured revolving credit facility which matures on April 21, 2017, subject to a one-year extension at our option, and had no borrowings outstanding at March 31, 2014. In addition, we have an option (subject to bank approval) to increase the credit facility through an accordion feature to $1.0 billion. Our $275.0 million unsecured term loan, which matures on November 21, 2018, also has an option (subject to bank approval) to increase the term loan through an accordion feature to $350.0 million. As of March 31, 2014, we had the capacity to issue up to $249.3 million in common shares under our ATM equity program.</w:t>
      </w:r>
    </w:p>
    <w:p>
      <w:pPr>
        <w:spacing w:after="0" w:line="3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 the three months ended March 31, 2014, the maximum amount of borrowings outstanding under our revolving credit facility was $4.0 million, the weighted average amount of borrowings outstanding was $0.3 million and the weighted average interest rate, before amortization of debt fees, was 1.07%. For the remainder of 2014, we have only $41 million of debt maturing. We currently believe that cash flows from operations, cash on hand, our ATM equity program, our revolving credit facility and our general ability to access the capital markets will be sufficient to finance our operations and fund our debt service requirements (including maturities) and capital expenditures.</w:t>
      </w:r>
    </w:p>
    <w:p>
      <w:pPr>
        <w:spacing w:after="0" w:line="13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overall capital requirements for the remainder of 2014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in 2014 which is the result of the continued construction of Phase 1 at both Assembly Row and Pike &amp; Rose with expected openings of portions of both projects in 2014. Over the next eighteen months, we expect to invest approximately $170 million related to the current phases of these two projects.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79,162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(88,040)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(45,675)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88,927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36,988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75,699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31,274</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Net cash provided by operating activities increased $11.5 million to $79.2 million during the three months ended March 31, 2014 from $67.7 million during the three months ended March 31, 2013. The increase was primarily attributable to higher net income before certain non-cash items.</w:t>
      </w:r>
    </w:p>
    <w:p>
      <w:pPr>
        <w:spacing w:after="0" w:line="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used in investing activities increased $42.4 million to $88.0 million during the three months ended March 31, 2014 from $45.7 million during the three months ended March 31, 2013. The increase was primarily attributable to a $41.1 million increase in capital investments in 2014 primarily related to our development projects at Assembly Row and Pike &amp; Rose.</w:t>
      </w:r>
    </w:p>
    <w:p>
      <w:pPr>
        <w:spacing w:after="0" w:line="1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used in financing activities decreased $23.4 million to $4.4 million during the three months ended March 31, 2014 from $27.7 million during the three months ended March 31, 2013. The decrease was primarily attributable to:</w:t>
      </w:r>
    </w:p>
    <w:p>
      <w:pPr>
        <w:spacing w:after="0" w:line="8" w:lineRule="exact"/>
        <w:rPr>
          <w:sz w:val="20"/>
          <w:szCs w:val="20"/>
          <w:color w:val="auto"/>
        </w:rPr>
      </w:pPr>
    </w:p>
    <w:p>
      <w:pPr>
        <w:ind w:left="1700" w:right="240" w:hanging="801"/>
        <w:spacing w:after="0" w:line="286" w:lineRule="auto"/>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$19.1 million increase in net proceeds from the issuance of common shares due primarily to the sale of 0.5 million shares under our ATM equity program at a weighted average price of $111.35 in the three months ended March 31, 2014 compared to 0.3 million shares at a weighted average price of $108.11 in the three months ended March 31, 2013, and</w:t>
      </w:r>
    </w:p>
    <w:p>
      <w:pPr>
        <w:spacing w:after="0" w:line="3" w:lineRule="exact"/>
        <w:rPr>
          <w:rFonts w:ascii="Arial" w:cs="Arial" w:eastAsia="Arial" w:hAnsi="Arial"/>
          <w:sz w:val="17"/>
          <w:szCs w:val="17"/>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$9.0 million repayment of the mortgage on White Marsh Plaza in 2013,</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680" w:hanging="80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$4.8 million increase in dividends paid to shareholders due to an increase in the dividend rate and increased number of shares outstanding.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March 31, 2014,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March 31, 2014, our investment in the Partnership was $32.1 million and the Partnership had approximately $56.9 million of mortgages payable outstanding.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March 31, 2014: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8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1"/>
              </w:rPr>
              <w:t>Principal Balance as of</w:t>
            </w: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60" w:type="dxa"/>
            <w:vAlign w:val="bottom"/>
          </w:tcPr>
          <w:p>
            <w:pPr>
              <w:jc w:val="right"/>
              <w:ind w:right="279"/>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March 31, 2014</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60" w:type="dxa"/>
            <w:vAlign w:val="bottom"/>
            <w:tcBorders>
              <w:top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11,419</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Melville Mall (2)</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20,491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September 1,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53,767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Barracks Road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44,300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36,806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Hauppauge</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16,700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13,875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Lawrence Park</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31,400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26,089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Wildwood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27,600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22,931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Wynnewood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32,000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26,587</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Brick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33,000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27,050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East Bay Bridge</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61,720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March 1, 2016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45,205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1,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(West)</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11,397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Rollingwood Apartments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22,421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29th Place</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76,978</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644,031</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14,233</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Total mortgages payable</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658,264</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Term loan (3)</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+ 1.30%</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Various (4)</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17,239</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16,510</w:t>
            </w:r>
          </w:p>
        </w:tc>
        <w:tc>
          <w:tcPr>
            <w:tcW w:w="1880" w:type="dxa"/>
            <w:vAlign w:val="bottom"/>
            <w:gridSpan w:val="2"/>
          </w:tcPr>
          <w:p>
            <w:pPr>
              <w:jc w:val="right"/>
              <w:ind w:right="103"/>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Escondido (municipal bonds) (5)</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9,400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1880" w:type="dxa"/>
            <w:vAlign w:val="bottom"/>
            <w:gridSpan w:val="2"/>
          </w:tcPr>
          <w:p>
            <w:pPr>
              <w:jc w:val="right"/>
              <w:ind w:right="103"/>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Revolving credit facility (6)</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+ 0.90%</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21, 2017</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Total notes payable</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300,910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5.65%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6.20%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5.90%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3.00%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3.95%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6.82% medium term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1,369,200</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Arial" w:cs="Arial" w:eastAsia="Arial" w:hAnsi="Arial"/>
                <w:sz w:val="16"/>
                <w:szCs w:val="16"/>
                <w:color w:val="auto"/>
              </w:rPr>
              <w:t>Net unamortized discount</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(8,102)</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senior notes and debentures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1,361,098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Various</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71,665</w:t>
            </w:r>
          </w:p>
        </w:tc>
        <w:tc>
          <w:tcPr>
            <w:tcW w:w="1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Various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4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2,391,937</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4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payable do not include our 30% share ($17.1 million) of the $56.9 million debt of the partnership with a discretionary fund created and advised by ING Clarion Partners.</w:t>
      </w:r>
    </w:p>
    <w:p>
      <w:pPr>
        <w:spacing w:after="0" w:line="8" w:lineRule="exact"/>
        <w:rPr>
          <w:rFonts w:ascii="Arial" w:cs="Arial" w:eastAsia="Arial" w:hAnsi="Arial"/>
          <w:sz w:val="18"/>
          <w:szCs w:val="18"/>
          <w:color w:val="auto"/>
        </w:rPr>
      </w:pPr>
    </w:p>
    <w:p>
      <w:pPr>
        <w:ind w:left="660" w:right="8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ectPr>
          <w:pgSz w:w="11900" w:h="16838" w:orient="portrait"/>
          <w:cols w:equalWidth="0" w:num="1">
            <w:col w:w="11420"/>
          </w:cols>
          <w:pgMar w:left="240" w:top="126" w:right="239" w:bottom="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019"/>
          </w:cols>
          <w:pgMar w:left="1440" w:top="125" w:right="1440"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660" w:right="1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130 basis points resulting in a fixed rate of 3.02%.</w:t>
      </w:r>
    </w:p>
    <w:p>
      <w:pPr>
        <w:spacing w:after="0" w:line="8" w:lineRule="exact"/>
        <w:rPr>
          <w:rFonts w:ascii="Arial" w:cs="Arial" w:eastAsia="Arial" w:hAnsi="Arial"/>
          <w:sz w:val="18"/>
          <w:szCs w:val="18"/>
          <w:color w:val="auto"/>
        </w:rPr>
      </w:pPr>
    </w:p>
    <w:p>
      <w:pPr>
        <w:ind w:left="660" w:right="4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rate of 5.76% represents the weighted average interest rate for twelve unsecured fixed rate notes payable. These notes mature from November 15, 2014 to October 31, 2028.</w:t>
      </w:r>
    </w:p>
    <w:p>
      <w:pPr>
        <w:spacing w:after="0" w:line="8" w:lineRule="exact"/>
        <w:rPr>
          <w:rFonts w:ascii="Arial" w:cs="Arial" w:eastAsia="Arial" w:hAnsi="Arial"/>
          <w:sz w:val="18"/>
          <w:szCs w:val="18"/>
          <w:color w:val="auto"/>
        </w:rPr>
      </w:pPr>
    </w:p>
    <w:p>
      <w:pPr>
        <w:ind w:left="660" w:right="400" w:hanging="652"/>
        <w:spacing w:after="0" w:line="31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ind w:left="660" w:right="1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three months ended March 31, 2014 was $4.0 million, and the weighted average interest rate on borrowings under our revolving credit facility, before amortization of debt fees, was 1.07%.</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March 31, 2014,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March 31, 2014: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10,427</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39,687</w:t>
            </w: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50,136</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373</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207,188</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207,588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134,811</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63,665</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198,506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200,456</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(1)</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220,438</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420,928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275,505</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13,326</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288,868</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1,048,538</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99,727</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71,515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1,219,780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1,670,110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644,031</w:t>
            </w: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71,665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2,385,806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4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$600.0 million revolving credit facility matures on April 21, 2017, subject to a one-year extension at our option. As of March 31, 2014, there was no balance outstanding under this credit facility.</w:t>
      </w:r>
    </w:p>
    <w:p>
      <w:pPr>
        <w:spacing w:after="0" w:line="8"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March 31,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6" w:right="27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March 31, 2014, we are party to two interest rate swap agreements that effectively fixed the rate on the term loan at 3.02%. Both swaps were designated and qualified as cash flow hedges and were recorded at fair value. Hedge ineffectiveness has not impacted earnings as of March 31, 2014, and we do not anticipate it will have a significant effect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080" w:type="dxa"/>
            <w:vAlign w:val="bottom"/>
            <w:gridSpan w:val="5"/>
          </w:tcPr>
          <w:p>
            <w:pPr>
              <w:jc w:val="right"/>
              <w:ind w:right="291"/>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40,545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35,842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39,549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36,562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81,542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74,294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81,754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74,050</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(1)</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67,691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65,158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right="6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March 31, 2014, we were party to two interest rate swap agreements that effectively fixed the rate on the term loan at 3.02%.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majority of our outstanding debt obligations (maturing at various times through 2031 or, with respect to capital lease obligations, through 2106) have fixed interest rates which limit the risk of fluctuating interest rates. However, interest rate fluctuations may affect the fair value of our fixed rate debt instruments. At March 31, 2014, we had $2.3 billion of fixed-rate debt outstanding, including our $275.0 million term loan as the rate is effectively fixed by two interest rate swap agreements;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had $71.7 million of capital lease obligations. If market interest rates used to calculate the fair value on our fixed-rate debt instruments at March 31, 2014 had been 1.0% higher, the fair value of those debt instruments on that date would have decreased by approximately $102.1 million. If market interest rates used to calculate the fair value on our fixed-rate debt instruments at March 31, 2014 had been 1.0% lower, the fair value of those debt instruments on that date would have increased by approximately $109.4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March 31, 2014, we had $9.4 million of variable rate debt outstanding which consisted of municipal bonds. Our revolving credit facility had no outstanding balance as of March 31, 2014.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200" w:lineRule="exact"/>
        <w:rPr>
          <w:sz w:val="20"/>
          <w:szCs w:val="20"/>
          <w:color w:val="auto"/>
        </w:rPr>
      </w:pP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2014. Based on this evaluation, our management, including our Chief Executive Officer and Chief Financial Officer, concluded that our disclosure controls and procedures were effective as of March 31, 2014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quarterly period covered by this report that materially affected, or is reasonably likely to materially affect, our internal control over financial reporting.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2013 filed with the SEC on February 11, 2014. These factors include, but are not limited to, the following:</w:t>
      </w:r>
    </w:p>
    <w:p>
      <w:pPr>
        <w:spacing w:after="0" w:line="8" w:lineRule="exact"/>
        <w:rPr>
          <w:sz w:val="20"/>
          <w:szCs w:val="20"/>
          <w:color w:val="auto"/>
        </w:rPr>
      </w:pPr>
    </w:p>
    <w:p>
      <w:pPr>
        <w:ind w:left="1700" w:right="40" w:hanging="801"/>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hanging="801"/>
        <w:spacing w:after="0" w:line="264"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20" w:hanging="801"/>
        <w:spacing w:after="0" w:line="264"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00" w:hanging="807"/>
        <w:spacing w:after="0" w:line="277" w:lineRule="auto"/>
        <w:tabs>
          <w:tab w:leader="none" w:pos="2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26" w:right="29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2760" w:hanging="807"/>
        <w:spacing w:after="0"/>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180" w:hanging="801"/>
        <w:spacing w:after="0" w:line="286" w:lineRule="auto"/>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hanging="801"/>
        <w:spacing w:after="0" w:line="264"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126"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May 8, 2014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189" w:lineRule="exact"/>
        <w:rPr>
          <w:sz w:val="20"/>
          <w:szCs w:val="20"/>
          <w:color w:val="auto"/>
        </w:rPr>
      </w:pPr>
    </w:p>
    <w:p>
      <w:pPr>
        <w:ind w:left="40"/>
        <w:spacing w:after="0"/>
        <w:tabs>
          <w:tab w:leader="none" w:pos="7640" w:val="left"/>
          <w:tab w:leader="none" w:pos="7980" w:val="left"/>
        </w:tabs>
        <w:rPr>
          <w:sz w:val="20"/>
          <w:szCs w:val="20"/>
          <w:color w:val="auto"/>
        </w:rPr>
      </w:pPr>
      <w:r>
        <w:rPr>
          <w:rFonts w:ascii="Arial" w:cs="Arial" w:eastAsia="Arial" w:hAnsi="Arial"/>
          <w:sz w:val="18"/>
          <w:szCs w:val="18"/>
          <w:color w:val="auto"/>
        </w:rPr>
        <w:t>May 8, 2014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Executive Vice President -</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240" w:top="126" w:right="37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Indenture dated September 1, 1998 related to the Trust’s 5.65% Notes due 2016; 6.00% Notes due 2012; 6.20% Notes due 2017; 5.40% Notes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due 2013; 5.95% Notes due 2014 and the 5.90% Notes due 2020; 3.00% Notes due 2022; 2.75% Notes due 2023; 3.95% Notes due 2024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(previously filed as Exhibit 4(a) to the Trust’s Registration Statement on Form S-3 (File No. 333-63619) filed on September 17, 1998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Annual Incentive Bonus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files as Exhibit 10.29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6"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w w:val="93"/>
              </w:rPr>
              <w:t>10.11</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June 30, 2008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2010 (File No. 1-07533) (the “2010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bl>
    <w:p>
      <w:pPr>
        <w:ind w:left="1080" w:right="400"/>
        <w:spacing w:after="0" w:line="261" w:lineRule="auto"/>
        <w:rPr>
          <w:sz w:val="20"/>
          <w:szCs w:val="20"/>
          <w:color w:val="auto"/>
        </w:rPr>
      </w:pPr>
      <w:r>
        <w:rPr>
          <w:rFonts w:ascii="Arial" w:cs="Arial" w:eastAsia="Arial" w:hAnsi="Arial"/>
          <w:sz w:val="18"/>
          <w:szCs w:val="18"/>
          <w:color w:val="auto"/>
        </w:rPr>
        <w:t>Manager (previously filed as Exhibit 10.1 to the Trust’s Current Report on Form 8-K (File No. 1-07533), filed on November 28, 2011 and incorporated herein by reference)</w:t>
      </w:r>
    </w:p>
    <w:p>
      <w:pPr>
        <w:sectPr>
          <w:pgSz w:w="11900" w:h="16838" w:orient="portrait"/>
          <w:cols w:equalWidth="0" w:num="1">
            <w:col w:w="11420"/>
          </w:cols>
          <w:pgMar w:left="240" w:top="126"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6"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Form of Restricted Share Award Agreement for front loaded awards made under the Trust’s Long-Term Incentive Award Program for shares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issued out of the 2010 Plan (previously filed as Exhibit 10.35 to the Trust's Annual Report on Form 10-K for the year ended December 31,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Restricted Share Award Agreement for long-term vesting and retention awards made under the Trust’s Long-Term Incentive Award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Performance Share Award Agreement for shares awarded out of the 2010 Plan (previously filed as Exhibit 10.37 to the Trust's 2012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thereto, and Wells Fargo Bank, National Association, as Administrative Agent (previously filed as Exhibit 10.1 to the Trust's Current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8-K (File No. 1-07533), filed on April 26, 2013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Term Loan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10.40 to the Trust's Quarterly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460" w:hanging="1045"/>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March 31, 2014,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May 8, 2014</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James M. Taylor, Jr.</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May 8, 2014</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2014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May 8, 2014</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2014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May 8, 2014</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3"/>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lvl w:ilvl="1">
      <w:lvlJc w:val="left"/>
      <w:lvlText w:val="•"/>
      <w:numFmt w:val="bullet"/>
      <w:start w:val="1"/>
    </w:lvl>
  </w:abstractNum>
  <w:abstractNum w:abstractNumId="18">
    <w:nsid w:val="333AB105"/>
    <w:multiLevelType w:val="hybridMultilevel"/>
    <w:lvl w:ilvl="0">
      <w:lvlJc w:val="left"/>
      <w:lvlText w:val="•"/>
      <w:numFmt w:val="bullet"/>
      <w:start w:val="1"/>
    </w:lvl>
    <w:lvl w:ilvl="1">
      <w:lvlJc w:val="left"/>
      <w:lvlText w:val="•"/>
      <w:numFmt w:val="bullet"/>
      <w:start w:val="1"/>
    </w:lvl>
  </w:abstractNum>
  <w:abstractNum w:abstractNumId="19">
    <w:nsid w:val="721DA317"/>
    <w:multiLevelType w:val="hybridMultilevel"/>
    <w:lvl w:ilvl="0">
      <w:lvlJc w:val="left"/>
      <w:lvlText w:val="%1"/>
      <w:numFmt w:val="decimal"/>
      <w:start w:val="10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2019-12-05T09:23:03Z</dcterms:created>
  <dcterms:modified xsi:type="dcterms:W3CDTF">2019-12-05T09:23:03Z</dcterms:modified>
</cp:coreProperties>
</file>