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jc w:val="center"/>
        <w:ind w:right="-39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186"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Date of Report (Date of earliest event reported) February 16,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99"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52-0782497</w:t>
      </w:r>
    </w:p>
    <w:p>
      <w:pPr>
        <w:spacing w:after="0" w:line="46" w:lineRule="exact"/>
        <w:rPr>
          <w:sz w:val="24"/>
          <w:szCs w:val="24"/>
          <w:color w:val="auto"/>
        </w:rPr>
      </w:pPr>
    </w:p>
    <w:p>
      <w:pPr>
        <w:sectPr>
          <w:pgSz w:w="11900" w:h="16838" w:orient="portrait"/>
          <w:cols w:equalWidth="0" w:num="3">
            <w:col w:w="4820" w:space="720"/>
            <w:col w:w="2920" w:space="720"/>
            <w:col w:w="1840"/>
          </w:cols>
          <w:pgMar w:left="240" w:top="355"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57" w:lineRule="exact"/>
        <w:rPr>
          <w:sz w:val="24"/>
          <w:szCs w:val="24"/>
          <w:color w:val="auto"/>
        </w:rPr>
      </w:pPr>
    </w:p>
    <w:p>
      <w:pPr>
        <w:sectPr>
          <w:pgSz w:w="11900" w:h="16838" w:orient="portrait"/>
          <w:cols w:equalWidth="0" w:num="3">
            <w:col w:w="4340" w:space="720"/>
            <w:col w:w="3280" w:space="720"/>
            <w:col w:w="1960"/>
          </w:cols>
          <w:pgMar w:left="240" w:top="355" w:right="639" w:bottom="1440" w:gutter="0" w:footer="0" w:header="0"/>
          <w:type w:val="continuous"/>
        </w:sectPr>
      </w:pPr>
    </w:p>
    <w:p>
      <w:pPr>
        <w:ind w:left="1080"/>
        <w:spacing w:after="0"/>
        <w:rPr>
          <w:sz w:val="20"/>
          <w:szCs w:val="20"/>
          <w:color w:val="auto"/>
        </w:rPr>
      </w:pPr>
      <w:r>
        <w:rPr>
          <w:rFonts w:ascii="Arial" w:cs="Arial" w:eastAsia="Arial" w:hAnsi="Arial"/>
          <w:sz w:val="15"/>
          <w:szCs w:val="15"/>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20852-4041</w:t>
      </w:r>
    </w:p>
    <w:p>
      <w:pPr>
        <w:spacing w:after="0" w:line="56" w:lineRule="exact"/>
        <w:rPr>
          <w:sz w:val="24"/>
          <w:szCs w:val="24"/>
          <w:color w:val="auto"/>
        </w:rPr>
      </w:pPr>
    </w:p>
    <w:p>
      <w:pPr>
        <w:sectPr>
          <w:pgSz w:w="11900" w:h="16838" w:orient="portrait"/>
          <w:cols w:equalWidth="0" w:num="2">
            <w:col w:w="7540" w:space="720"/>
            <w:col w:w="2760"/>
          </w:cols>
          <w:pgMar w:left="240" w:top="355" w:right="63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47" w:lineRule="exact"/>
        <w:rPr>
          <w:sz w:val="24"/>
          <w:szCs w:val="24"/>
          <w:color w:val="auto"/>
        </w:rPr>
      </w:pPr>
    </w:p>
    <w:p>
      <w:pPr>
        <w:sectPr>
          <w:pgSz w:w="11900" w:h="16838" w:orient="portrait"/>
          <w:cols w:equalWidth="0" w:num="2">
            <w:col w:w="7660" w:space="720"/>
            <w:col w:w="2640"/>
          </w:cols>
          <w:pgMar w:left="240" w:top="355" w:right="639" w:bottom="1440" w:gutter="0" w:footer="0" w:header="0"/>
          <w:type w:val="continuous"/>
        </w:sectPr>
      </w:pPr>
    </w:p>
    <w:p>
      <w:pPr>
        <w:ind w:left="326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Operations and Financial Condition.</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information is being furnished under Item 12-Results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29"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On February 16, 2005, Federal Realty Investment Trust issued supplemental data pertaining to its operations, as well as a press release, to report its financial results for the quarter and year ended December 31, 2004. The supplemental data and press release are furnished as Exhibit 99.1 hereto.</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Exhibits</w:t>
      </w:r>
    </w:p>
    <w:p>
      <w:pPr>
        <w:spacing w:after="0" w:line="77" w:lineRule="exact"/>
        <w:rPr>
          <w:sz w:val="20"/>
          <w:szCs w:val="20"/>
          <w:color w:val="auto"/>
        </w:rPr>
      </w:pPr>
    </w:p>
    <w:p>
      <w:pPr>
        <w:ind w:left="460"/>
        <w:spacing w:after="0"/>
        <w:tabs>
          <w:tab w:leader="none" w:pos="9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Supplemental portfolio information at December 31, 2004 (including press release dated February 16, 2005)</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80"/>
          </w:cols>
          <w:pgMar w:left="240" w:top="274" w:right="3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2"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February 16, 2005</w:t>
      </w:r>
      <w:r>
        <w:rPr>
          <w:sz w:val="20"/>
          <w:szCs w:val="20"/>
          <w:color w:val="auto"/>
        </w:rPr>
        <w:tab/>
      </w:r>
      <w:r>
        <w:rPr>
          <w:rFonts w:ascii="Arial" w:cs="Arial" w:eastAsia="Arial" w:hAnsi="Arial"/>
          <w:sz w:val="16"/>
          <w:szCs w:val="16"/>
          <w:color w:val="auto"/>
        </w:rPr>
        <w:t>/s/ Larry E. Finger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35502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Larry E. Finger</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 and Treasurer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 w:name="page4"/>
    <w:bookmarkEnd w:id="3"/>
    <w:p>
      <w:pPr>
        <w:jc w:val="right"/>
        <w:ind w:right="38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153"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b w:val="1"/>
          <w:bCs w:val="1"/>
          <w:color w:val="auto"/>
        </w:rPr>
        <w:t>Exh No.</w:t>
      </w:r>
      <w:r>
        <w:rPr>
          <w:sz w:val="20"/>
          <w:szCs w:val="20"/>
          <w:color w:val="auto"/>
        </w:rPr>
        <w:tab/>
      </w:r>
      <w:r>
        <w:rPr>
          <w:rFonts w:ascii="Arial" w:cs="Arial" w:eastAsia="Arial" w:hAnsi="Arial"/>
          <w:sz w:val="12"/>
          <w:szCs w:val="12"/>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690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02" w:lineRule="exact"/>
        <w:rPr>
          <w:sz w:val="20"/>
          <w:szCs w:val="20"/>
          <w:color w:val="auto"/>
        </w:rPr>
      </w:pPr>
    </w:p>
    <w:p>
      <w:pPr>
        <w:ind w:left="180"/>
        <w:spacing w:after="0"/>
        <w:tabs>
          <w:tab w:leader="none" w:pos="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Supplemental Information at December 31, 2004</w:t>
      </w:r>
    </w:p>
    <w:p>
      <w:pPr>
        <w:spacing w:after="0" w:line="30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80"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8"/>
        </w:trPr>
        <w:tc>
          <w:tcPr>
            <w:tcW w:w="8980" w:type="dxa"/>
            <w:vAlign w:val="bottom"/>
          </w:tcPr>
          <w:p>
            <w:pPr>
              <w:spacing w:after="0"/>
              <w:rPr>
                <w:sz w:val="19"/>
                <w:szCs w:val="19"/>
                <w:color w:val="auto"/>
              </w:rPr>
            </w:pPr>
          </w:p>
        </w:tc>
        <w:tc>
          <w:tcPr>
            <w:tcW w:w="2440" w:type="dxa"/>
            <w:vAlign w:val="bottom"/>
          </w:tcPr>
          <w:p>
            <w:pPr>
              <w:jc w:val="right"/>
              <w:spacing w:after="0"/>
              <w:rPr>
                <w:sz w:val="20"/>
                <w:szCs w:val="20"/>
                <w:color w:val="auto"/>
              </w:rPr>
            </w:pPr>
            <w:r>
              <w:rPr>
                <w:rFonts w:ascii="Arial" w:cs="Arial" w:eastAsia="Arial" w:hAnsi="Arial"/>
                <w:sz w:val="18"/>
                <w:szCs w:val="18"/>
                <w:b w:val="1"/>
                <w:bCs w:val="1"/>
                <w:color w:val="auto"/>
              </w:rPr>
              <w:t>Exhibit 99.1</w:t>
            </w:r>
          </w:p>
        </w:tc>
      </w:tr>
      <w:tr>
        <w:trPr>
          <w:trHeight w:val="284"/>
        </w:trPr>
        <w:tc>
          <w:tcPr>
            <w:tcW w:w="8980" w:type="dxa"/>
            <w:vAlign w:val="bottom"/>
          </w:tcPr>
          <w:p>
            <w:pPr>
              <w:jc w:val="center"/>
              <w:ind w:left="2352"/>
              <w:spacing w:after="0"/>
              <w:rPr>
                <w:sz w:val="20"/>
                <w:szCs w:val="20"/>
                <w:color w:val="auto"/>
              </w:rPr>
            </w:pPr>
            <w:r>
              <w:rPr>
                <w:rFonts w:ascii="Arial" w:cs="Arial" w:eastAsia="Arial" w:hAnsi="Arial"/>
                <w:sz w:val="18"/>
                <w:szCs w:val="18"/>
                <w:b w:val="1"/>
                <w:bCs w:val="1"/>
                <w:color w:val="auto"/>
                <w:w w:val="99"/>
              </w:rPr>
              <w:t>FEDERAL REALTY INVESTMENT TRUST</w:t>
            </w:r>
          </w:p>
        </w:tc>
        <w:tc>
          <w:tcPr>
            <w:tcW w:w="2440" w:type="dxa"/>
            <w:vAlign w:val="bottom"/>
          </w:tcPr>
          <w:p>
            <w:pPr>
              <w:spacing w:after="0"/>
              <w:rPr>
                <w:sz w:val="24"/>
                <w:szCs w:val="24"/>
                <w:color w:val="auto"/>
              </w:rPr>
            </w:pPr>
          </w:p>
        </w:tc>
      </w:tr>
      <w:tr>
        <w:trPr>
          <w:trHeight w:val="358"/>
        </w:trPr>
        <w:tc>
          <w:tcPr>
            <w:tcW w:w="8980" w:type="dxa"/>
            <w:vAlign w:val="bottom"/>
          </w:tcPr>
          <w:p>
            <w:pPr>
              <w:jc w:val="center"/>
              <w:ind w:left="2372"/>
              <w:spacing w:after="0"/>
              <w:rPr>
                <w:sz w:val="20"/>
                <w:szCs w:val="20"/>
                <w:color w:val="auto"/>
              </w:rPr>
            </w:pPr>
            <w:r>
              <w:rPr>
                <w:rFonts w:ascii="Arial" w:cs="Arial" w:eastAsia="Arial" w:hAnsi="Arial"/>
                <w:sz w:val="18"/>
                <w:szCs w:val="18"/>
                <w:color w:val="auto"/>
                <w:w w:val="89"/>
              </w:rPr>
              <w:t>Supplemental Information</w:t>
            </w:r>
          </w:p>
        </w:tc>
        <w:tc>
          <w:tcPr>
            <w:tcW w:w="2440" w:type="dxa"/>
            <w:vAlign w:val="bottom"/>
          </w:tcPr>
          <w:p>
            <w:pPr>
              <w:spacing w:after="0"/>
              <w:rPr>
                <w:sz w:val="24"/>
                <w:szCs w:val="24"/>
                <w:color w:val="auto"/>
              </w:rPr>
            </w:pPr>
          </w:p>
        </w:tc>
      </w:tr>
      <w:tr>
        <w:trPr>
          <w:trHeight w:val="222"/>
        </w:trPr>
        <w:tc>
          <w:tcPr>
            <w:tcW w:w="8980" w:type="dxa"/>
            <w:vAlign w:val="bottom"/>
          </w:tcPr>
          <w:p>
            <w:pPr>
              <w:jc w:val="center"/>
              <w:ind w:left="2352"/>
              <w:spacing w:after="0"/>
              <w:rPr>
                <w:sz w:val="20"/>
                <w:szCs w:val="20"/>
                <w:color w:val="auto"/>
              </w:rPr>
            </w:pPr>
            <w:r>
              <w:rPr>
                <w:rFonts w:ascii="Arial" w:cs="Arial" w:eastAsia="Arial" w:hAnsi="Arial"/>
                <w:sz w:val="18"/>
                <w:szCs w:val="18"/>
                <w:color w:val="auto"/>
                <w:w w:val="87"/>
              </w:rPr>
              <w:t>December 31, 2004</w:t>
            </w:r>
          </w:p>
        </w:tc>
        <w:tc>
          <w:tcPr>
            <w:tcW w:w="2440" w:type="dxa"/>
            <w:vAlign w:val="bottom"/>
          </w:tcPr>
          <w:p>
            <w:pPr>
              <w:spacing w:after="0"/>
              <w:rPr>
                <w:sz w:val="19"/>
                <w:szCs w:val="19"/>
                <w:color w:val="auto"/>
              </w:rPr>
            </w:pPr>
          </w:p>
        </w:tc>
      </w:tr>
      <w:tr>
        <w:trPr>
          <w:trHeight w:val="365"/>
        </w:trPr>
        <w:tc>
          <w:tcPr>
            <w:tcW w:w="8980" w:type="dxa"/>
            <w:vAlign w:val="bottom"/>
          </w:tcPr>
          <w:p>
            <w:pPr>
              <w:jc w:val="center"/>
              <w:ind w:left="2372"/>
              <w:spacing w:after="0"/>
              <w:rPr>
                <w:sz w:val="20"/>
                <w:szCs w:val="20"/>
                <w:color w:val="auto"/>
              </w:rPr>
            </w:pPr>
            <w:r>
              <w:rPr>
                <w:rFonts w:ascii="Arial" w:cs="Arial" w:eastAsia="Arial" w:hAnsi="Arial"/>
                <w:sz w:val="18"/>
                <w:szCs w:val="18"/>
                <w:b w:val="1"/>
                <w:bCs w:val="1"/>
                <w:color w:val="auto"/>
                <w:w w:val="96"/>
              </w:rPr>
              <w:t>TABLE OF CONTENTS</w:t>
            </w:r>
          </w:p>
        </w:tc>
        <w:tc>
          <w:tcPr>
            <w:tcW w:w="2440" w:type="dxa"/>
            <w:vAlign w:val="bottom"/>
          </w:tcPr>
          <w:p>
            <w:pPr>
              <w:spacing w:after="0"/>
              <w:rPr>
                <w:sz w:val="24"/>
                <w:szCs w:val="24"/>
                <w:color w:val="auto"/>
              </w:rPr>
            </w:pPr>
          </w:p>
        </w:tc>
      </w:tr>
      <w:tr>
        <w:trPr>
          <w:trHeight w:val="365"/>
        </w:trPr>
        <w:tc>
          <w:tcPr>
            <w:tcW w:w="8980" w:type="dxa"/>
            <w:vAlign w:val="bottom"/>
          </w:tcPr>
          <w:p>
            <w:pPr>
              <w:spacing w:after="0"/>
              <w:rPr>
                <w:sz w:val="20"/>
                <w:szCs w:val="20"/>
                <w:color w:val="auto"/>
              </w:rPr>
            </w:pPr>
            <w:r>
              <w:rPr>
                <w:rFonts w:ascii="Arial" w:cs="Arial" w:eastAsia="Arial" w:hAnsi="Arial"/>
                <w:sz w:val="18"/>
                <w:szCs w:val="18"/>
                <w:color w:val="auto"/>
              </w:rPr>
              <w:t>1.   Fourth Quarter and Year-end 2004 Earnings Press Release</w:t>
            </w:r>
          </w:p>
        </w:tc>
        <w:tc>
          <w:tcPr>
            <w:tcW w:w="2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8980" w:type="dxa"/>
            <w:vAlign w:val="bottom"/>
          </w:tcPr>
          <w:p>
            <w:pPr>
              <w:spacing w:after="0"/>
              <w:rPr>
                <w:sz w:val="20"/>
                <w:szCs w:val="20"/>
                <w:color w:val="auto"/>
              </w:rPr>
            </w:pPr>
            <w:r>
              <w:rPr>
                <w:rFonts w:ascii="Arial" w:cs="Arial" w:eastAsia="Arial" w:hAnsi="Arial"/>
                <w:sz w:val="18"/>
                <w:szCs w:val="18"/>
                <w:color w:val="auto"/>
              </w:rPr>
              <w:t>2.   Financial Highlights</w:t>
            </w:r>
          </w:p>
        </w:tc>
        <w:tc>
          <w:tcPr>
            <w:tcW w:w="2440" w:type="dxa"/>
            <w:vAlign w:val="bottom"/>
          </w:tcPr>
          <w:p>
            <w:pPr>
              <w:spacing w:after="0"/>
              <w:rPr>
                <w:sz w:val="24"/>
                <w:szCs w:val="24"/>
                <w:color w:val="auto"/>
              </w:rPr>
            </w:pPr>
          </w:p>
        </w:tc>
      </w:tr>
      <w:tr>
        <w:trPr>
          <w:trHeight w:val="216"/>
        </w:trPr>
        <w:tc>
          <w:tcPr>
            <w:tcW w:w="8980" w:type="dxa"/>
            <w:vAlign w:val="bottom"/>
          </w:tcPr>
          <w:p>
            <w:pPr>
              <w:ind w:left="920"/>
              <w:spacing w:after="0"/>
              <w:rPr>
                <w:sz w:val="20"/>
                <w:szCs w:val="20"/>
                <w:color w:val="auto"/>
              </w:rPr>
            </w:pPr>
            <w:r>
              <w:rPr>
                <w:rFonts w:ascii="Arial" w:cs="Arial" w:eastAsia="Arial" w:hAnsi="Arial"/>
                <w:sz w:val="18"/>
                <w:szCs w:val="18"/>
                <w:color w:val="auto"/>
              </w:rPr>
              <w:t>Summarized Operating Results</w:t>
            </w:r>
          </w:p>
        </w:tc>
        <w:tc>
          <w:tcPr>
            <w:tcW w:w="2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980" w:type="dxa"/>
            <w:vAlign w:val="bottom"/>
          </w:tcPr>
          <w:p>
            <w:pPr>
              <w:ind w:left="920"/>
              <w:spacing w:after="0"/>
              <w:rPr>
                <w:sz w:val="20"/>
                <w:szCs w:val="20"/>
                <w:color w:val="auto"/>
              </w:rPr>
            </w:pPr>
            <w:r>
              <w:rPr>
                <w:rFonts w:ascii="Arial" w:cs="Arial" w:eastAsia="Arial" w:hAnsi="Arial"/>
                <w:sz w:val="18"/>
                <w:szCs w:val="18"/>
                <w:color w:val="auto"/>
              </w:rPr>
              <w:t>Summarized Balance Sheets</w:t>
            </w:r>
          </w:p>
        </w:tc>
        <w:tc>
          <w:tcPr>
            <w:tcW w:w="2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980" w:type="dxa"/>
            <w:vAlign w:val="bottom"/>
          </w:tcPr>
          <w:p>
            <w:pPr>
              <w:ind w:left="920"/>
              <w:spacing w:after="0"/>
              <w:rPr>
                <w:sz w:val="20"/>
                <w:szCs w:val="20"/>
                <w:color w:val="auto"/>
              </w:rPr>
            </w:pPr>
            <w:r>
              <w:rPr>
                <w:rFonts w:ascii="Arial" w:cs="Arial" w:eastAsia="Arial" w:hAnsi="Arial"/>
                <w:sz w:val="18"/>
                <w:szCs w:val="18"/>
                <w:color w:val="auto"/>
              </w:rPr>
              <w:t>Funds From Operations / Summary of Capital Expenditures</w:t>
            </w:r>
          </w:p>
        </w:tc>
        <w:tc>
          <w:tcPr>
            <w:tcW w:w="2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980" w:type="dxa"/>
            <w:vAlign w:val="bottom"/>
          </w:tcPr>
          <w:p>
            <w:pPr>
              <w:ind w:left="920"/>
              <w:spacing w:after="0"/>
              <w:rPr>
                <w:sz w:val="20"/>
                <w:szCs w:val="20"/>
                <w:color w:val="auto"/>
              </w:rPr>
            </w:pPr>
            <w:r>
              <w:rPr>
                <w:rFonts w:ascii="Arial" w:cs="Arial" w:eastAsia="Arial" w:hAnsi="Arial"/>
                <w:sz w:val="18"/>
                <w:szCs w:val="18"/>
                <w:color w:val="auto"/>
              </w:rPr>
              <w:t>Market Data / Capital Availability</w:t>
            </w:r>
          </w:p>
        </w:tc>
        <w:tc>
          <w:tcPr>
            <w:tcW w:w="2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2"/>
        </w:trPr>
        <w:tc>
          <w:tcPr>
            <w:tcW w:w="8980" w:type="dxa"/>
            <w:vAlign w:val="bottom"/>
          </w:tcPr>
          <w:p>
            <w:pPr>
              <w:ind w:left="920"/>
              <w:spacing w:after="0"/>
              <w:rPr>
                <w:sz w:val="20"/>
                <w:szCs w:val="20"/>
                <w:color w:val="auto"/>
              </w:rPr>
            </w:pPr>
            <w:r>
              <w:rPr>
                <w:rFonts w:ascii="Arial" w:cs="Arial" w:eastAsia="Arial" w:hAnsi="Arial"/>
                <w:sz w:val="18"/>
                <w:szCs w:val="18"/>
                <w:color w:val="auto"/>
              </w:rPr>
              <w:t>Components of Rental Income</w:t>
            </w:r>
          </w:p>
        </w:tc>
        <w:tc>
          <w:tcPr>
            <w:tcW w:w="244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102"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Summary of Debt</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0" w:type="dxa"/>
            <w:vAlign w:val="bottom"/>
          </w:tcPr>
          <w:p>
            <w:pPr>
              <w:spacing w:after="0"/>
              <w:rPr>
                <w:sz w:val="18"/>
                <w:szCs w:val="18"/>
                <w:color w:val="auto"/>
              </w:rPr>
            </w:pPr>
          </w:p>
        </w:tc>
        <w:tc>
          <w:tcPr>
            <w:tcW w:w="7700" w:type="dxa"/>
            <w:vAlign w:val="bottom"/>
          </w:tcPr>
          <w:p>
            <w:pPr>
              <w:ind w:left="680"/>
              <w:spacing w:after="0"/>
              <w:rPr>
                <w:sz w:val="20"/>
                <w:szCs w:val="20"/>
                <w:color w:val="auto"/>
              </w:rPr>
            </w:pPr>
            <w:r>
              <w:rPr>
                <w:rFonts w:ascii="Arial" w:cs="Arial" w:eastAsia="Arial" w:hAnsi="Arial"/>
                <w:sz w:val="18"/>
                <w:szCs w:val="18"/>
                <w:color w:val="auto"/>
              </w:rPr>
              <w:t>Summary of Outstanding Debt</w:t>
            </w:r>
          </w:p>
        </w:tc>
        <w:tc>
          <w:tcPr>
            <w:tcW w:w="3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2"/>
        </w:trPr>
        <w:tc>
          <w:tcPr>
            <w:tcW w:w="240" w:type="dxa"/>
            <w:vAlign w:val="bottom"/>
          </w:tcPr>
          <w:p>
            <w:pPr>
              <w:spacing w:after="0"/>
              <w:rPr>
                <w:sz w:val="19"/>
                <w:szCs w:val="19"/>
                <w:color w:val="auto"/>
              </w:rPr>
            </w:pPr>
          </w:p>
        </w:tc>
        <w:tc>
          <w:tcPr>
            <w:tcW w:w="7700" w:type="dxa"/>
            <w:vAlign w:val="bottom"/>
          </w:tcPr>
          <w:p>
            <w:pPr>
              <w:ind w:left="680"/>
              <w:spacing w:after="0"/>
              <w:rPr>
                <w:sz w:val="20"/>
                <w:szCs w:val="20"/>
                <w:color w:val="auto"/>
              </w:rPr>
            </w:pPr>
            <w:r>
              <w:rPr>
                <w:rFonts w:ascii="Arial" w:cs="Arial" w:eastAsia="Arial" w:hAnsi="Arial"/>
                <w:sz w:val="18"/>
                <w:szCs w:val="18"/>
                <w:color w:val="auto"/>
              </w:rPr>
              <w:t>Summary of Debt Maturities</w:t>
            </w:r>
          </w:p>
        </w:tc>
        <w:tc>
          <w:tcPr>
            <w:tcW w:w="3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4.</w:t>
            </w:r>
          </w:p>
        </w:tc>
        <w:tc>
          <w:tcPr>
            <w:tcW w:w="7700" w:type="dxa"/>
            <w:vAlign w:val="bottom"/>
          </w:tcPr>
          <w:p>
            <w:pPr>
              <w:ind w:left="100"/>
              <w:spacing w:after="0"/>
              <w:rPr>
                <w:sz w:val="20"/>
                <w:szCs w:val="20"/>
                <w:color w:val="auto"/>
              </w:rPr>
            </w:pPr>
            <w:r>
              <w:rPr>
                <w:rFonts w:ascii="Arial" w:cs="Arial" w:eastAsia="Arial" w:hAnsi="Arial"/>
                <w:sz w:val="18"/>
                <w:szCs w:val="18"/>
                <w:color w:val="auto"/>
              </w:rPr>
              <w:t>Summary of Redevelopment Opportunities and Santana Row</w:t>
            </w:r>
          </w:p>
        </w:tc>
        <w:tc>
          <w:tcPr>
            <w:tcW w:w="34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5.</w:t>
            </w:r>
          </w:p>
        </w:tc>
        <w:tc>
          <w:tcPr>
            <w:tcW w:w="7700" w:type="dxa"/>
            <w:vAlign w:val="bottom"/>
          </w:tcPr>
          <w:p>
            <w:pPr>
              <w:ind w:left="100"/>
              <w:spacing w:after="0"/>
              <w:rPr>
                <w:sz w:val="20"/>
                <w:szCs w:val="20"/>
                <w:color w:val="auto"/>
              </w:rPr>
            </w:pPr>
            <w:r>
              <w:rPr>
                <w:rFonts w:ascii="Arial" w:cs="Arial" w:eastAsia="Arial" w:hAnsi="Arial"/>
                <w:sz w:val="18"/>
                <w:szCs w:val="18"/>
                <w:color w:val="auto"/>
              </w:rPr>
              <w:t>2004 Acquisitions and Dispositions</w:t>
            </w:r>
          </w:p>
        </w:tc>
        <w:tc>
          <w:tcPr>
            <w:tcW w:w="3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6.</w:t>
            </w:r>
          </w:p>
        </w:tc>
        <w:tc>
          <w:tcPr>
            <w:tcW w:w="7700" w:type="dxa"/>
            <w:vAlign w:val="bottom"/>
          </w:tcPr>
          <w:p>
            <w:pPr>
              <w:ind w:left="100"/>
              <w:spacing w:after="0"/>
              <w:rPr>
                <w:sz w:val="20"/>
                <w:szCs w:val="20"/>
                <w:color w:val="auto"/>
              </w:rPr>
            </w:pPr>
            <w:r>
              <w:rPr>
                <w:rFonts w:ascii="Arial" w:cs="Arial" w:eastAsia="Arial" w:hAnsi="Arial"/>
                <w:sz w:val="18"/>
                <w:szCs w:val="18"/>
                <w:color w:val="auto"/>
              </w:rPr>
              <w:t>Real Estate Status Report</w:t>
            </w:r>
          </w:p>
        </w:tc>
        <w:tc>
          <w:tcPr>
            <w:tcW w:w="3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7.</w:t>
            </w:r>
          </w:p>
        </w:tc>
        <w:tc>
          <w:tcPr>
            <w:tcW w:w="7700" w:type="dxa"/>
            <w:vAlign w:val="bottom"/>
          </w:tcPr>
          <w:p>
            <w:pPr>
              <w:ind w:left="100"/>
              <w:spacing w:after="0"/>
              <w:rPr>
                <w:sz w:val="20"/>
                <w:szCs w:val="20"/>
                <w:color w:val="auto"/>
              </w:rPr>
            </w:pPr>
            <w:r>
              <w:rPr>
                <w:rFonts w:ascii="Arial" w:cs="Arial" w:eastAsia="Arial" w:hAnsi="Arial"/>
                <w:sz w:val="18"/>
                <w:szCs w:val="18"/>
                <w:color w:val="auto"/>
              </w:rPr>
              <w:t>Property Operating Income by Metropolitan Area</w:t>
            </w:r>
          </w:p>
        </w:tc>
        <w:tc>
          <w:tcPr>
            <w:tcW w:w="3480" w:type="dxa"/>
            <w:vAlign w:val="bottom"/>
          </w:tcPr>
          <w:p>
            <w:pPr>
              <w:jc w:val="right"/>
              <w:spacing w:after="0"/>
              <w:rPr>
                <w:sz w:val="20"/>
                <w:szCs w:val="20"/>
                <w:color w:val="auto"/>
              </w:rPr>
            </w:pPr>
            <w:r>
              <w:rPr>
                <w:rFonts w:ascii="Arial" w:cs="Arial" w:eastAsia="Arial" w:hAnsi="Arial"/>
                <w:sz w:val="18"/>
                <w:szCs w:val="18"/>
                <w:color w:val="auto"/>
              </w:rPr>
              <w:t>19</w:t>
            </w:r>
          </w:p>
        </w:tc>
      </w:tr>
    </w:tbl>
    <w:p>
      <w:pPr>
        <w:spacing w:after="0" w:line="102"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Leasing Summary</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7600" w:type="dxa"/>
            <w:vAlign w:val="bottom"/>
          </w:tcPr>
          <w:p>
            <w:pPr>
              <w:ind w:left="640"/>
              <w:spacing w:after="0"/>
              <w:rPr>
                <w:sz w:val="20"/>
                <w:szCs w:val="20"/>
                <w:color w:val="auto"/>
              </w:rPr>
            </w:pPr>
            <w:r>
              <w:rPr>
                <w:rFonts w:ascii="Arial" w:cs="Arial" w:eastAsia="Arial" w:hAnsi="Arial"/>
                <w:sz w:val="18"/>
                <w:szCs w:val="18"/>
                <w:color w:val="auto"/>
              </w:rPr>
              <w:t>Retail Leasing Summary – Comparable</w:t>
            </w:r>
          </w:p>
        </w:tc>
        <w:tc>
          <w:tcPr>
            <w:tcW w:w="3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2"/>
        </w:trPr>
        <w:tc>
          <w:tcPr>
            <w:tcW w:w="280" w:type="dxa"/>
            <w:vAlign w:val="bottom"/>
          </w:tcPr>
          <w:p>
            <w:pPr>
              <w:spacing w:after="0"/>
              <w:rPr>
                <w:sz w:val="19"/>
                <w:szCs w:val="19"/>
                <w:color w:val="auto"/>
              </w:rPr>
            </w:pPr>
          </w:p>
        </w:tc>
        <w:tc>
          <w:tcPr>
            <w:tcW w:w="7600" w:type="dxa"/>
            <w:vAlign w:val="bottom"/>
          </w:tcPr>
          <w:p>
            <w:pPr>
              <w:ind w:left="640"/>
              <w:spacing w:after="0"/>
              <w:rPr>
                <w:sz w:val="20"/>
                <w:szCs w:val="20"/>
                <w:color w:val="auto"/>
              </w:rPr>
            </w:pPr>
            <w:r>
              <w:rPr>
                <w:rFonts w:ascii="Arial" w:cs="Arial" w:eastAsia="Arial" w:hAnsi="Arial"/>
                <w:sz w:val="18"/>
                <w:szCs w:val="18"/>
                <w:color w:val="auto"/>
              </w:rPr>
              <w:t>Retail Leasing Summary – Non-comparable</w:t>
            </w:r>
          </w:p>
        </w:tc>
        <w:tc>
          <w:tcPr>
            <w:tcW w:w="35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7600" w:type="dxa"/>
            <w:vAlign w:val="bottom"/>
          </w:tcPr>
          <w:p>
            <w:pPr>
              <w:ind w:left="60"/>
              <w:spacing w:after="0"/>
              <w:rPr>
                <w:sz w:val="20"/>
                <w:szCs w:val="20"/>
                <w:color w:val="auto"/>
              </w:rPr>
            </w:pPr>
            <w:r>
              <w:rPr>
                <w:rFonts w:ascii="Arial" w:cs="Arial" w:eastAsia="Arial" w:hAnsi="Arial"/>
                <w:sz w:val="18"/>
                <w:szCs w:val="18"/>
                <w:color w:val="auto"/>
              </w:rPr>
              <w:t>Lease Expirations</w:t>
            </w:r>
          </w:p>
        </w:tc>
        <w:tc>
          <w:tcPr>
            <w:tcW w:w="35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7600" w:type="dxa"/>
            <w:vAlign w:val="bottom"/>
          </w:tcPr>
          <w:p>
            <w:pPr>
              <w:ind w:left="60"/>
              <w:spacing w:after="0"/>
              <w:rPr>
                <w:sz w:val="20"/>
                <w:szCs w:val="20"/>
                <w:color w:val="auto"/>
              </w:rPr>
            </w:pPr>
            <w:r>
              <w:rPr>
                <w:rFonts w:ascii="Arial" w:cs="Arial" w:eastAsia="Arial" w:hAnsi="Arial"/>
                <w:sz w:val="18"/>
                <w:szCs w:val="18"/>
                <w:color w:val="auto"/>
              </w:rPr>
              <w:t>Portfolio Leased Statistics</w:t>
            </w:r>
          </w:p>
        </w:tc>
        <w:tc>
          <w:tcPr>
            <w:tcW w:w="35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11.</w:t>
            </w:r>
          </w:p>
        </w:tc>
        <w:tc>
          <w:tcPr>
            <w:tcW w:w="7600" w:type="dxa"/>
            <w:vAlign w:val="bottom"/>
          </w:tcPr>
          <w:p>
            <w:pPr>
              <w:ind w:left="60"/>
              <w:spacing w:after="0"/>
              <w:rPr>
                <w:sz w:val="20"/>
                <w:szCs w:val="20"/>
                <w:color w:val="auto"/>
              </w:rPr>
            </w:pPr>
            <w:r>
              <w:rPr>
                <w:rFonts w:ascii="Arial" w:cs="Arial" w:eastAsia="Arial" w:hAnsi="Arial"/>
                <w:sz w:val="18"/>
                <w:szCs w:val="18"/>
                <w:color w:val="auto"/>
              </w:rPr>
              <w:t>Summary of Top 25 Tenants</w:t>
            </w:r>
          </w:p>
        </w:tc>
        <w:tc>
          <w:tcPr>
            <w:tcW w:w="35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12.</w:t>
            </w:r>
          </w:p>
        </w:tc>
        <w:tc>
          <w:tcPr>
            <w:tcW w:w="7600" w:type="dxa"/>
            <w:vAlign w:val="bottom"/>
          </w:tcPr>
          <w:p>
            <w:pPr>
              <w:ind w:left="60"/>
              <w:spacing w:after="0"/>
              <w:rPr>
                <w:sz w:val="20"/>
                <w:szCs w:val="20"/>
                <w:color w:val="auto"/>
              </w:rPr>
            </w:pPr>
            <w:r>
              <w:rPr>
                <w:rFonts w:ascii="Arial" w:cs="Arial" w:eastAsia="Arial" w:hAnsi="Arial"/>
                <w:sz w:val="18"/>
                <w:szCs w:val="18"/>
                <w:color w:val="auto"/>
              </w:rPr>
              <w:t>Reconciliation of Net Income to FFO Guidance</w:t>
            </w:r>
          </w:p>
        </w:tc>
        <w:tc>
          <w:tcPr>
            <w:tcW w:w="35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8"/>
        </w:trPr>
        <w:tc>
          <w:tcPr>
            <w:tcW w:w="280" w:type="dxa"/>
            <w:vAlign w:val="bottom"/>
          </w:tcPr>
          <w:p>
            <w:pPr>
              <w:spacing w:after="0"/>
              <w:rPr>
                <w:sz w:val="20"/>
                <w:szCs w:val="20"/>
                <w:color w:val="auto"/>
              </w:rPr>
            </w:pPr>
            <w:r>
              <w:rPr>
                <w:rFonts w:ascii="Arial" w:cs="Arial" w:eastAsia="Arial" w:hAnsi="Arial"/>
                <w:sz w:val="18"/>
                <w:szCs w:val="18"/>
                <w:color w:val="auto"/>
              </w:rPr>
              <w:t>13.</w:t>
            </w:r>
          </w:p>
        </w:tc>
        <w:tc>
          <w:tcPr>
            <w:tcW w:w="7600" w:type="dxa"/>
            <w:vAlign w:val="bottom"/>
          </w:tcPr>
          <w:p>
            <w:pPr>
              <w:ind w:left="60"/>
              <w:spacing w:after="0"/>
              <w:rPr>
                <w:sz w:val="20"/>
                <w:szCs w:val="20"/>
                <w:color w:val="auto"/>
              </w:rPr>
            </w:pPr>
            <w:r>
              <w:rPr>
                <w:rFonts w:ascii="Arial" w:cs="Arial" w:eastAsia="Arial" w:hAnsi="Arial"/>
                <w:sz w:val="18"/>
                <w:szCs w:val="18"/>
                <w:color w:val="auto"/>
              </w:rPr>
              <w:t>Joint Venture Disclosure</w:t>
            </w:r>
          </w:p>
        </w:tc>
        <w:tc>
          <w:tcPr>
            <w:tcW w:w="3540" w:type="dxa"/>
            <w:vAlign w:val="bottom"/>
          </w:tcPr>
          <w:p>
            <w:pPr>
              <w:spacing w:after="0"/>
              <w:rPr>
                <w:sz w:val="24"/>
                <w:szCs w:val="24"/>
                <w:color w:val="auto"/>
              </w:rPr>
            </w:pPr>
          </w:p>
        </w:tc>
      </w:tr>
      <w:tr>
        <w:trPr>
          <w:trHeight w:val="216"/>
        </w:trPr>
        <w:tc>
          <w:tcPr>
            <w:tcW w:w="280" w:type="dxa"/>
            <w:vAlign w:val="bottom"/>
          </w:tcPr>
          <w:p>
            <w:pPr>
              <w:spacing w:after="0"/>
              <w:rPr>
                <w:sz w:val="18"/>
                <w:szCs w:val="18"/>
                <w:color w:val="auto"/>
              </w:rPr>
            </w:pPr>
          </w:p>
        </w:tc>
        <w:tc>
          <w:tcPr>
            <w:tcW w:w="7600" w:type="dxa"/>
            <w:vAlign w:val="bottom"/>
          </w:tcPr>
          <w:p>
            <w:pPr>
              <w:ind w:left="640"/>
              <w:spacing w:after="0"/>
              <w:rPr>
                <w:sz w:val="20"/>
                <w:szCs w:val="20"/>
                <w:color w:val="auto"/>
              </w:rPr>
            </w:pPr>
            <w:r>
              <w:rPr>
                <w:rFonts w:ascii="Arial" w:cs="Arial" w:eastAsia="Arial" w:hAnsi="Arial"/>
                <w:sz w:val="18"/>
                <w:szCs w:val="18"/>
                <w:color w:val="auto"/>
              </w:rPr>
              <w:t>Summarized Operating Results and Balance Sheet</w:t>
            </w:r>
          </w:p>
        </w:tc>
        <w:tc>
          <w:tcPr>
            <w:tcW w:w="35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280" w:type="dxa"/>
            <w:vAlign w:val="bottom"/>
          </w:tcPr>
          <w:p>
            <w:pPr>
              <w:spacing w:after="0"/>
              <w:rPr>
                <w:sz w:val="18"/>
                <w:szCs w:val="18"/>
                <w:color w:val="auto"/>
              </w:rPr>
            </w:pPr>
          </w:p>
        </w:tc>
        <w:tc>
          <w:tcPr>
            <w:tcW w:w="7600" w:type="dxa"/>
            <w:vAlign w:val="bottom"/>
          </w:tcPr>
          <w:p>
            <w:pPr>
              <w:ind w:left="640"/>
              <w:spacing w:after="0"/>
              <w:rPr>
                <w:sz w:val="20"/>
                <w:szCs w:val="20"/>
                <w:color w:val="auto"/>
              </w:rPr>
            </w:pPr>
            <w:r>
              <w:rPr>
                <w:rFonts w:ascii="Arial" w:cs="Arial" w:eastAsia="Arial" w:hAnsi="Arial"/>
                <w:sz w:val="18"/>
                <w:szCs w:val="18"/>
                <w:color w:val="auto"/>
              </w:rPr>
              <w:t>Summary of Outstanding Debt and Debt Maturities</w:t>
            </w:r>
          </w:p>
        </w:tc>
        <w:tc>
          <w:tcPr>
            <w:tcW w:w="35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280" w:type="dxa"/>
            <w:vAlign w:val="bottom"/>
          </w:tcPr>
          <w:p>
            <w:pPr>
              <w:spacing w:after="0"/>
              <w:rPr>
                <w:sz w:val="18"/>
                <w:szCs w:val="18"/>
                <w:color w:val="auto"/>
              </w:rPr>
            </w:pPr>
          </w:p>
        </w:tc>
        <w:tc>
          <w:tcPr>
            <w:tcW w:w="7600" w:type="dxa"/>
            <w:vAlign w:val="bottom"/>
          </w:tcPr>
          <w:p>
            <w:pPr>
              <w:ind w:left="640"/>
              <w:spacing w:after="0"/>
              <w:rPr>
                <w:sz w:val="20"/>
                <w:szCs w:val="20"/>
                <w:color w:val="auto"/>
              </w:rPr>
            </w:pPr>
            <w:r>
              <w:rPr>
                <w:rFonts w:ascii="Arial" w:cs="Arial" w:eastAsia="Arial" w:hAnsi="Arial"/>
                <w:sz w:val="18"/>
                <w:szCs w:val="18"/>
                <w:color w:val="auto"/>
              </w:rPr>
              <w:t>2004 Acquisitions and Dispositions</w:t>
            </w:r>
          </w:p>
        </w:tc>
        <w:tc>
          <w:tcPr>
            <w:tcW w:w="35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2"/>
        </w:trPr>
        <w:tc>
          <w:tcPr>
            <w:tcW w:w="280" w:type="dxa"/>
            <w:vAlign w:val="bottom"/>
          </w:tcPr>
          <w:p>
            <w:pPr>
              <w:spacing w:after="0"/>
              <w:rPr>
                <w:sz w:val="19"/>
                <w:szCs w:val="19"/>
                <w:color w:val="auto"/>
              </w:rPr>
            </w:pPr>
          </w:p>
        </w:tc>
        <w:tc>
          <w:tcPr>
            <w:tcW w:w="7600" w:type="dxa"/>
            <w:vAlign w:val="bottom"/>
          </w:tcPr>
          <w:p>
            <w:pPr>
              <w:ind w:left="640"/>
              <w:spacing w:after="0"/>
              <w:rPr>
                <w:sz w:val="20"/>
                <w:szCs w:val="20"/>
                <w:color w:val="auto"/>
              </w:rPr>
            </w:pPr>
            <w:r>
              <w:rPr>
                <w:rFonts w:ascii="Arial" w:cs="Arial" w:eastAsia="Arial" w:hAnsi="Arial"/>
                <w:sz w:val="18"/>
                <w:szCs w:val="18"/>
                <w:color w:val="auto"/>
              </w:rPr>
              <w:t>Real Estate Status Report</w:t>
            </w:r>
          </w:p>
        </w:tc>
        <w:tc>
          <w:tcPr>
            <w:tcW w:w="35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14.</w:t>
            </w:r>
          </w:p>
        </w:tc>
        <w:tc>
          <w:tcPr>
            <w:tcW w:w="7600" w:type="dxa"/>
            <w:vAlign w:val="bottom"/>
          </w:tcPr>
          <w:p>
            <w:pPr>
              <w:ind w:left="60"/>
              <w:spacing w:after="0"/>
              <w:rPr>
                <w:sz w:val="20"/>
                <w:szCs w:val="20"/>
                <w:color w:val="auto"/>
              </w:rPr>
            </w:pPr>
            <w:r>
              <w:rPr>
                <w:rFonts w:ascii="Arial" w:cs="Arial" w:eastAsia="Arial" w:hAnsi="Arial"/>
                <w:sz w:val="18"/>
                <w:szCs w:val="18"/>
                <w:color w:val="auto"/>
              </w:rPr>
              <w:t>Glossary of Terms</w:t>
            </w:r>
          </w:p>
        </w:tc>
        <w:tc>
          <w:tcPr>
            <w:tcW w:w="354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1626 East Jefferson Street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Rockville, Maryland 20852-4041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301/998-8100</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Safe Harbor Language</w:t>
      </w:r>
    </w:p>
    <w:p>
      <w:pPr>
        <w:spacing w:after="0" w:line="8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Current Report on Form 8-K filed on March 11, 2004, and include the following:</w:t>
      </w:r>
    </w:p>
    <w:p>
      <w:pPr>
        <w:spacing w:after="0" w:line="49"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risks that our tenants will not pay rent or that we may be unable to renew leases or re-let space at favorable rents as leases expire;</w:t>
      </w:r>
    </w:p>
    <w:p>
      <w:pPr>
        <w:spacing w:after="0" w:line="103" w:lineRule="exact"/>
        <w:rPr>
          <w:rFonts w:ascii="Arial" w:cs="Arial" w:eastAsia="Arial" w:hAnsi="Arial"/>
          <w:sz w:val="18"/>
          <w:szCs w:val="18"/>
          <w:color w:val="auto"/>
        </w:rPr>
      </w:pPr>
    </w:p>
    <w:p>
      <w:pPr>
        <w:ind w:left="900" w:right="1000" w:hanging="446"/>
        <w:spacing w:after="0" w:line="268" w:lineRule="auto"/>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we may not be able to proceed with or obtain necessary approvals for any redevelopment or renovation project, and that any redevelopment or renovation project that we do pursue may not perform as anticipated;</w:t>
      </w:r>
    </w:p>
    <w:p>
      <w:pPr>
        <w:spacing w:after="0" w:line="37" w:lineRule="exact"/>
        <w:rPr>
          <w:rFonts w:ascii="Arial" w:cs="Arial" w:eastAsia="Arial" w:hAnsi="Arial"/>
          <w:sz w:val="18"/>
          <w:szCs w:val="18"/>
          <w:i w:val="1"/>
          <w:iCs w:val="1"/>
          <w:color w:val="auto"/>
        </w:rPr>
      </w:pPr>
    </w:p>
    <w:p>
      <w:pPr>
        <w:ind w:left="900" w:right="140" w:hanging="446"/>
        <w:spacing w:after="0" w:line="268" w:lineRule="auto"/>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the number of properties we acquire for our own account, and therefore the amount of capital we invest in acquisitions, may be impacted by our real estate partnership;</w:t>
      </w:r>
    </w:p>
    <w:p>
      <w:pPr>
        <w:spacing w:after="0" w:line="37" w:lineRule="exact"/>
        <w:rPr>
          <w:rFonts w:ascii="Arial" w:cs="Arial" w:eastAsia="Arial" w:hAnsi="Arial"/>
          <w:sz w:val="18"/>
          <w:szCs w:val="18"/>
          <w:i w:val="1"/>
          <w:iCs w:val="1"/>
          <w:color w:val="auto"/>
        </w:rPr>
      </w:pPr>
    </w:p>
    <w:p>
      <w:pPr>
        <w:ind w:left="900" w:hanging="446"/>
        <w:spacing w:after="0" w:line="256" w:lineRule="auto"/>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we may have environmental risks at our properties, and, because real estate is illiquid, that we may not be able to sell properties when appropriate;</w:t>
      </w:r>
    </w:p>
    <w:p>
      <w:pPr>
        <w:spacing w:after="0" w:line="48" w:lineRule="exact"/>
        <w:rPr>
          <w:rFonts w:ascii="Arial" w:cs="Arial" w:eastAsia="Arial" w:hAnsi="Arial"/>
          <w:sz w:val="18"/>
          <w:szCs w:val="18"/>
          <w:i w:val="1"/>
          <w:iCs w:val="1"/>
          <w:color w:val="auto"/>
        </w:rPr>
      </w:pPr>
    </w:p>
    <w:p>
      <w:pPr>
        <w:ind w:left="900" w:hanging="446"/>
        <w:spacing w:after="0"/>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our growth will be limited if we cannot obtain additional capital;</w:t>
      </w:r>
    </w:p>
    <w:p>
      <w:pPr>
        <w:spacing w:after="0" w:line="103" w:lineRule="exact"/>
        <w:rPr>
          <w:rFonts w:ascii="Arial" w:cs="Arial" w:eastAsia="Arial" w:hAnsi="Arial"/>
          <w:sz w:val="18"/>
          <w:szCs w:val="18"/>
          <w:i w:val="1"/>
          <w:iCs w:val="1"/>
          <w:color w:val="auto"/>
        </w:rPr>
      </w:pPr>
    </w:p>
    <w:p>
      <w:pPr>
        <w:ind w:left="900" w:hanging="446"/>
        <w:spacing w:after="0" w:line="259" w:lineRule="auto"/>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45" w:lineRule="exact"/>
        <w:rPr>
          <w:rFonts w:ascii="Arial" w:cs="Arial" w:eastAsia="Arial" w:hAnsi="Arial"/>
          <w:sz w:val="18"/>
          <w:szCs w:val="18"/>
          <w:i w:val="1"/>
          <w:iCs w:val="1"/>
          <w:color w:val="auto"/>
        </w:rPr>
      </w:pPr>
    </w:p>
    <w:p>
      <w:pPr>
        <w:ind w:left="900" w:right="20" w:hanging="446"/>
        <w:spacing w:after="0" w:line="259" w:lineRule="auto"/>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4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our quarterly reports on Form 10-Q, and the risks contained in our Current Report on Form 8-K filed with the Securities and Exchange Commission on March 11, 2004.</w:t>
      </w:r>
    </w:p>
    <w:p>
      <w:pPr>
        <w:sectPr>
          <w:pgSz w:w="11900" w:h="16838" w:orient="portrait"/>
          <w:cols w:equalWidth="0" w:num="1">
            <w:col w:w="11360"/>
          </w:cols>
          <w:pgMar w:left="240" w:top="274" w:right="2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8"/>
        </w:trPr>
        <w:tc>
          <w:tcPr>
            <w:tcW w:w="5960" w:type="dxa"/>
            <w:vAlign w:val="bottom"/>
            <w:gridSpan w:val="3"/>
          </w:tcPr>
          <w:p>
            <w:pPr>
              <w:spacing w:after="0"/>
              <w:rPr>
                <w:sz w:val="20"/>
                <w:szCs w:val="20"/>
                <w:color w:val="auto"/>
              </w:rPr>
            </w:pPr>
            <w:r>
              <w:rPr>
                <w:rFonts w:ascii="Arial" w:cs="Arial" w:eastAsia="Arial" w:hAnsi="Arial"/>
                <w:sz w:val="18"/>
                <w:szCs w:val="18"/>
                <w:b w:val="1"/>
                <w:bCs w:val="1"/>
                <w:color w:val="auto"/>
              </w:rPr>
              <w:t>FOR IMMEDIATE RELEASE</w:t>
            </w:r>
          </w:p>
        </w:tc>
        <w:tc>
          <w:tcPr>
            <w:tcW w:w="18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5"/>
        </w:trPr>
        <w:tc>
          <w:tcPr>
            <w:tcW w:w="5960" w:type="dxa"/>
            <w:vAlign w:val="bottom"/>
            <w:gridSpan w:val="3"/>
          </w:tcPr>
          <w:p>
            <w:pPr>
              <w:spacing w:after="0"/>
              <w:rPr>
                <w:sz w:val="20"/>
                <w:szCs w:val="20"/>
                <w:color w:val="auto"/>
              </w:rPr>
            </w:pPr>
            <w:r>
              <w:rPr>
                <w:rFonts w:ascii="Arial" w:cs="Arial" w:eastAsia="Arial" w:hAnsi="Arial"/>
                <w:sz w:val="18"/>
                <w:szCs w:val="18"/>
                <w:i w:val="1"/>
                <w:iCs w:val="1"/>
                <w:color w:val="auto"/>
              </w:rPr>
              <w:t>Investor and Media Inquiries</w:t>
            </w:r>
          </w:p>
        </w:tc>
        <w:tc>
          <w:tcPr>
            <w:tcW w:w="18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28"/>
        </w:trPr>
        <w:tc>
          <w:tcPr>
            <w:tcW w:w="20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Andrew Blocher</w:t>
            </w:r>
          </w:p>
        </w:tc>
        <w:tc>
          <w:tcPr>
            <w:tcW w:w="3900" w:type="dxa"/>
            <w:vAlign w:val="bottom"/>
          </w:tcPr>
          <w:p>
            <w:pPr>
              <w:spacing w:after="0"/>
              <w:rPr>
                <w:sz w:val="19"/>
                <w:szCs w:val="19"/>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Suzanne O’Neill</w:t>
            </w:r>
          </w:p>
        </w:tc>
      </w:tr>
      <w:tr>
        <w:trPr>
          <w:trHeight w:val="216"/>
        </w:trPr>
        <w:tc>
          <w:tcPr>
            <w:tcW w:w="5960" w:type="dxa"/>
            <w:vAlign w:val="bottom"/>
            <w:gridSpan w:val="3"/>
          </w:tcPr>
          <w:p>
            <w:pPr>
              <w:spacing w:after="0"/>
              <w:rPr>
                <w:sz w:val="20"/>
                <w:szCs w:val="20"/>
                <w:color w:val="auto"/>
              </w:rPr>
            </w:pPr>
            <w:r>
              <w:rPr>
                <w:rFonts w:ascii="Arial" w:cs="Arial" w:eastAsia="Arial" w:hAnsi="Arial"/>
                <w:sz w:val="18"/>
                <w:szCs w:val="18"/>
                <w:color w:val="auto"/>
              </w:rPr>
              <w:t>Vice President, Capital Markets &amp; Investor Relations</w:t>
            </w:r>
          </w:p>
        </w:tc>
        <w:tc>
          <w:tcPr>
            <w:tcW w:w="1980" w:type="dxa"/>
            <w:vAlign w:val="bottom"/>
            <w:gridSpan w:val="2"/>
          </w:tcPr>
          <w:p>
            <w:pPr>
              <w:spacing w:after="0"/>
              <w:rPr>
                <w:sz w:val="20"/>
                <w:szCs w:val="20"/>
                <w:color w:val="auto"/>
              </w:rPr>
            </w:pPr>
            <w:r>
              <w:rPr>
                <w:rFonts w:ascii="Arial" w:cs="Arial" w:eastAsia="Arial" w:hAnsi="Arial"/>
                <w:sz w:val="18"/>
                <w:szCs w:val="18"/>
                <w:color w:val="auto"/>
                <w:w w:val="87"/>
              </w:rPr>
              <w:t>Manager, Investor Relations</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301/998-8166</w:t>
            </w:r>
          </w:p>
        </w:tc>
        <w:tc>
          <w:tcPr>
            <w:tcW w:w="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301/998-8358</w:t>
            </w:r>
          </w:p>
        </w:tc>
        <w:tc>
          <w:tcPr>
            <w:tcW w:w="140" w:type="dxa"/>
            <w:vAlign w:val="bottom"/>
          </w:tcPr>
          <w:p>
            <w:pPr>
              <w:spacing w:after="0"/>
              <w:rPr>
                <w:sz w:val="18"/>
                <w:szCs w:val="18"/>
                <w:color w:val="auto"/>
              </w:rPr>
            </w:pPr>
          </w:p>
        </w:tc>
      </w:tr>
      <w:tr>
        <w:trPr>
          <w:trHeight w:val="184"/>
        </w:trPr>
        <w:tc>
          <w:tcPr>
            <w:tcW w:w="5960" w:type="dxa"/>
            <w:vAlign w:val="bottom"/>
            <w:gridSpan w:val="3"/>
          </w:tcPr>
          <w:p>
            <w:pPr>
              <w:spacing w:after="0" w:line="184" w:lineRule="exact"/>
              <w:rPr>
                <w:sz w:val="20"/>
                <w:szCs w:val="20"/>
                <w:color w:val="auto"/>
              </w:rPr>
            </w:pPr>
            <w:r>
              <w:rPr>
                <w:rFonts w:ascii="Arial" w:cs="Arial" w:eastAsia="Arial" w:hAnsi="Arial"/>
                <w:sz w:val="18"/>
                <w:szCs w:val="18"/>
                <w:i w:val="1"/>
                <w:iCs w:val="1"/>
                <w:color w:val="auto"/>
              </w:rPr>
              <w:t>ablocher@federalrealty.com</w:t>
            </w:r>
          </w:p>
        </w:tc>
        <w:tc>
          <w:tcPr>
            <w:tcW w:w="1980" w:type="dxa"/>
            <w:vAlign w:val="bottom"/>
            <w:gridSpan w:val="2"/>
          </w:tcPr>
          <w:p>
            <w:pPr>
              <w:spacing w:after="0" w:line="184" w:lineRule="exact"/>
              <w:rPr>
                <w:sz w:val="20"/>
                <w:szCs w:val="20"/>
                <w:color w:val="auto"/>
              </w:rPr>
            </w:pPr>
            <w:r>
              <w:rPr>
                <w:rFonts w:ascii="Arial" w:cs="Arial" w:eastAsia="Arial" w:hAnsi="Arial"/>
                <w:sz w:val="18"/>
                <w:szCs w:val="18"/>
                <w:i w:val="1"/>
                <w:iCs w:val="1"/>
                <w:color w:val="auto"/>
                <w:w w:val="94"/>
              </w:rPr>
              <w:t>soneill@federalrealty.com</w:t>
            </w:r>
          </w:p>
        </w:tc>
      </w:tr>
      <w:tr>
        <w:trPr>
          <w:trHeight w:val="20"/>
        </w:trPr>
        <w:tc>
          <w:tcPr>
            <w:tcW w:w="20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FEDERAL REALTY INVESTMENT TRUST ANNOUNCES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QUARTER AND YEAR-END 2004 OPERATING RESULTS</w:t>
      </w:r>
    </w:p>
    <w:p>
      <w:pPr>
        <w:spacing w:after="0" w:line="15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ROCKVILLE, Md. (February 16, 2005) – Federal Realty Investment Trust (NYSE:FRT) today reported operating results for its fourth quarter and year ended December 31, 2004.</w:t>
      </w:r>
    </w:p>
    <w:p>
      <w:pPr>
        <w:spacing w:after="0" w:line="99" w:lineRule="exact"/>
        <w:rPr>
          <w:sz w:val="20"/>
          <w:szCs w:val="20"/>
          <w:color w:val="auto"/>
        </w:rPr>
      </w:pPr>
    </w:p>
    <w:p>
      <w:pPr>
        <w:ind w:left="900" w:right="280" w:hanging="446"/>
        <w:spacing w:after="0" w:line="275"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Federal Realty reported record Funds from Operations available for common shareholders (FFO) per diluted share of $2.85 for the year, and net income per diluted share of $1.41.</w:t>
      </w:r>
    </w:p>
    <w:p>
      <w:pPr>
        <w:spacing w:after="0" w:line="25"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(FFO) per diluted share was $0.70 for fourth quarter 2004 and net income available for common shareholders per diluted share was $0.36.</w:t>
      </w:r>
    </w:p>
    <w:p>
      <w:pPr>
        <w:spacing w:after="0" w:line="194" w:lineRule="exact"/>
        <w:rPr>
          <w:rFonts w:ascii="Arial" w:cs="Arial" w:eastAsia="Arial" w:hAnsi="Arial"/>
          <w:sz w:val="16"/>
          <w:szCs w:val="16"/>
          <w:color w:val="auto"/>
        </w:rPr>
      </w:pPr>
    </w:p>
    <w:p>
      <w:pPr>
        <w:ind w:left="900" w:right="880" w:hanging="446"/>
        <w:spacing w:after="0" w:line="275"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For 2004, same-center property operating income increased 4.3% including redevelopments and expansions, and 3.4% excluding redevelopments and expansions.</w:t>
      </w:r>
    </w:p>
    <w:p>
      <w:pPr>
        <w:spacing w:after="0" w:line="25" w:lineRule="exact"/>
        <w:rPr>
          <w:rFonts w:ascii="Arial" w:cs="Arial" w:eastAsia="Arial" w:hAnsi="Arial"/>
          <w:sz w:val="18"/>
          <w:szCs w:val="18"/>
          <w:color w:val="auto"/>
        </w:rPr>
      </w:pPr>
    </w:p>
    <w:p>
      <w:pPr>
        <w:ind w:left="900" w:right="560" w:hanging="446"/>
        <w:spacing w:after="0" w:line="325"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Cash-basis contractual rent increases on lease rollovers were 18% for both the fourth quarter and the year on more than 398,000 and approximately 1.7 million square feet, respectively, of retail space for which there was a prior tenant.</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The Trust’s portfolio was 95.1% leased at December 31, 2004.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Results</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Federal Realty reported FFO of $37.1 million, or $0.70 per diluted share in fourth quarter 2004. This compares to FFO of $41.4 million, or $0.82 per diluted share reported in fourth quarter 2003, which included approximately $8.0 million ($0.16 per diluted share) of insurance recovery for lost income from the Santana Row fire.</w:t>
      </w:r>
    </w:p>
    <w:p>
      <w:pPr>
        <w:spacing w:after="0" w:line="12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For the year ended December 31, 2004, Federal Realty reported FFO of $148.7 million, or $2.85 per diluted share, including approximately $3.1 million, or $0.06 per diluted share, of Santana Row insurance proceeds. For 2003, the Trust reported FFO of $131.3 million, or $2.70 per diluted share, which included the $8.0 million ($0.16 per diluted share) of Santana Row insurance proceeds, and a $3.4 million ($0.07 per diluted share) charge relating to the redemption of the Trust’s 7.95% Series A Cumulative Redeemable Preferred Shares in accordance with generally accepted accounting principles.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274" w:right="239" w:bottom="1440" w:gutter="0" w:footer="0" w:header="0"/>
        </w:sectPr>
      </w:pPr>
    </w:p>
    <w:bookmarkStart w:id="7" w:name="page8"/>
    <w:bookmarkEnd w:id="7"/>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ANNOUNCES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FOURTH QUARTER AND YEAR-END 2004 OPERATING RESULTS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16, 2005</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Net income available for common shareholders was $19.0 million, and net income available for common shareholders per diluted share was $0.36 for the quarter ended December 31, 2004, versus $32.5 million and $0.66, respectively, for the fourth quarter of 2003. For the year ended December 31, 2004, Federal Realty reported net income available for common shareholders of $72.7 million, or $1.41 per diluted share. This compares to net income available for common shareholders of $76.0 million, or $1.59 per diluted share, for the year ended December 31, 2003.</w:t>
      </w:r>
    </w:p>
    <w:p>
      <w:pPr>
        <w:spacing w:after="0" w:line="99"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FFO is a non-GAAP supplemental earnings measure which the Trust considers meaningful in measuring its operating performance. A reconciliation of FFO available for common shareholders and FFO per diluted share to net income available for common shareholders and net income available for common shareholders per diluted share, respectively, is attached to this press release.</w:t>
      </w:r>
    </w:p>
    <w:p>
      <w:pPr>
        <w:spacing w:after="0" w:line="12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 am extremely proud of what the Trust accomplished in 2004, including our record FFO per share,” commented Donald Wood, Federal Realty’s President and Chief Executive Officer. “Record leasing activity, effective identification and execution of redevelopment opportunities, and acquisition capacity for both our own portfolio and our joint venture have created tremendous momentum coming out of 2004 that should support our growth for 2005 and beyond.”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Portfolio Results</w:t>
      </w:r>
    </w:p>
    <w:p>
      <w:pPr>
        <w:spacing w:after="0" w:line="8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a same-center basis, property operating income for fourth quarter 2004 increased 3.4% over fourth quarter 2003 both including and excluding redevelopment properties. For the year ended December 31, 2004, same-center property operating income increased 4.3% when redevelopments and expansions are included, and 3.4% when redevelopments and expansions are excluded.</w:t>
      </w:r>
    </w:p>
    <w:p>
      <w:pPr>
        <w:spacing w:after="0" w:line="127"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Overall, the Trust’s portfolio was 95.1% leased as of December 31, 2004, a 200 basis point improvement from the 93.1% leased at December 31, 2003. As of December 31, 2004, Federal Realty’s same-center portfolio was 96.8% leased, compared to 96.1% leased at year-end 2003.</w:t>
      </w:r>
    </w:p>
    <w:p>
      <w:pPr>
        <w:spacing w:after="0" w:line="7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During the fourth quarter of 2004, the Trust signed 96 leases for a total of 454,000 square feet of retail space. On a comparable space basis (</w:t>
      </w:r>
      <w:r>
        <w:rPr>
          <w:rFonts w:ascii="Arial" w:cs="Arial" w:eastAsia="Arial" w:hAnsi="Arial"/>
          <w:sz w:val="18"/>
          <w:szCs w:val="18"/>
          <w:i w:val="1"/>
          <w:iCs w:val="1"/>
          <w:color w:val="auto"/>
        </w:rPr>
        <w:t>i.e.</w:t>
      </w:r>
      <w:r>
        <w:rPr>
          <w:rFonts w:ascii="Arial" w:cs="Arial" w:eastAsia="Arial" w:hAnsi="Arial"/>
          <w:sz w:val="18"/>
          <w:szCs w:val="18"/>
          <w:color w:val="auto"/>
        </w:rPr>
        <w:t xml:space="preserve"> spaces for which there was a former tenant), the Trust leased more than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2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ANNOUNCES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FOURTH QUARTER AND YEAR-END 2004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16,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70" w:lineRule="exact"/>
        <w:rPr>
          <w:sz w:val="20"/>
          <w:szCs w:val="20"/>
          <w:color w:val="auto"/>
        </w:rPr>
      </w:pPr>
    </w:p>
    <w:p>
      <w:pPr>
        <w:ind w:right="480"/>
        <w:spacing w:after="0" w:line="298" w:lineRule="auto"/>
        <w:rPr>
          <w:sz w:val="20"/>
          <w:szCs w:val="20"/>
          <w:color w:val="auto"/>
        </w:rPr>
      </w:pPr>
      <w:r>
        <w:rPr>
          <w:rFonts w:ascii="Arial" w:cs="Arial" w:eastAsia="Arial" w:hAnsi="Arial"/>
          <w:sz w:val="16"/>
          <w:szCs w:val="16"/>
          <w:color w:val="auto"/>
        </w:rPr>
        <w:t>398,000 square feet at a weighted-average cash-basis contractual rent increase per square foot (</w:t>
      </w:r>
      <w:r>
        <w:rPr>
          <w:rFonts w:ascii="Arial" w:cs="Arial" w:eastAsia="Arial" w:hAnsi="Arial"/>
          <w:sz w:val="16"/>
          <w:szCs w:val="16"/>
          <w:i w:val="1"/>
          <w:iCs w:val="1"/>
          <w:color w:val="auto"/>
        </w:rPr>
        <w:t>i.e.</w:t>
      </w:r>
      <w:r>
        <w:rPr>
          <w:rFonts w:ascii="Arial" w:cs="Arial" w:eastAsia="Arial" w:hAnsi="Arial"/>
          <w:sz w:val="16"/>
          <w:szCs w:val="16"/>
          <w:color w:val="auto"/>
        </w:rPr>
        <w:t xml:space="preserve"> excluding the impact of straight-line rents) of 18%. The weighted-average contractual rent on this comparable space for the first year of the new leases is $22.18 per square foot compared to the weighted-average contractual rent of $18.75 per square foot for the last year of the prior leases. The weighted-average contractual rent for the last year of the prior leases is calculated by including both the minimum rent and the percentage rent actually paid during the last year of those leases.</w:t>
      </w:r>
    </w:p>
    <w:p>
      <w:pPr>
        <w:spacing w:after="0" w:line="9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During 2004, Federal Realty signed 320 leases for a record 1.7 million square feet of comparable space at a weighted-average cash-basis contractual rent increase per square foot of 18%. The weighted-average contractual rent on this comparable space for the first year of the new leases is $21.63 per square foot compared to the weighted-average contractual rent of $18.37 per square foot for the last year of the prior leases. The year 2004 was the 14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consecutive year in which the Trust had weighted-average contractual rent increases in excess of 10%.</w:t>
      </w:r>
    </w:p>
    <w:p>
      <w:pPr>
        <w:spacing w:after="0" w:line="14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On a GAAP basis (</w:t>
      </w:r>
      <w:r>
        <w:rPr>
          <w:rFonts w:ascii="Arial" w:cs="Arial" w:eastAsia="Arial" w:hAnsi="Arial"/>
          <w:sz w:val="18"/>
          <w:szCs w:val="18"/>
          <w:i w:val="1"/>
          <w:iCs w:val="1"/>
          <w:color w:val="auto"/>
        </w:rPr>
        <w:t>i.e.</w:t>
      </w:r>
      <w:r>
        <w:rPr>
          <w:rFonts w:ascii="Arial" w:cs="Arial" w:eastAsia="Arial" w:hAnsi="Arial"/>
          <w:sz w:val="18"/>
          <w:szCs w:val="18"/>
          <w:color w:val="auto"/>
        </w:rPr>
        <w:t xml:space="preserve"> including the impact of straight-line rents), weighted-average rent increases per square foot for comparable space were 29.6% for the fourth quarter of 2004 and 27.5% for the year ended December 31, 2004. As of December 31, 2004, Federal Realty’s weighted-average contractual rent for all retail and commercial space in its portfolio was $18.33 per square foot.</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Santana Row, Federal Realty’s mixed-use community in San Jose, Calif., 94% of the retail space was leased to 110 tenants, with 105 stores open and operating as of December 31, 2004. The 255 existing residential units at Santana Row were 95% leased as of December 31, 2004, and the development of the 256 Phase IV residential units remains on budget with the first unit deliveries expected in Spring 2005.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Guidance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Federal Realty today increased guidance for 2005 FFO per diluted share to a range of $3.01 to $3.04, and net income per diluted share to $1.41 to $1.44.</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Other Quarterly Activities and Recent Developments</w:t>
      </w:r>
    </w:p>
    <w:p>
      <w:pPr>
        <w:spacing w:after="0" w:line="83" w:lineRule="exact"/>
        <w:rPr>
          <w:sz w:val="20"/>
          <w:szCs w:val="20"/>
          <w:color w:val="auto"/>
        </w:rPr>
      </w:pPr>
    </w:p>
    <w:p>
      <w:pPr>
        <w:ind w:left="460" w:right="520" w:hanging="452"/>
        <w:spacing w:after="0" w:line="305"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5"/>
          <w:szCs w:val="15"/>
          <w:color w:val="auto"/>
        </w:rPr>
        <w:t>December 7, 2004 – Federal Realty announced the acquisition of a supermarket-anchored shopping center in the Boston metropolitan area for $16.5 million. The property, Atlantic Plaza in North Reading, Mass., was acquired through the Trust’s joint venture with Clarion Lion Properties Fund.</w:t>
      </w:r>
    </w:p>
    <w:p>
      <w:pPr>
        <w:ind w:left="5320"/>
        <w:spacing w:after="0"/>
        <w:rPr>
          <w:rFonts w:ascii="Arial" w:cs="Arial" w:eastAsia="Arial" w:hAnsi="Arial"/>
          <w:sz w:val="15"/>
          <w:szCs w:val="15"/>
          <w:color w:val="auto"/>
        </w:rPr>
      </w:pPr>
      <w:r>
        <w:rPr>
          <w:rFonts w:ascii="Arial" w:cs="Arial" w:eastAsia="Arial" w:hAnsi="Arial"/>
          <w:sz w:val="18"/>
          <w:szCs w:val="18"/>
          <w:color w:val="auto"/>
        </w:rPr>
        <w:t>– MORE –</w:t>
      </w:r>
    </w:p>
    <w:p>
      <w:pPr>
        <w:sectPr>
          <w:pgSz w:w="11900" w:h="16838" w:orient="portrait"/>
          <w:cols w:equalWidth="0" w:num="1">
            <w:col w:w="11380"/>
          </w:cols>
          <w:pgMar w:left="240" w:top="280"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ANNOUNCES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FOURTH QUARTER AND YEAR-END 2004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16,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70" w:lineRule="exact"/>
        <w:rPr>
          <w:sz w:val="20"/>
          <w:szCs w:val="20"/>
          <w:color w:val="auto"/>
        </w:rPr>
      </w:pPr>
    </w:p>
    <w:p>
      <w:pPr>
        <w:ind w:left="460" w:right="64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December 14, 2004 – Federal Realty announced that its Board of Trustees had declared a regular quarterly cash dividend of $0.505 per share on its common shares, resulting in an indicated annual dividend rate of $2.02 per share.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Information</w:t>
      </w:r>
    </w:p>
    <w:p>
      <w:pPr>
        <w:spacing w:after="0" w:line="8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Federal Realty’s management team will present an in-depth discussion of the Trust’s operating performance on its fourth quarter and year-end 2004 earnings conference call, which is scheduled for February 17, 2005, at 11 a.m. Eastern Standard Time. To participate, please call (888) 566-5771 five to ten minutes prior to the call’s start time and use the Passcode EARNINGS (required). The conference leader is Andrew Blocher. Federal Realty will also provide an online Web Simulcast on the Company’s Web site, www.federalrealty.com, which will remain available for 30 days following the call. A telephone recording of the call will also be available for 30 days by dialing (800) 679-9654.</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Federal Realty</w:t>
      </w:r>
    </w:p>
    <w:p>
      <w:pPr>
        <w:spacing w:after="0" w:line="8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Federal Realty Investment Trust is an equity real estate investment trust specializing in the ownership, management, development, and redevelopment of high quality retail assets. Federal Realty’s portfolio (excluding joint venture properties) contains approximately 16.9 million square feet located primarily in strategic metropolitan markets in the Northeast, Mid-Atlantic, and California. In addition, the Trust has an ownership interest in approximately 460,000 square feet of retail space through its joint venture with Clarion Lion Properties Fund in which the Trust has a 30% interest. Our operating portfolio (excluding joint venture properties) was 95.1% leased to approximately 2,200 national, regional, and local retailers as of December 31, 2004, with no single tenant accounting for more than 2.3% of rental revenue. Federal Realty has paid quarterly dividends to its shareholders continuously since its founding in 1962, and has increased its dividend rate for 37 consecutive years, the longest consecutive record in the REIT industry. Shares of Federal Realty are traded on the NYSE under the symbol FRT.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8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Current Report on Form 8-K filed on March 11, 2004, and include the following:</w:t>
      </w:r>
    </w:p>
    <w:p>
      <w:pPr>
        <w:spacing w:after="0" w:line="49"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risks that our tenants will not pay rent or that we may be unable to renew leases or re-let space at favorable rents as leases expire;</w:t>
      </w:r>
    </w:p>
    <w:p>
      <w:pPr>
        <w:spacing w:after="0" w:line="103" w:lineRule="exact"/>
        <w:rPr>
          <w:rFonts w:ascii="Arial" w:cs="Arial" w:eastAsia="Arial" w:hAnsi="Arial"/>
          <w:sz w:val="18"/>
          <w:szCs w:val="18"/>
          <w:color w:val="auto"/>
        </w:rPr>
      </w:pPr>
    </w:p>
    <w:p>
      <w:pPr>
        <w:ind w:left="900" w:right="106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risks that we may not be able to proceed with or obtain necessary approvals for any redevelopment or renovation project, and that any redevelopment or renovation project that we do pursue may not perform as anticipated;</w:t>
      </w:r>
    </w:p>
    <w:p>
      <w:pPr>
        <w:spacing w:after="0" w:line="118" w:lineRule="exact"/>
        <w:rPr>
          <w:rFonts w:ascii="Arial" w:cs="Arial" w:eastAsia="Arial" w:hAnsi="Arial"/>
          <w:sz w:val="18"/>
          <w:szCs w:val="18"/>
          <w:color w:val="auto"/>
        </w:rPr>
      </w:pPr>
    </w:p>
    <w:p>
      <w:pPr>
        <w:ind w:left="5320"/>
        <w:spacing w:after="0"/>
        <w:rPr>
          <w:rFonts w:ascii="Arial" w:cs="Arial" w:eastAsia="Arial" w:hAnsi="Arial"/>
          <w:sz w:val="18"/>
          <w:szCs w:val="18"/>
          <w:color w:val="auto"/>
        </w:rPr>
      </w:pPr>
      <w:r>
        <w:rPr>
          <w:rFonts w:ascii="Arial" w:cs="Arial" w:eastAsia="Arial" w:hAnsi="Arial"/>
          <w:sz w:val="18"/>
          <w:szCs w:val="18"/>
          <w:color w:val="auto"/>
        </w:rPr>
        <w:t>– MORE –</w:t>
      </w:r>
    </w:p>
    <w:p>
      <w:pPr>
        <w:sectPr>
          <w:pgSz w:w="11900" w:h="16838" w:orient="portrait"/>
          <w:cols w:equalWidth="0" w:num="1">
            <w:col w:w="11420"/>
          </w:cols>
          <w:pgMar w:left="240" w:top="28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ANNOUNCES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FOURTH QUARTER AND YEAR-END 2004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16,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70" w:lineRule="exact"/>
        <w:rPr>
          <w:sz w:val="20"/>
          <w:szCs w:val="20"/>
          <w:color w:val="auto"/>
        </w:rPr>
      </w:pPr>
    </w:p>
    <w:p>
      <w:pPr>
        <w:ind w:left="900" w:right="14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risks that the number of properties we acquire for our own account, and therefore the amount of capital we invest in acquisitions, may be impacted by our real estate partnership;</w:t>
      </w:r>
    </w:p>
    <w:p>
      <w:pPr>
        <w:spacing w:after="0" w:line="37"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we may have environmental risks at our properties, and, because real estate is illiquid, that we may not be able to sell properties when appropriate;</w:t>
      </w:r>
    </w:p>
    <w:p>
      <w:pPr>
        <w:spacing w:after="0" w:line="48"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risks that our growth will be limited if we cannot obtain additional capital;</w:t>
      </w:r>
    </w:p>
    <w:p>
      <w:pPr>
        <w:spacing w:after="0" w:line="103"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45"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27"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Given these uncertainties, readers are cautioned not to place undue reliance on any forward-looking statements that we make, including those in this press release. Except as required by law, we make no promise to update any of the forward-looking statements as a result of new information, future events, or otherwise. You should review the risks contained in our annual report on Form 10-K, our quarterly reports on Form 10-Q, and the risks contained in our Current Report on Form 8-K filed with the Securities and Exchange Commission on March 11, 2004.</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360"/>
          </w:cols>
          <w:pgMar w:left="240" w:top="280" w:right="299" w:bottom="1440" w:gutter="0" w:footer="0" w:header="0"/>
        </w:sectPr>
      </w:pPr>
    </w:p>
    <w:bookmarkStart w:id="11" w:name="page12"/>
    <w:bookmarkEnd w:id="11"/>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2004</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Highlights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2"/>
              </w:rPr>
              <w:t>Three months ended</w:t>
            </w:r>
          </w:p>
        </w:tc>
        <w:tc>
          <w:tcPr>
            <w:tcW w:w="100" w:type="dxa"/>
            <w:vAlign w:val="bottom"/>
          </w:tcPr>
          <w:p>
            <w:pPr>
              <w:spacing w:after="0"/>
              <w:rPr>
                <w:sz w:val="14"/>
                <w:szCs w:val="14"/>
                <w:color w:val="auto"/>
              </w:rPr>
            </w:pPr>
          </w:p>
        </w:tc>
        <w:tc>
          <w:tcPr>
            <w:tcW w:w="160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0"/>
              </w:rPr>
              <w:t>Twelve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5"/>
          </w:tcPr>
          <w:p>
            <w:pPr>
              <w:ind w:left="3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16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1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1"/>
              </w:rPr>
              <w:t>CONSOLIDATED OPERATING RESULTS</w:t>
            </w:r>
          </w:p>
        </w:tc>
        <w:tc>
          <w:tcPr>
            <w:tcW w:w="4660" w:type="dxa"/>
            <w:vAlign w:val="bottom"/>
            <w:tcBorders>
              <w:bottom w:val="single" w:sz="8" w:color="CCEEFF"/>
            </w:tcBorders>
            <w:gridSpan w:val="4"/>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7820" w:type="dxa"/>
            <w:vAlign w:val="bottom"/>
            <w:gridSpan w:val="6"/>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Rental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94,548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95,402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371,856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338,057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tcPr>
          <w:p>
            <w:pPr>
              <w:ind w:left="420"/>
              <w:spacing w:after="0"/>
              <w:rPr>
                <w:sz w:val="20"/>
                <w:szCs w:val="20"/>
                <w:color w:val="auto"/>
              </w:rPr>
            </w:pPr>
            <w:r>
              <w:rPr>
                <w:rFonts w:ascii="Arial" w:cs="Arial" w:eastAsia="Arial" w:hAnsi="Arial"/>
                <w:sz w:val="18"/>
                <w:szCs w:val="18"/>
                <w:color w:val="auto"/>
              </w:rPr>
              <w:t>Other property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4,880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3,140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17,503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Mortgage interest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100,694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99,312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394,274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352,567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Rental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23,629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91,614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tcPr>
          <w:p>
            <w:pPr>
              <w:ind w:left="420"/>
              <w:spacing w:after="0"/>
              <w:rPr>
                <w:sz w:val="20"/>
                <w:szCs w:val="20"/>
                <w:color w:val="auto"/>
              </w:rPr>
            </w:pPr>
            <w:r>
              <w:rPr>
                <w:rFonts w:ascii="Arial" w:cs="Arial" w:eastAsia="Arial" w:hAnsi="Arial"/>
                <w:sz w:val="18"/>
                <w:szCs w:val="18"/>
                <w:color w:val="auto"/>
              </w:rPr>
              <w:t>Real estate taxes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9,827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9,005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38,296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34,126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gridSpan w:val="5"/>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22,823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20,934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89,709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74,468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62,269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55,746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237,783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202,703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38,425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43,566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156,491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149,864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820" w:type="dxa"/>
            <w:vAlign w:val="bottom"/>
            <w:gridSpan w:val="6"/>
          </w:tcPr>
          <w:p>
            <w:pPr>
              <w:spacing w:after="0"/>
              <w:rPr>
                <w:sz w:val="20"/>
                <w:szCs w:val="20"/>
                <w:color w:val="auto"/>
              </w:rPr>
            </w:pPr>
            <w:r>
              <w:rPr>
                <w:rFonts w:ascii="Arial" w:cs="Arial" w:eastAsia="Arial" w:hAnsi="Arial"/>
                <w:sz w:val="18"/>
                <w:szCs w:val="18"/>
                <w:color w:val="auto"/>
              </w:rPr>
              <w:t>Other interest income</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534</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1,506</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1,274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(21,223)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(20,682)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(85,058)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(75,232)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tcPr>
          <w:p>
            <w:pPr>
              <w:spacing w:after="0"/>
              <w:rPr>
                <w:sz w:val="20"/>
                <w:szCs w:val="20"/>
                <w:color w:val="auto"/>
              </w:rPr>
            </w:pPr>
            <w:r>
              <w:rPr>
                <w:rFonts w:ascii="Arial" w:cs="Arial" w:eastAsia="Arial" w:hAnsi="Arial"/>
                <w:sz w:val="18"/>
                <w:szCs w:val="18"/>
                <w:color w:val="auto"/>
              </w:rPr>
              <w:t>Income from real estate partnership</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(4,170)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22,005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68,974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820" w:type="dxa"/>
            <w:vAlign w:val="bottom"/>
            <w:gridSpan w:val="6"/>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Operating income from discontinued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gridSpan w:val="5"/>
          </w:tcPr>
          <w:p>
            <w:pPr>
              <w:ind w:left="420"/>
              <w:spacing w:after="0"/>
              <w:rPr>
                <w:sz w:val="20"/>
                <w:szCs w:val="20"/>
                <w:color w:val="auto"/>
              </w:rPr>
            </w:pPr>
            <w:r>
              <w:rPr>
                <w:rFonts w:ascii="Arial" w:cs="Arial" w:eastAsia="Arial" w:hAnsi="Arial"/>
                <w:sz w:val="18"/>
                <w:szCs w:val="18"/>
                <w:color w:val="auto"/>
              </w:rPr>
              <w:t>Gain on sale of real estate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4,721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12,330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14,052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Results from operations of discontinued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13,395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21,918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35,400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84,156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94,497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7800" w:type="dxa"/>
            <w:vAlign w:val="bottom"/>
            <w:gridSpan w:val="5"/>
          </w:tcPr>
          <w:p>
            <w:pPr>
              <w:ind w:left="420"/>
              <w:spacing w:after="0"/>
              <w:rPr>
                <w:sz w:val="20"/>
                <w:szCs w:val="20"/>
                <w:color w:val="auto"/>
              </w:rPr>
            </w:pPr>
            <w:r>
              <w:rPr>
                <w:rFonts w:ascii="Arial" w:cs="Arial" w:eastAsia="Arial" w:hAnsi="Arial"/>
                <w:sz w:val="18"/>
                <w:szCs w:val="18"/>
                <w:color w:val="auto"/>
              </w:rPr>
              <w:t>Dividends on preferred stock</w:t>
            </w:r>
          </w:p>
        </w:tc>
        <w:tc>
          <w:tcPr>
            <w:tcW w:w="10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(2,869)</w:t>
            </w:r>
          </w:p>
        </w:tc>
        <w:tc>
          <w:tcPr>
            <w:tcW w:w="10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(2,869)</w:t>
            </w:r>
          </w:p>
        </w:tc>
        <w:tc>
          <w:tcPr>
            <w:tcW w:w="10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(11,475)</w:t>
            </w:r>
          </w:p>
        </w:tc>
        <w:tc>
          <w:tcPr>
            <w:tcW w:w="10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(15,084)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Preferred stock redemption fee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shd w:val="clear" w:color="auto" w:fill="CCEEFF"/>
          </w:tcPr>
          <w:p>
            <w:pPr>
              <w:ind w:left="1280"/>
              <w:spacing w:after="0"/>
              <w:rPr>
                <w:sz w:val="20"/>
                <w:szCs w:val="20"/>
                <w:color w:val="auto"/>
              </w:rPr>
            </w:pPr>
            <w:r>
              <w:rPr>
                <w:rFonts w:ascii="Arial" w:cs="Arial" w:eastAsia="Arial" w:hAnsi="Arial"/>
                <w:sz w:val="18"/>
                <w:szCs w:val="18"/>
                <w:color w:val="auto"/>
              </w:rPr>
              <w:t>Net income available for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32,531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72,681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900" w:type="dxa"/>
            <w:vAlign w:val="bottom"/>
            <w:tcBorders>
              <w:bottom w:val="single" w:sz="8" w:color="auto"/>
            </w:tcBorders>
            <w:gridSpan w:val="4"/>
            <w:shd w:val="clear" w:color="auto" w:fill="CCEEFF"/>
          </w:tcPr>
          <w:p>
            <w:pPr>
              <w:spacing w:after="0" w:line="176" w:lineRule="exact"/>
              <w:rPr>
                <w:sz w:val="20"/>
                <w:szCs w:val="20"/>
                <w:color w:val="auto"/>
              </w:rPr>
            </w:pPr>
            <w:r>
              <w:rPr>
                <w:rFonts w:ascii="Arial" w:cs="Arial" w:eastAsia="Arial" w:hAnsi="Arial"/>
                <w:sz w:val="18"/>
                <w:szCs w:val="18"/>
                <w:color w:val="auto"/>
                <w:w w:val="93"/>
              </w:rPr>
              <w:t>FUNDS FROM OPERATIONS AVAILABLE FOR COMMON SHAREHOLDERS</w:t>
            </w:r>
          </w:p>
        </w:tc>
        <w:tc>
          <w:tcPr>
            <w:tcW w:w="1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tcPr>
          <w:p>
            <w:pPr>
              <w:ind w:left="128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21,918</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35,400</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84,156</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94,497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shd w:val="clear" w:color="auto" w:fill="CCEEFF"/>
          </w:tcPr>
          <w:p>
            <w:pPr>
              <w:ind w:left="1280"/>
              <w:spacing w:after="0"/>
              <w:rPr>
                <w:sz w:val="20"/>
                <w:szCs w:val="20"/>
                <w:color w:val="auto"/>
              </w:rPr>
            </w:pPr>
            <w:r>
              <w:rPr>
                <w:rFonts w:ascii="Arial" w:cs="Arial" w:eastAsia="Arial" w:hAnsi="Arial"/>
                <w:sz w:val="18"/>
                <w:szCs w:val="18"/>
                <w:color w:val="auto"/>
              </w:rPr>
              <w:t>Gain on sale of real estate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(12,330)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(14,052)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(20,053)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tcPr>
          <w:p>
            <w:pPr>
              <w:ind w:left="1280"/>
              <w:spacing w:after="0"/>
              <w:rPr>
                <w:sz w:val="20"/>
                <w:szCs w:val="20"/>
                <w:color w:val="auto"/>
              </w:rPr>
            </w:pPr>
            <w:r>
              <w:rPr>
                <w:rFonts w:ascii="Arial" w:cs="Arial" w:eastAsia="Arial" w:hAnsi="Arial"/>
                <w:sz w:val="18"/>
                <w:szCs w:val="18"/>
                <w:color w:val="auto"/>
              </w:rPr>
              <w:t>Depreciation and amortization of real estate assets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20,503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19,067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81,649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68,202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shd w:val="clear" w:color="auto" w:fill="CCEEFF"/>
          </w:tcPr>
          <w:p>
            <w:pPr>
              <w:ind w:left="1280"/>
              <w:spacing w:after="0"/>
              <w:rPr>
                <w:sz w:val="20"/>
                <w:szCs w:val="20"/>
                <w:color w:val="auto"/>
              </w:rPr>
            </w:pPr>
            <w:r>
              <w:rPr>
                <w:rFonts w:ascii="Arial" w:cs="Arial" w:eastAsia="Arial" w:hAnsi="Arial"/>
                <w:sz w:val="18"/>
                <w:szCs w:val="18"/>
                <w:color w:val="auto"/>
              </w:rPr>
              <w:t>Depreciation on joint venture real estate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gridSpan w:val="5"/>
          </w:tcPr>
          <w:p>
            <w:pPr>
              <w:ind w:left="1280"/>
              <w:spacing w:after="0"/>
              <w:rPr>
                <w:sz w:val="20"/>
                <w:szCs w:val="20"/>
                <w:color w:val="auto"/>
              </w:rPr>
            </w:pPr>
            <w:r>
              <w:rPr>
                <w:rFonts w:ascii="Arial" w:cs="Arial" w:eastAsia="Arial" w:hAnsi="Arial"/>
                <w:sz w:val="18"/>
                <w:szCs w:val="18"/>
                <w:color w:val="auto"/>
              </w:rPr>
              <w:t>Amortization of initial direct costs of leases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1,981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1,628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7,151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shd w:val="clear" w:color="auto" w:fill="CCEEFF"/>
          </w:tcPr>
          <w:p>
            <w:pPr>
              <w:ind w:left="1280"/>
              <w:spacing w:after="0"/>
              <w:rPr>
                <w:sz w:val="20"/>
                <w:szCs w:val="20"/>
                <w:color w:val="auto"/>
              </w:rPr>
            </w:pPr>
            <w:r>
              <w:rPr>
                <w:rFonts w:ascii="Arial" w:cs="Arial" w:eastAsia="Arial" w:hAnsi="Arial"/>
                <w:sz w:val="18"/>
                <w:szCs w:val="18"/>
                <w:color w:val="auto"/>
              </w:rPr>
              <w:t>Funds from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43,765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159,091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148,447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tcPr>
          <w:p>
            <w:pPr>
              <w:ind w:left="1280"/>
              <w:spacing w:after="0"/>
              <w:rPr>
                <w:sz w:val="20"/>
                <w:szCs w:val="20"/>
                <w:color w:val="auto"/>
              </w:rPr>
            </w:pPr>
            <w:r>
              <w:rPr>
                <w:rFonts w:ascii="Arial" w:cs="Arial" w:eastAsia="Arial" w:hAnsi="Arial"/>
                <w:sz w:val="18"/>
                <w:szCs w:val="18"/>
                <w:color w:val="auto"/>
              </w:rPr>
              <w:t>Dividends on preferred stock</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(2,869)</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(2,869)</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(11,475)</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(15,084)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shd w:val="clear" w:color="auto" w:fill="CCEEFF"/>
          </w:tcPr>
          <w:p>
            <w:pPr>
              <w:ind w:left="1280"/>
              <w:spacing w:after="0"/>
              <w:rPr>
                <w:sz w:val="20"/>
                <w:szCs w:val="20"/>
                <w:color w:val="auto"/>
              </w:rPr>
            </w:pPr>
            <w:r>
              <w:rPr>
                <w:rFonts w:ascii="Arial" w:cs="Arial" w:eastAsia="Arial" w:hAnsi="Arial"/>
                <w:sz w:val="18"/>
                <w:szCs w:val="18"/>
                <w:color w:val="auto"/>
              </w:rPr>
              <w:t>Income attributable to operating partnership units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gridSpan w:val="5"/>
          </w:tcPr>
          <w:p>
            <w:pPr>
              <w:ind w:left="1280"/>
              <w:spacing w:after="0"/>
              <w:rPr>
                <w:sz w:val="20"/>
                <w:szCs w:val="20"/>
                <w:color w:val="auto"/>
              </w:rPr>
            </w:pPr>
            <w:r>
              <w:rPr>
                <w:rFonts w:ascii="Arial" w:cs="Arial" w:eastAsia="Arial" w:hAnsi="Arial"/>
                <w:sz w:val="18"/>
                <w:szCs w:val="18"/>
                <w:color w:val="auto"/>
              </w:rPr>
              <w:t>Preferred stock redemption fee</w:t>
            </w:r>
          </w:p>
        </w:tc>
        <w:tc>
          <w:tcPr>
            <w:tcW w:w="100" w:type="dxa"/>
            <w:vAlign w:val="bottom"/>
          </w:tcPr>
          <w:p>
            <w:pPr>
              <w:spacing w:after="0"/>
              <w:rPr>
                <w:sz w:val="19"/>
                <w:szCs w:val="19"/>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(3,423)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shd w:val="clear" w:color="auto" w:fill="CCEEFF"/>
          </w:tcPr>
          <w:p>
            <w:pPr>
              <w:ind w:left="1280"/>
              <w:spacing w:after="0"/>
              <w:rPr>
                <w:sz w:val="20"/>
                <w:szCs w:val="20"/>
                <w:color w:val="auto"/>
              </w:rPr>
            </w:pPr>
            <w:r>
              <w:rPr>
                <w:rFonts w:ascii="Arial" w:cs="Arial" w:eastAsia="Arial" w:hAnsi="Arial"/>
                <w:sz w:val="18"/>
                <w:szCs w:val="18"/>
                <w:color w:val="auto"/>
              </w:rPr>
              <w:t>Funds from operations available for common shareholders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37,124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41,397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148,671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131,257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shd w:val="clear" w:color="auto" w:fill="CCEEFF"/>
          </w:tcPr>
          <w:p>
            <w:pPr>
              <w:ind w:left="1720"/>
              <w:spacing w:after="0"/>
              <w:rPr>
                <w:sz w:val="20"/>
                <w:szCs w:val="20"/>
                <w:color w:val="auto"/>
              </w:rPr>
            </w:pPr>
            <w:r>
              <w:rPr>
                <w:rFonts w:ascii="Arial" w:cs="Arial" w:eastAsia="Arial" w:hAnsi="Arial"/>
                <w:sz w:val="18"/>
                <w:szCs w:val="18"/>
                <w:color w:val="auto"/>
              </w:rPr>
              <w:t>Weighted average number of common shares, diluted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52,814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50,447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52,257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shd w:val="clear" w:color="auto" w:fill="CCEEFF"/>
          </w:tcPr>
          <w:p>
            <w:pPr>
              <w:ind w:left="1280"/>
              <w:spacing w:after="0"/>
              <w:rPr>
                <w:sz w:val="20"/>
                <w:szCs w:val="20"/>
                <w:color w:val="auto"/>
              </w:rPr>
            </w:pPr>
            <w:r>
              <w:rPr>
                <w:rFonts w:ascii="Arial" w:cs="Arial" w:eastAsia="Arial" w:hAnsi="Arial"/>
                <w:sz w:val="18"/>
                <w:szCs w:val="18"/>
                <w:color w:val="auto"/>
              </w:rPr>
              <w:t>Funds from operations per share available for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80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NET INCOME PER COMMON SHARE, BASIC</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4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tcPr>
          <w:p>
            <w:pPr>
              <w:ind w:left="420"/>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0.27</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0.39</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1.13</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shd w:val="clear" w:color="auto" w:fill="CCEEFF"/>
          </w:tcPr>
          <w:p>
            <w:pPr>
              <w:ind w:left="1720"/>
              <w:spacing w:after="0"/>
              <w:rPr>
                <w:sz w:val="20"/>
                <w:szCs w:val="20"/>
                <w:color w:val="auto"/>
              </w:rPr>
            </w:pPr>
            <w:r>
              <w:rPr>
                <w:rFonts w:ascii="Arial" w:cs="Arial" w:eastAsia="Arial" w:hAnsi="Arial"/>
                <w:sz w:val="18"/>
                <w:szCs w:val="18"/>
                <w:color w:val="auto"/>
              </w:rPr>
              <w:t>Net income available for common shareholders, 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Weighted average number of common shares, basic</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51,870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49,066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80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NET INCOME PER COMMON SHARE, DILUTED</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4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-3903345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-3903345</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-3903345</wp:posOffset>
            </wp:positionV>
            <wp:extent cx="85344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344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-3903345</wp:posOffset>
            </wp:positionV>
            <wp:extent cx="3873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-3903345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-3903345</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-3903345</wp:posOffset>
            </wp:positionV>
            <wp:extent cx="3873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-1939290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-1939290</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-1939290</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-1939290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-1939290</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-1939290</wp:posOffset>
            </wp:positionV>
            <wp:extent cx="3873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-1939290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-1939290</wp:posOffset>
            </wp:positionV>
            <wp:extent cx="2159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-1939290</wp:posOffset>
            </wp:positionV>
            <wp:extent cx="3873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-1939290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-1939290</wp:posOffset>
            </wp:positionV>
            <wp:extent cx="2159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-1939290</wp:posOffset>
            </wp:positionV>
            <wp:extent cx="3873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-516255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-516255</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-516255</wp:posOffset>
            </wp:positionV>
            <wp:extent cx="3873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-516255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-516255</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-516255</wp:posOffset>
            </wp:positionV>
            <wp:extent cx="3873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-516255</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-516255</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-516255</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-516255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-516255</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-516255</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97" w:orient="portrait"/>
          <w:cols w:equalWidth="0" w:num="1">
            <w:col w:w="11420"/>
          </w:cols>
          <w:pgMar w:left="240" w:top="274" w:right="239" w:bottom="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23"/>
        </w:trPr>
        <w:tc>
          <w:tcPr>
            <w:tcW w:w="5660" w:type="dxa"/>
            <w:vAlign w:val="bottom"/>
          </w:tcPr>
          <w:p>
            <w:pPr>
              <w:ind w:left="440"/>
              <w:spacing w:after="0"/>
              <w:rPr>
                <w:sz w:val="20"/>
                <w:szCs w:val="20"/>
                <w:color w:val="auto"/>
              </w:rPr>
            </w:pPr>
            <w:r>
              <w:rPr>
                <w:rFonts w:ascii="Arial" w:cs="Arial" w:eastAsia="Arial" w:hAnsi="Arial"/>
                <w:sz w:val="18"/>
                <w:szCs w:val="18"/>
                <w:color w:val="auto"/>
                <w:w w:val="92"/>
              </w:rPr>
              <w:t>Income from continuing operations available for common shareholders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0.39</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1.12</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from discontinued operations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6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66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1740"/>
              <w:spacing w:after="0"/>
              <w:rPr>
                <w:sz w:val="20"/>
                <w:szCs w:val="20"/>
                <w:color w:val="auto"/>
              </w:rPr>
            </w:pPr>
            <w:r>
              <w:rPr>
                <w:rFonts w:ascii="Arial" w:cs="Arial" w:eastAsia="Arial" w:hAnsi="Arial"/>
                <w:sz w:val="18"/>
                <w:szCs w:val="18"/>
                <w:color w:val="auto"/>
                <w:w w:val="88"/>
              </w:rPr>
              <w:t>Net income available for common shareholders, diluted</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6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56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Weighted average number of common shares, diluted</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50,447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51,547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48,619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660" w:type="dxa"/>
            <w:vAlign w:val="bottom"/>
          </w:tcPr>
          <w:p>
            <w:pPr>
              <w:spacing w:after="0"/>
              <w:rPr>
                <w:sz w:val="9"/>
                <w:szCs w:val="9"/>
                <w:color w:val="auto"/>
              </w:rPr>
            </w:pPr>
          </w:p>
        </w:tc>
        <w:tc>
          <w:tcPr>
            <w:tcW w:w="2160" w:type="dxa"/>
            <w:vAlign w:val="bottom"/>
            <w:vMerge w:val="restart"/>
          </w:tcPr>
          <w:p>
            <w:pPr>
              <w:jc w:val="right"/>
              <w:ind w:right="1972"/>
              <w:spacing w:after="0"/>
              <w:rPr>
                <w:sz w:val="20"/>
                <w:szCs w:val="20"/>
                <w:color w:val="auto"/>
              </w:rPr>
            </w:pPr>
            <w:r>
              <w:rPr>
                <w:rFonts w:ascii="Arial" w:cs="Arial" w:eastAsia="Arial" w:hAnsi="Arial"/>
                <w:sz w:val="18"/>
                <w:szCs w:val="18"/>
                <w:color w:val="auto"/>
                <w:w w:val="79"/>
              </w:rPr>
              <w:t>8</w:t>
            </w: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566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-608965</wp:posOffset>
            </wp:positionV>
            <wp:extent cx="226822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268220"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2004</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Highlights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4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4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CONSOLIDATED BALANCE SHEETS</w:t>
            </w:r>
          </w:p>
        </w:tc>
        <w:tc>
          <w:tcPr>
            <w:tcW w:w="4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80" w:type="dxa"/>
            <w:vAlign w:val="bottom"/>
            <w:tcBorders>
              <w:top w:val="single" w:sz="8" w:color="auto"/>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4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5060" w:type="dxa"/>
            <w:vAlign w:val="bottom"/>
            <w:gridSpan w:val="3"/>
          </w:tcPr>
          <w:p>
            <w:pPr>
              <w:spacing w:after="0"/>
              <w:rPr>
                <w:sz w:val="20"/>
                <w:szCs w:val="20"/>
                <w:color w:val="auto"/>
              </w:rPr>
            </w:pPr>
            <w:r>
              <w:rPr>
                <w:rFonts w:ascii="Arial" w:cs="Arial" w:eastAsia="Arial" w:hAnsi="Arial"/>
                <w:sz w:val="18"/>
                <w:szCs w:val="18"/>
                <w:b w:val="1"/>
                <w:bCs w:val="1"/>
                <w:color w:val="auto"/>
              </w:rPr>
              <w:t>ASSETS</w:t>
            </w:r>
          </w:p>
        </w:tc>
        <w:tc>
          <w:tcPr>
            <w:tcW w:w="4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8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44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at cost</w:t>
            </w:r>
          </w:p>
        </w:tc>
        <w:tc>
          <w:tcPr>
            <w:tcW w:w="4500" w:type="dxa"/>
            <w:vAlign w:val="bottom"/>
            <w:gridSpan w:val="2"/>
            <w:shd w:val="clear" w:color="auto" w:fill="CCEEFF"/>
          </w:tcPr>
          <w:p>
            <w:pPr>
              <w:ind w:left="44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2,666,276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2,470,149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color w:val="auto"/>
              </w:rPr>
              <w:t>Less accumulated depreciation and amortization</w:t>
            </w:r>
          </w:p>
        </w:tc>
        <w:tc>
          <w:tcPr>
            <w:tcW w:w="4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(595,338)</w:t>
            </w: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5"/>
              </w:rPr>
              <w:t>(514,177)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4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4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 estate investments</w:t>
            </w:r>
          </w:p>
        </w:tc>
        <w:tc>
          <w:tcPr>
            <w:tcW w:w="4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2,070,938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1,955,972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06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4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30,475</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34,968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and notes receivable</w:t>
            </w:r>
          </w:p>
        </w:tc>
        <w:tc>
          <w:tcPr>
            <w:tcW w:w="4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34,849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Mortgage notes receivable</w:t>
            </w:r>
          </w:p>
        </w:tc>
        <w:tc>
          <w:tcPr>
            <w:tcW w:w="4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42,909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 real estate partnership</w:t>
            </w:r>
          </w:p>
        </w:tc>
        <w:tc>
          <w:tcPr>
            <w:tcW w:w="4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4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78,094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77,538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4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4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500" w:type="dxa"/>
            <w:vAlign w:val="bottom"/>
            <w:gridSpan w:val="2"/>
            <w:shd w:val="clear" w:color="auto" w:fill="CCEEFF"/>
          </w:tcPr>
          <w:p>
            <w:pPr>
              <w:ind w:left="44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2,266,896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2,141,185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44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4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060" w:type="dxa"/>
            <w:vAlign w:val="bottom"/>
            <w:gridSpan w:val="3"/>
          </w:tcPr>
          <w:p>
            <w:pPr>
              <w:spacing w:after="0"/>
              <w:rPr>
                <w:sz w:val="20"/>
                <w:szCs w:val="20"/>
                <w:color w:val="auto"/>
              </w:rPr>
            </w:pPr>
            <w:r>
              <w:rPr>
                <w:rFonts w:ascii="Arial" w:cs="Arial" w:eastAsia="Arial" w:hAnsi="Arial"/>
                <w:sz w:val="18"/>
                <w:szCs w:val="18"/>
                <w:color w:val="auto"/>
              </w:rPr>
              <w:t>Liabilities</w:t>
            </w:r>
          </w:p>
        </w:tc>
        <w:tc>
          <w:tcPr>
            <w:tcW w:w="4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Obligations under capital leases and mortgage notes</w:t>
            </w:r>
          </w:p>
        </w:tc>
        <w:tc>
          <w:tcPr>
            <w:tcW w:w="4500" w:type="dxa"/>
            <w:vAlign w:val="bottom"/>
            <w:gridSpan w:val="2"/>
            <w:shd w:val="clear" w:color="auto" w:fill="CCEEFF"/>
          </w:tcPr>
          <w:p>
            <w:pPr>
              <w:ind w:left="44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410,885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414,357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Notes payable</w:t>
            </w:r>
          </w:p>
        </w:tc>
        <w:tc>
          <w:tcPr>
            <w:tcW w:w="4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325,051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361,323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notes and debentures</w:t>
            </w:r>
          </w:p>
        </w:tc>
        <w:tc>
          <w:tcPr>
            <w:tcW w:w="4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568,121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532,750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4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153,351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111,799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4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4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4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1,457,408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1,420,229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060" w:type="dxa"/>
            <w:vAlign w:val="bottom"/>
            <w:gridSpan w:val="3"/>
          </w:tcPr>
          <w:p>
            <w:pPr>
              <w:spacing w:after="0"/>
              <w:rPr>
                <w:sz w:val="20"/>
                <w:szCs w:val="20"/>
                <w:color w:val="auto"/>
              </w:rPr>
            </w:pPr>
            <w:r>
              <w:rPr>
                <w:rFonts w:ascii="Arial" w:cs="Arial" w:eastAsia="Arial" w:hAnsi="Arial"/>
                <w:sz w:val="18"/>
                <w:szCs w:val="18"/>
                <w:color w:val="auto"/>
              </w:rPr>
              <w:t>Minority interests</w:t>
            </w:r>
          </w:p>
        </w:tc>
        <w:tc>
          <w:tcPr>
            <w:tcW w:w="4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18,954</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29,582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8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44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4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color w:val="auto"/>
              </w:rPr>
              <w:t>Preferred stock</w:t>
            </w:r>
          </w:p>
        </w:tc>
        <w:tc>
          <w:tcPr>
            <w:tcW w:w="4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shares and other shareholders’ equity</w:t>
            </w:r>
          </w:p>
        </w:tc>
        <w:tc>
          <w:tcPr>
            <w:tcW w:w="4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655,534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556,374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4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4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4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790,534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691,374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4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4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4500" w:type="dxa"/>
            <w:vAlign w:val="bottom"/>
            <w:gridSpan w:val="2"/>
            <w:shd w:val="clear" w:color="auto" w:fill="CCEEFF"/>
          </w:tcPr>
          <w:p>
            <w:pPr>
              <w:ind w:left="44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2,266,896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2,141,185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4420" w:type="dxa"/>
            <w:vAlign w:val="bottom"/>
            <w:vMerge w:val="restart"/>
          </w:tcPr>
          <w:p>
            <w:pPr>
              <w:ind w:left="620"/>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4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6014720</wp:posOffset>
            </wp:positionH>
            <wp:positionV relativeFrom="paragraph">
              <wp:posOffset>-2915920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-2915920</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-2915920</wp:posOffset>
            </wp:positionV>
            <wp:extent cx="3873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-2915920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-2915920</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-2915920</wp:posOffset>
            </wp:positionV>
            <wp:extent cx="3873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-325755</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-325755</wp:posOffset>
            </wp:positionV>
            <wp:extent cx="2159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-325755</wp:posOffset>
            </wp:positionV>
            <wp:extent cx="72453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5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 / Summary of Capital Expenditures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2004</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3210" w:type="dxa"/>
            <w:vAlign w:val="bottom"/>
            <w:gridSpan w:val="6"/>
          </w:tcPr>
          <w:p>
            <w:pPr>
              <w:jc w:val="right"/>
              <w:ind w:right="14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90"/>
              </w:rPr>
              <w:t>Year Ended</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81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Borders>
              <w:bottom w:val="single" w:sz="8" w:color="auto"/>
            </w:tcBorders>
            <w:gridSpan w:val="2"/>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6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20"/>
                <w:szCs w:val="20"/>
                <w:color w:val="auto"/>
              </w:rPr>
            </w:pPr>
          </w:p>
        </w:tc>
        <w:tc>
          <w:tcPr>
            <w:tcW w:w="158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w w:val="83"/>
              </w:rPr>
              <w:t>December 31,</w:t>
            </w:r>
          </w:p>
        </w:tc>
        <w:tc>
          <w:tcPr>
            <w:tcW w:w="1680" w:type="dxa"/>
            <w:vAlign w:val="bottom"/>
            <w:gridSpan w:val="3"/>
          </w:tcPr>
          <w:p>
            <w:pPr>
              <w:jc w:val="right"/>
              <w:ind w:right="752"/>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810" w:type="dxa"/>
            <w:vAlign w:val="bottom"/>
          </w:tcPr>
          <w:p>
            <w:pPr>
              <w:jc w:val="right"/>
              <w:ind w:right="255"/>
              <w:spacing w:after="0"/>
              <w:rPr>
                <w:sz w:val="20"/>
                <w:szCs w:val="20"/>
                <w:color w:val="auto"/>
              </w:rPr>
            </w:pPr>
            <w:r>
              <w:rPr>
                <w:rFonts w:ascii="Arial" w:cs="Arial" w:eastAsia="Arial" w:hAnsi="Arial"/>
                <w:sz w:val="14"/>
                <w:szCs w:val="14"/>
                <w:b w:val="1"/>
                <w:bCs w:val="1"/>
                <w:color w:val="auto"/>
              </w:rPr>
              <w:t>2004</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2003</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254"/>
              <w:spacing w:after="0"/>
              <w:rPr>
                <w:sz w:val="20"/>
                <w:szCs w:val="20"/>
                <w:color w:val="auto"/>
              </w:rPr>
            </w:pPr>
            <w:r>
              <w:rPr>
                <w:rFonts w:ascii="Arial" w:cs="Arial" w:eastAsia="Arial" w:hAnsi="Arial"/>
                <w:sz w:val="14"/>
                <w:szCs w:val="14"/>
                <w:b w:val="1"/>
                <w:bCs w:val="1"/>
                <w:color w:val="auto"/>
              </w:rPr>
              <w:t>2004</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jc w:val="right"/>
              <w:ind w:right="274"/>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81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Borders>
              <w:bottom w:val="single" w:sz="8" w:color="auto"/>
            </w:tcBorders>
            <w:gridSpan w:val="2"/>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60" w:type="dxa"/>
            <w:vAlign w:val="bottom"/>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0" w:type="dxa"/>
            <w:vAlign w:val="bottom"/>
          </w:tcPr>
          <w:p>
            <w:pPr>
              <w:spacing w:after="0"/>
              <w:rPr>
                <w:sz w:val="21"/>
                <w:szCs w:val="21"/>
                <w:color w:val="auto"/>
              </w:rPr>
            </w:pPr>
          </w:p>
        </w:tc>
        <w:tc>
          <w:tcPr>
            <w:tcW w:w="321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w w:val="89"/>
              </w:rPr>
              <w:t>(in thousands, except per share data)</w:t>
            </w:r>
          </w:p>
        </w:tc>
        <w:tc>
          <w:tcPr>
            <w:tcW w:w="120" w:type="dxa"/>
            <w:vAlign w:val="bottom"/>
          </w:tcPr>
          <w:p>
            <w:pPr>
              <w:spacing w:after="0"/>
              <w:rPr>
                <w:sz w:val="21"/>
                <w:szCs w:val="21"/>
                <w:color w:val="auto"/>
              </w:rPr>
            </w:pPr>
          </w:p>
        </w:tc>
        <w:tc>
          <w:tcPr>
            <w:tcW w:w="26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0"/>
              </w:rPr>
              <w:t>(in thousands, except per share data)</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6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Funds from Operations available for common shareholders</w:t>
            </w:r>
          </w:p>
        </w:tc>
        <w:tc>
          <w:tcPr>
            <w:tcW w:w="130" w:type="dxa"/>
            <w:vAlign w:val="bottom"/>
            <w:shd w:val="clear" w:color="auto" w:fill="CCEEFF"/>
          </w:tcPr>
          <w:p>
            <w:pPr>
              <w:spacing w:after="0"/>
              <w:rPr>
                <w:sz w:val="15"/>
                <w:szCs w:val="15"/>
                <w:color w:val="auto"/>
              </w:rPr>
            </w:pPr>
          </w:p>
        </w:tc>
        <w:tc>
          <w:tcPr>
            <w:tcW w:w="81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220" w:type="dxa"/>
            <w:vAlign w:val="bottom"/>
            <w:tcBorders>
              <w:top w:val="single" w:sz="8" w:color="auto"/>
            </w:tcBorders>
            <w:gridSpan w:val="5"/>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(FFO) (1)</w:t>
            </w:r>
          </w:p>
        </w:tc>
        <w:tc>
          <w:tcPr>
            <w:tcW w:w="840" w:type="dxa"/>
            <w:vAlign w:val="bottom"/>
            <w:tcBorders>
              <w:top w:val="single" w:sz="8" w:color="CCEEFF"/>
            </w:tcBorders>
            <w:shd w:val="clear" w:color="auto" w:fill="CCEEFF"/>
          </w:tcPr>
          <w:p>
            <w:pPr>
              <w:spacing w:after="0"/>
              <w:rPr>
                <w:sz w:val="17"/>
                <w:szCs w:val="17"/>
                <w:color w:val="auto"/>
              </w:rPr>
            </w:pPr>
          </w:p>
        </w:tc>
        <w:tc>
          <w:tcPr>
            <w:tcW w:w="130" w:type="dxa"/>
            <w:vAlign w:val="bottom"/>
            <w:tcBorders>
              <w:top w:val="single" w:sz="8" w:color="CCEEFF"/>
            </w:tcBorders>
            <w:shd w:val="clear" w:color="auto" w:fill="CCEEFF"/>
          </w:tcPr>
          <w:p>
            <w:pPr>
              <w:spacing w:after="0"/>
              <w:rPr>
                <w:sz w:val="17"/>
                <w:szCs w:val="17"/>
                <w:color w:val="auto"/>
              </w:rPr>
            </w:pPr>
          </w:p>
        </w:tc>
        <w:tc>
          <w:tcPr>
            <w:tcW w:w="81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30" w:type="dxa"/>
            <w:vAlign w:val="bottom"/>
            <w:tcBorders>
              <w:top w:val="single" w:sz="8" w:color="CCEEFF"/>
            </w:tcBorders>
            <w:shd w:val="clear" w:color="auto" w:fill="CCEEFF"/>
          </w:tcPr>
          <w:p>
            <w:pPr>
              <w:spacing w:after="0" w:line="20" w:lineRule="exact"/>
              <w:rPr>
                <w:sz w:val="1"/>
                <w:szCs w:val="1"/>
                <w:color w:val="auto"/>
              </w:rPr>
            </w:pPr>
          </w:p>
        </w:tc>
        <w:tc>
          <w:tcPr>
            <w:tcW w:w="81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5280" w:type="dxa"/>
            <w:vAlign w:val="bottom"/>
            <w:gridSpan w:val="8"/>
          </w:tcPr>
          <w:p>
            <w:pPr>
              <w:spacing w:after="0"/>
              <w:rPr>
                <w:sz w:val="20"/>
                <w:szCs w:val="20"/>
                <w:color w:val="auto"/>
              </w:rPr>
            </w:pPr>
            <w:r>
              <w:rPr>
                <w:rFonts w:ascii="Arial" w:cs="Arial" w:eastAsia="Arial" w:hAnsi="Arial"/>
                <w:sz w:val="18"/>
                <w:szCs w:val="18"/>
                <w:color w:val="auto"/>
              </w:rPr>
              <w:t>Net income</w:t>
            </w:r>
          </w:p>
        </w:tc>
        <w:tc>
          <w:tcPr>
            <w:tcW w:w="13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10" w:type="dxa"/>
            <w:vAlign w:val="bottom"/>
          </w:tcPr>
          <w:p>
            <w:pPr>
              <w:jc w:val="right"/>
              <w:spacing w:after="0"/>
              <w:rPr>
                <w:sz w:val="20"/>
                <w:szCs w:val="20"/>
                <w:color w:val="auto"/>
              </w:rPr>
            </w:pPr>
            <w:r>
              <w:rPr>
                <w:rFonts w:ascii="Arial" w:cs="Arial" w:eastAsia="Arial" w:hAnsi="Arial"/>
                <w:sz w:val="18"/>
                <w:szCs w:val="18"/>
                <w:color w:val="auto"/>
              </w:rPr>
              <w:t>21,918</w:t>
            </w:r>
          </w:p>
        </w:tc>
        <w:tc>
          <w:tcPr>
            <w:tcW w:w="7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35,400</w:t>
            </w:r>
          </w:p>
        </w:tc>
        <w:tc>
          <w:tcPr>
            <w:tcW w:w="7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84,156</w:t>
            </w:r>
          </w:p>
        </w:tc>
        <w:tc>
          <w:tcPr>
            <w:tcW w:w="740" w:type="dxa"/>
            <w:vAlign w:val="bottom"/>
          </w:tcPr>
          <w:p>
            <w:pPr>
              <w:spacing w:after="0"/>
              <w:rPr>
                <w:sz w:val="24"/>
                <w:szCs w:val="24"/>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94,497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130" w:type="dxa"/>
            <w:vAlign w:val="bottom"/>
            <w:shd w:val="clear" w:color="auto" w:fill="CCEEFF"/>
          </w:tcPr>
          <w:p>
            <w:pPr>
              <w:spacing w:after="0"/>
              <w:rPr>
                <w:sz w:val="18"/>
                <w:szCs w:val="18"/>
                <w:color w:val="auto"/>
              </w:rPr>
            </w:pPr>
          </w:p>
        </w:tc>
        <w:tc>
          <w:tcPr>
            <w:tcW w:w="153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(4,721)</w:t>
            </w:r>
          </w:p>
        </w:tc>
        <w:tc>
          <w:tcPr>
            <w:tcW w:w="10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(12,330)</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(14,052)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7"/>
          </w:tcPr>
          <w:p>
            <w:pPr>
              <w:spacing w:after="0"/>
              <w:rPr>
                <w:sz w:val="20"/>
                <w:szCs w:val="20"/>
                <w:color w:val="auto"/>
              </w:rPr>
            </w:pPr>
            <w:r>
              <w:rPr>
                <w:rFonts w:ascii="Arial" w:cs="Arial" w:eastAsia="Arial" w:hAnsi="Arial"/>
                <w:sz w:val="18"/>
                <w:szCs w:val="18"/>
                <w:color w:val="auto"/>
              </w:rPr>
              <w:t>Depreciation and amortization of real estate assets</w:t>
            </w:r>
          </w:p>
        </w:tc>
        <w:tc>
          <w:tcPr>
            <w:tcW w:w="130" w:type="dxa"/>
            <w:vAlign w:val="bottom"/>
          </w:tcPr>
          <w:p>
            <w:pPr>
              <w:spacing w:after="0"/>
              <w:rPr>
                <w:sz w:val="18"/>
                <w:szCs w:val="18"/>
                <w:color w:val="auto"/>
              </w:rPr>
            </w:pPr>
          </w:p>
        </w:tc>
        <w:tc>
          <w:tcPr>
            <w:tcW w:w="810" w:type="dxa"/>
            <w:vAlign w:val="bottom"/>
          </w:tcPr>
          <w:p>
            <w:pPr>
              <w:jc w:val="right"/>
              <w:spacing w:after="0"/>
              <w:rPr>
                <w:sz w:val="20"/>
                <w:szCs w:val="20"/>
                <w:color w:val="auto"/>
              </w:rPr>
            </w:pPr>
            <w:r>
              <w:rPr>
                <w:rFonts w:ascii="Arial" w:cs="Arial" w:eastAsia="Arial" w:hAnsi="Arial"/>
                <w:sz w:val="18"/>
                <w:szCs w:val="18"/>
                <w:color w:val="auto"/>
              </w:rPr>
              <w:t>20,503</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19,067</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81,649</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68,202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Depreciation of joint venture real estate assets</w:t>
            </w:r>
          </w:p>
        </w:tc>
        <w:tc>
          <w:tcPr>
            <w:tcW w:w="13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gridSpan w:val="7"/>
          </w:tcPr>
          <w:p>
            <w:pPr>
              <w:spacing w:after="0"/>
              <w:rPr>
                <w:sz w:val="20"/>
                <w:szCs w:val="20"/>
                <w:color w:val="auto"/>
              </w:rPr>
            </w:pPr>
            <w:r>
              <w:rPr>
                <w:rFonts w:ascii="Arial" w:cs="Arial" w:eastAsia="Arial" w:hAnsi="Arial"/>
                <w:sz w:val="18"/>
                <w:szCs w:val="18"/>
                <w:color w:val="auto"/>
              </w:rPr>
              <w:t>Amortization of initial direct costs of leases</w:t>
            </w:r>
          </w:p>
        </w:tc>
        <w:tc>
          <w:tcPr>
            <w:tcW w:w="130" w:type="dxa"/>
            <w:vAlign w:val="bottom"/>
          </w:tcPr>
          <w:p>
            <w:pPr>
              <w:spacing w:after="0"/>
              <w:rPr>
                <w:sz w:val="19"/>
                <w:szCs w:val="19"/>
                <w:color w:val="auto"/>
              </w:rPr>
            </w:pPr>
          </w:p>
        </w:tc>
        <w:tc>
          <w:tcPr>
            <w:tcW w:w="810" w:type="dxa"/>
            <w:vAlign w:val="bottom"/>
          </w:tcPr>
          <w:p>
            <w:pPr>
              <w:jc w:val="right"/>
              <w:spacing w:after="0"/>
              <w:rPr>
                <w:sz w:val="20"/>
                <w:szCs w:val="20"/>
                <w:color w:val="auto"/>
              </w:rPr>
            </w:pPr>
            <w:r>
              <w:rPr>
                <w:rFonts w:ascii="Arial" w:cs="Arial" w:eastAsia="Arial" w:hAnsi="Arial"/>
                <w:sz w:val="18"/>
                <w:szCs w:val="18"/>
                <w:color w:val="auto"/>
              </w:rPr>
              <w:t>1,981</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1,628</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7,151</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5,801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81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0" w:type="dxa"/>
            <w:vAlign w:val="bottom"/>
          </w:tcPr>
          <w:p>
            <w:pPr>
              <w:spacing w:after="0"/>
              <w:rPr>
                <w:sz w:val="8"/>
                <w:szCs w:val="8"/>
                <w:color w:val="auto"/>
              </w:rPr>
            </w:pPr>
          </w:p>
        </w:tc>
        <w:tc>
          <w:tcPr>
            <w:tcW w:w="81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Funds from operations</w:t>
            </w:r>
          </w:p>
        </w:tc>
        <w:tc>
          <w:tcPr>
            <w:tcW w:w="13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39,818</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43,765</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159,091</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148,447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7"/>
          </w:tcPr>
          <w:p>
            <w:pPr>
              <w:spacing w:after="0"/>
              <w:rPr>
                <w:sz w:val="20"/>
                <w:szCs w:val="20"/>
                <w:color w:val="auto"/>
              </w:rPr>
            </w:pPr>
            <w:r>
              <w:rPr>
                <w:rFonts w:ascii="Arial" w:cs="Arial" w:eastAsia="Arial" w:hAnsi="Arial"/>
                <w:sz w:val="18"/>
                <w:szCs w:val="18"/>
                <w:color w:val="auto"/>
              </w:rPr>
              <w:t>Dividends on preferred stock</w:t>
            </w:r>
          </w:p>
        </w:tc>
        <w:tc>
          <w:tcPr>
            <w:tcW w:w="130" w:type="dxa"/>
            <w:vAlign w:val="bottom"/>
          </w:tcPr>
          <w:p>
            <w:pPr>
              <w:spacing w:after="0"/>
              <w:rPr>
                <w:sz w:val="18"/>
                <w:szCs w:val="18"/>
                <w:color w:val="auto"/>
              </w:rPr>
            </w:pPr>
          </w:p>
        </w:tc>
        <w:tc>
          <w:tcPr>
            <w:tcW w:w="1530" w:type="dxa"/>
            <w:vAlign w:val="bottom"/>
            <w:gridSpan w:val="2"/>
          </w:tcPr>
          <w:p>
            <w:pPr>
              <w:jc w:val="right"/>
              <w:ind w:right="660"/>
              <w:spacing w:after="0"/>
              <w:rPr>
                <w:sz w:val="20"/>
                <w:szCs w:val="20"/>
                <w:color w:val="auto"/>
              </w:rPr>
            </w:pPr>
            <w:r>
              <w:rPr>
                <w:rFonts w:ascii="Arial" w:cs="Arial" w:eastAsia="Arial" w:hAnsi="Arial"/>
                <w:sz w:val="18"/>
                <w:szCs w:val="18"/>
                <w:color w:val="auto"/>
              </w:rPr>
              <w:t>(2,869)</w:t>
            </w:r>
          </w:p>
        </w:tc>
        <w:tc>
          <w:tcPr>
            <w:tcW w:w="100" w:type="dxa"/>
            <w:vAlign w:val="bottom"/>
          </w:tcPr>
          <w:p>
            <w:pPr>
              <w:spacing w:after="0"/>
              <w:rPr>
                <w:sz w:val="18"/>
                <w:szCs w:val="18"/>
                <w:color w:val="auto"/>
              </w:rPr>
            </w:pPr>
          </w:p>
        </w:tc>
        <w:tc>
          <w:tcPr>
            <w:tcW w:w="1580" w:type="dxa"/>
            <w:vAlign w:val="bottom"/>
            <w:gridSpan w:val="3"/>
          </w:tcPr>
          <w:p>
            <w:pPr>
              <w:jc w:val="right"/>
              <w:ind w:right="640"/>
              <w:spacing w:after="0"/>
              <w:rPr>
                <w:sz w:val="20"/>
                <w:szCs w:val="20"/>
                <w:color w:val="auto"/>
              </w:rPr>
            </w:pPr>
            <w:r>
              <w:rPr>
                <w:rFonts w:ascii="Arial" w:cs="Arial" w:eastAsia="Arial" w:hAnsi="Arial"/>
                <w:sz w:val="18"/>
                <w:szCs w:val="18"/>
                <w:color w:val="auto"/>
              </w:rPr>
              <w:t>(2,869)</w:t>
            </w:r>
          </w:p>
        </w:tc>
        <w:tc>
          <w:tcPr>
            <w:tcW w:w="120" w:type="dxa"/>
            <w:vAlign w:val="bottom"/>
          </w:tcPr>
          <w:p>
            <w:pPr>
              <w:spacing w:after="0"/>
              <w:rPr>
                <w:sz w:val="18"/>
                <w:szCs w:val="18"/>
                <w:color w:val="auto"/>
              </w:rPr>
            </w:pPr>
          </w:p>
        </w:tc>
        <w:tc>
          <w:tcPr>
            <w:tcW w:w="1560" w:type="dxa"/>
            <w:vAlign w:val="bottom"/>
            <w:gridSpan w:val="2"/>
          </w:tcPr>
          <w:p>
            <w:pPr>
              <w:jc w:val="right"/>
              <w:ind w:right="612"/>
              <w:spacing w:after="0"/>
              <w:rPr>
                <w:sz w:val="20"/>
                <w:szCs w:val="20"/>
                <w:color w:val="auto"/>
              </w:rPr>
            </w:pPr>
            <w:r>
              <w:rPr>
                <w:rFonts w:ascii="Arial" w:cs="Arial" w:eastAsia="Arial" w:hAnsi="Arial"/>
                <w:sz w:val="18"/>
                <w:szCs w:val="18"/>
                <w:color w:val="auto"/>
              </w:rPr>
              <w:t>(11,475)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Income attributable to operating partnership units</w:t>
            </w:r>
          </w:p>
        </w:tc>
        <w:tc>
          <w:tcPr>
            <w:tcW w:w="13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60" w:type="dxa"/>
            <w:vAlign w:val="bottom"/>
            <w:gridSpan w:val="6"/>
          </w:tcPr>
          <w:p>
            <w:pPr>
              <w:ind w:left="220"/>
              <w:spacing w:after="0"/>
              <w:rPr>
                <w:sz w:val="20"/>
                <w:szCs w:val="20"/>
                <w:color w:val="auto"/>
              </w:rPr>
            </w:pPr>
            <w:r>
              <w:rPr>
                <w:rFonts w:ascii="Arial" w:cs="Arial" w:eastAsia="Arial" w:hAnsi="Arial"/>
                <w:sz w:val="18"/>
                <w:szCs w:val="18"/>
                <w:color w:val="auto"/>
              </w:rPr>
              <w:t>Preferred stock redemption fee</w:t>
            </w:r>
          </w:p>
        </w:tc>
        <w:tc>
          <w:tcPr>
            <w:tcW w:w="130" w:type="dxa"/>
            <w:vAlign w:val="bottom"/>
          </w:tcPr>
          <w:p>
            <w:pPr>
              <w:spacing w:after="0"/>
              <w:rPr>
                <w:sz w:val="19"/>
                <w:szCs w:val="19"/>
                <w:color w:val="auto"/>
              </w:rPr>
            </w:pPr>
          </w:p>
        </w:tc>
        <w:tc>
          <w:tcPr>
            <w:tcW w:w="153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4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60" w:type="dxa"/>
            <w:vAlign w:val="bottom"/>
            <w:gridSpan w:val="2"/>
          </w:tcPr>
          <w:p>
            <w:pPr>
              <w:jc w:val="right"/>
              <w:ind w:right="77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(3,423)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81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0" w:type="dxa"/>
            <w:vAlign w:val="bottom"/>
          </w:tcPr>
          <w:p>
            <w:pPr>
              <w:spacing w:after="0"/>
              <w:rPr>
                <w:sz w:val="8"/>
                <w:szCs w:val="8"/>
                <w:color w:val="auto"/>
              </w:rPr>
            </w:pPr>
          </w:p>
        </w:tc>
        <w:tc>
          <w:tcPr>
            <w:tcW w:w="81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w w:val="98"/>
              </w:rPr>
              <w:t>Funds from operations available for common shareholders (2)</w:t>
            </w:r>
          </w:p>
        </w:tc>
        <w:tc>
          <w:tcPr>
            <w:tcW w:w="13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37,124</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41,397</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148,671</w:t>
            </w:r>
          </w:p>
        </w:tc>
        <w:tc>
          <w:tcPr>
            <w:tcW w:w="74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131,257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81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0" w:type="dxa"/>
            <w:vAlign w:val="bottom"/>
          </w:tcPr>
          <w:p>
            <w:pPr>
              <w:spacing w:after="0"/>
              <w:rPr>
                <w:sz w:val="9"/>
                <w:szCs w:val="9"/>
                <w:color w:val="auto"/>
              </w:rPr>
            </w:pPr>
          </w:p>
        </w:tc>
        <w:tc>
          <w:tcPr>
            <w:tcW w:w="81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60" w:type="dxa"/>
            <w:vAlign w:val="bottom"/>
            <w:gridSpan w:val="6"/>
            <w:shd w:val="clear" w:color="auto" w:fill="CCEEFF"/>
          </w:tcPr>
          <w:p>
            <w:pPr>
              <w:ind w:left="220"/>
              <w:spacing w:after="0"/>
              <w:rPr>
                <w:sz w:val="20"/>
                <w:szCs w:val="20"/>
                <w:color w:val="auto"/>
              </w:rPr>
            </w:pPr>
            <w:r>
              <w:rPr>
                <w:rFonts w:ascii="Arial" w:cs="Arial" w:eastAsia="Arial" w:hAnsi="Arial"/>
                <w:sz w:val="18"/>
                <w:szCs w:val="18"/>
                <w:color w:val="auto"/>
              </w:rPr>
              <w:t>Weighted average number of common shares, diluted</w:t>
            </w:r>
          </w:p>
        </w:tc>
        <w:tc>
          <w:tcPr>
            <w:tcW w:w="13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52,814</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50,447</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52,257</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48,619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5280" w:type="dxa"/>
            <w:vAlign w:val="bottom"/>
            <w:gridSpan w:val="8"/>
          </w:tcPr>
          <w:p>
            <w:pPr>
              <w:spacing w:after="0"/>
              <w:rPr>
                <w:sz w:val="20"/>
                <w:szCs w:val="20"/>
                <w:color w:val="auto"/>
              </w:rPr>
            </w:pPr>
            <w:r>
              <w:rPr>
                <w:rFonts w:ascii="Arial" w:cs="Arial" w:eastAsia="Arial" w:hAnsi="Arial"/>
                <w:sz w:val="18"/>
                <w:szCs w:val="18"/>
                <w:b w:val="1"/>
                <w:bCs w:val="1"/>
                <w:color w:val="auto"/>
              </w:rPr>
              <w:t>Funds from operations per share available for common</w:t>
            </w:r>
          </w:p>
        </w:tc>
        <w:tc>
          <w:tcPr>
            <w:tcW w:w="130" w:type="dxa"/>
            <w:vAlign w:val="bottom"/>
          </w:tcPr>
          <w:p>
            <w:pPr>
              <w:spacing w:after="0"/>
              <w:rPr>
                <w:sz w:val="24"/>
                <w:szCs w:val="24"/>
                <w:color w:val="auto"/>
              </w:rPr>
            </w:pPr>
          </w:p>
        </w:tc>
        <w:tc>
          <w:tcPr>
            <w:tcW w:w="81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60" w:type="dxa"/>
            <w:vAlign w:val="bottom"/>
            <w:gridSpan w:val="6"/>
          </w:tcPr>
          <w:p>
            <w:pPr>
              <w:spacing w:after="0"/>
              <w:rPr>
                <w:sz w:val="20"/>
                <w:szCs w:val="20"/>
                <w:color w:val="auto"/>
              </w:rPr>
            </w:pPr>
            <w:r>
              <w:rPr>
                <w:rFonts w:ascii="Arial" w:cs="Arial" w:eastAsia="Arial" w:hAnsi="Arial"/>
                <w:sz w:val="18"/>
                <w:szCs w:val="18"/>
                <w:b w:val="1"/>
                <w:bCs w:val="1"/>
                <w:color w:val="auto"/>
              </w:rPr>
              <w:t>shareholders (2)</w:t>
            </w:r>
          </w:p>
        </w:tc>
        <w:tc>
          <w:tcPr>
            <w:tcW w:w="13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10" w:type="dxa"/>
            <w:vAlign w:val="bottom"/>
          </w:tcPr>
          <w:p>
            <w:pPr>
              <w:jc w:val="right"/>
              <w:spacing w:after="0"/>
              <w:rPr>
                <w:sz w:val="20"/>
                <w:szCs w:val="20"/>
                <w:color w:val="auto"/>
              </w:rPr>
            </w:pPr>
            <w:r>
              <w:rPr>
                <w:rFonts w:ascii="Arial" w:cs="Arial" w:eastAsia="Arial" w:hAnsi="Arial"/>
                <w:sz w:val="18"/>
                <w:szCs w:val="18"/>
                <w:color w:val="auto"/>
              </w:rPr>
              <w:t>0.70</w:t>
            </w:r>
          </w:p>
        </w:tc>
        <w:tc>
          <w:tcPr>
            <w:tcW w:w="7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0.82</w:t>
            </w:r>
          </w:p>
        </w:tc>
        <w:tc>
          <w:tcPr>
            <w:tcW w:w="7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2.85</w:t>
            </w:r>
          </w:p>
        </w:tc>
        <w:tc>
          <w:tcPr>
            <w:tcW w:w="740" w:type="dxa"/>
            <w:vAlign w:val="bottom"/>
          </w:tcPr>
          <w:p>
            <w:pPr>
              <w:spacing w:after="0"/>
              <w:rPr>
                <w:sz w:val="19"/>
                <w:szCs w:val="19"/>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81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0" w:type="dxa"/>
            <w:vAlign w:val="bottom"/>
          </w:tcPr>
          <w:p>
            <w:pPr>
              <w:spacing w:after="0"/>
              <w:rPr>
                <w:sz w:val="9"/>
                <w:szCs w:val="9"/>
                <w:color w:val="auto"/>
              </w:rPr>
            </w:pPr>
          </w:p>
        </w:tc>
        <w:tc>
          <w:tcPr>
            <w:tcW w:w="81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26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Summary of Capital Expenditures</w:t>
            </w:r>
          </w:p>
        </w:tc>
        <w:tc>
          <w:tcPr>
            <w:tcW w:w="130" w:type="dxa"/>
            <w:vAlign w:val="bottom"/>
            <w:shd w:val="clear" w:color="auto" w:fill="CCEEFF"/>
          </w:tcPr>
          <w:p>
            <w:pPr>
              <w:spacing w:after="0"/>
              <w:rPr>
                <w:sz w:val="15"/>
                <w:szCs w:val="15"/>
                <w:color w:val="auto"/>
              </w:rPr>
            </w:pPr>
          </w:p>
        </w:tc>
        <w:tc>
          <w:tcPr>
            <w:tcW w:w="81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30" w:type="dxa"/>
            <w:vAlign w:val="bottom"/>
            <w:tcBorders>
              <w:top w:val="single" w:sz="8" w:color="CCEEFF"/>
            </w:tcBorders>
            <w:shd w:val="clear" w:color="auto" w:fill="CCEEFF"/>
          </w:tcPr>
          <w:p>
            <w:pPr>
              <w:spacing w:after="0" w:line="20" w:lineRule="exact"/>
              <w:rPr>
                <w:sz w:val="1"/>
                <w:szCs w:val="1"/>
                <w:color w:val="auto"/>
              </w:rPr>
            </w:pPr>
          </w:p>
        </w:tc>
        <w:tc>
          <w:tcPr>
            <w:tcW w:w="81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5280" w:type="dxa"/>
            <w:vAlign w:val="bottom"/>
            <w:gridSpan w:val="8"/>
          </w:tcPr>
          <w:p>
            <w:pPr>
              <w:spacing w:after="0"/>
              <w:rPr>
                <w:sz w:val="20"/>
                <w:szCs w:val="20"/>
                <w:color w:val="auto"/>
              </w:rPr>
            </w:pPr>
            <w:r>
              <w:rPr>
                <w:rFonts w:ascii="Arial" w:cs="Arial" w:eastAsia="Arial" w:hAnsi="Arial"/>
                <w:sz w:val="18"/>
                <w:szCs w:val="18"/>
                <w:color w:val="auto"/>
              </w:rPr>
              <w:t>Non-maintenance capital expenditures</w:t>
            </w:r>
          </w:p>
        </w:tc>
        <w:tc>
          <w:tcPr>
            <w:tcW w:w="130" w:type="dxa"/>
            <w:vAlign w:val="bottom"/>
          </w:tcPr>
          <w:p>
            <w:pPr>
              <w:spacing w:after="0"/>
              <w:rPr>
                <w:sz w:val="24"/>
                <w:szCs w:val="24"/>
                <w:color w:val="auto"/>
              </w:rPr>
            </w:pPr>
          </w:p>
        </w:tc>
        <w:tc>
          <w:tcPr>
            <w:tcW w:w="81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60" w:type="dxa"/>
            <w:vAlign w:val="bottom"/>
            <w:gridSpan w:val="6"/>
            <w:shd w:val="clear" w:color="auto" w:fill="CCEEFF"/>
          </w:tcPr>
          <w:p>
            <w:pPr>
              <w:ind w:left="220"/>
              <w:spacing w:after="0"/>
              <w:rPr>
                <w:sz w:val="20"/>
                <w:szCs w:val="20"/>
                <w:color w:val="auto"/>
              </w:rPr>
            </w:pPr>
            <w:r>
              <w:rPr>
                <w:rFonts w:ascii="Arial" w:cs="Arial" w:eastAsia="Arial" w:hAnsi="Arial"/>
                <w:sz w:val="18"/>
                <w:szCs w:val="18"/>
                <w:color w:val="auto"/>
              </w:rPr>
              <w:t>Acquisition related (3)</w:t>
            </w:r>
          </w:p>
        </w:tc>
        <w:tc>
          <w:tcPr>
            <w:tcW w:w="1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13,727</w:t>
            </w:r>
          </w:p>
        </w:tc>
        <w:tc>
          <w:tcPr>
            <w:tcW w:w="74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60" w:type="dxa"/>
            <w:vAlign w:val="bottom"/>
            <w:gridSpan w:val="6"/>
          </w:tcPr>
          <w:p>
            <w:pPr>
              <w:ind w:left="220"/>
              <w:spacing w:after="0"/>
              <w:rPr>
                <w:sz w:val="20"/>
                <w:szCs w:val="20"/>
                <w:color w:val="auto"/>
              </w:rPr>
            </w:pPr>
            <w:r>
              <w:rPr>
                <w:rFonts w:ascii="Arial" w:cs="Arial" w:eastAsia="Arial" w:hAnsi="Arial"/>
                <w:sz w:val="18"/>
                <w:szCs w:val="18"/>
                <w:color w:val="auto"/>
              </w:rPr>
              <w:t>Capital expenditures related to new square footage</w:t>
            </w:r>
          </w:p>
        </w:tc>
        <w:tc>
          <w:tcPr>
            <w:tcW w:w="130" w:type="dxa"/>
            <w:vAlign w:val="bottom"/>
          </w:tcPr>
          <w:p>
            <w:pPr>
              <w:spacing w:after="0"/>
              <w:rPr>
                <w:sz w:val="18"/>
                <w:szCs w:val="18"/>
                <w:color w:val="auto"/>
              </w:rPr>
            </w:pPr>
          </w:p>
        </w:tc>
        <w:tc>
          <w:tcPr>
            <w:tcW w:w="810" w:type="dxa"/>
            <w:vAlign w:val="bottom"/>
          </w:tcPr>
          <w:p>
            <w:pPr>
              <w:jc w:val="right"/>
              <w:spacing w:after="0"/>
              <w:rPr>
                <w:sz w:val="20"/>
                <w:szCs w:val="20"/>
                <w:color w:val="auto"/>
              </w:rPr>
            </w:pPr>
            <w:r>
              <w:rPr>
                <w:rFonts w:ascii="Arial" w:cs="Arial" w:eastAsia="Arial" w:hAnsi="Arial"/>
                <w:sz w:val="18"/>
                <w:szCs w:val="18"/>
                <w:color w:val="auto"/>
              </w:rPr>
              <w:t>467</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330</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3,818</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60" w:type="dxa"/>
            <w:vAlign w:val="bottom"/>
            <w:gridSpan w:val="6"/>
            <w:shd w:val="clear" w:color="auto" w:fill="CCEEFF"/>
          </w:tcPr>
          <w:p>
            <w:pPr>
              <w:ind w:left="220"/>
              <w:spacing w:after="0"/>
              <w:rPr>
                <w:sz w:val="20"/>
                <w:szCs w:val="20"/>
                <w:color w:val="auto"/>
              </w:rPr>
            </w:pPr>
            <w:r>
              <w:rPr>
                <w:rFonts w:ascii="Arial" w:cs="Arial" w:eastAsia="Arial" w:hAnsi="Arial"/>
                <w:sz w:val="18"/>
                <w:szCs w:val="18"/>
                <w:color w:val="auto"/>
              </w:rPr>
              <w:t>Development, redevelopment and expansions</w:t>
            </w:r>
          </w:p>
        </w:tc>
        <w:tc>
          <w:tcPr>
            <w:tcW w:w="13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10,838</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18,820</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54,877</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134,329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60" w:type="dxa"/>
            <w:vAlign w:val="bottom"/>
            <w:gridSpan w:val="6"/>
          </w:tcPr>
          <w:p>
            <w:pPr>
              <w:ind w:left="220"/>
              <w:spacing w:after="0"/>
              <w:rPr>
                <w:sz w:val="20"/>
                <w:szCs w:val="20"/>
                <w:color w:val="auto"/>
              </w:rPr>
            </w:pPr>
            <w:r>
              <w:rPr>
                <w:rFonts w:ascii="Arial" w:cs="Arial" w:eastAsia="Arial" w:hAnsi="Arial"/>
                <w:sz w:val="18"/>
                <w:szCs w:val="18"/>
                <w:color w:val="auto"/>
              </w:rPr>
              <w:t>Tenant improvements</w:t>
            </w:r>
          </w:p>
        </w:tc>
        <w:tc>
          <w:tcPr>
            <w:tcW w:w="130" w:type="dxa"/>
            <w:vAlign w:val="bottom"/>
          </w:tcPr>
          <w:p>
            <w:pPr>
              <w:spacing w:after="0"/>
              <w:rPr>
                <w:sz w:val="19"/>
                <w:szCs w:val="19"/>
                <w:color w:val="auto"/>
              </w:rPr>
            </w:pPr>
          </w:p>
        </w:tc>
        <w:tc>
          <w:tcPr>
            <w:tcW w:w="810" w:type="dxa"/>
            <w:vAlign w:val="bottom"/>
          </w:tcPr>
          <w:p>
            <w:pPr>
              <w:jc w:val="right"/>
              <w:spacing w:after="0"/>
              <w:rPr>
                <w:sz w:val="20"/>
                <w:szCs w:val="20"/>
                <w:color w:val="auto"/>
              </w:rPr>
            </w:pPr>
            <w:r>
              <w:rPr>
                <w:rFonts w:ascii="Arial" w:cs="Arial" w:eastAsia="Arial" w:hAnsi="Arial"/>
                <w:sz w:val="18"/>
                <w:szCs w:val="18"/>
                <w:color w:val="auto"/>
              </w:rPr>
              <w:t>5,487</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4,554</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26,218</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15,411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81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0" w:type="dxa"/>
            <w:vAlign w:val="bottom"/>
          </w:tcPr>
          <w:p>
            <w:pPr>
              <w:spacing w:after="0"/>
              <w:rPr>
                <w:sz w:val="8"/>
                <w:szCs w:val="8"/>
                <w:color w:val="auto"/>
              </w:rPr>
            </w:pPr>
          </w:p>
        </w:tc>
        <w:tc>
          <w:tcPr>
            <w:tcW w:w="81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Total non-maintenance capital expenditures</w:t>
            </w:r>
          </w:p>
        </w:tc>
        <w:tc>
          <w:tcPr>
            <w:tcW w:w="13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18,673</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26,016</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98,640</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152,508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gridSpan w:val="7"/>
          </w:tcPr>
          <w:p>
            <w:pPr>
              <w:spacing w:after="0"/>
              <w:rPr>
                <w:sz w:val="20"/>
                <w:szCs w:val="20"/>
                <w:color w:val="auto"/>
              </w:rPr>
            </w:pPr>
            <w:r>
              <w:rPr>
                <w:rFonts w:ascii="Arial" w:cs="Arial" w:eastAsia="Arial" w:hAnsi="Arial"/>
                <w:sz w:val="18"/>
                <w:szCs w:val="18"/>
                <w:color w:val="auto"/>
              </w:rPr>
              <w:t>Maintenance capital expenditures</w:t>
            </w:r>
          </w:p>
        </w:tc>
        <w:tc>
          <w:tcPr>
            <w:tcW w:w="130" w:type="dxa"/>
            <w:vAlign w:val="bottom"/>
          </w:tcPr>
          <w:p>
            <w:pPr>
              <w:spacing w:after="0"/>
              <w:rPr>
                <w:sz w:val="19"/>
                <w:szCs w:val="19"/>
                <w:color w:val="auto"/>
              </w:rPr>
            </w:pPr>
          </w:p>
        </w:tc>
        <w:tc>
          <w:tcPr>
            <w:tcW w:w="810" w:type="dxa"/>
            <w:vAlign w:val="bottom"/>
          </w:tcPr>
          <w:p>
            <w:pPr>
              <w:jc w:val="right"/>
              <w:spacing w:after="0"/>
              <w:rPr>
                <w:sz w:val="20"/>
                <w:szCs w:val="20"/>
                <w:color w:val="auto"/>
              </w:rPr>
            </w:pPr>
            <w:r>
              <w:rPr>
                <w:rFonts w:ascii="Arial" w:cs="Arial" w:eastAsia="Arial" w:hAnsi="Arial"/>
                <w:sz w:val="18"/>
                <w:szCs w:val="18"/>
                <w:color w:val="auto"/>
              </w:rPr>
              <w:t>4,168</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1,969</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10,643</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5,294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81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0" w:type="dxa"/>
            <w:vAlign w:val="bottom"/>
          </w:tcPr>
          <w:p>
            <w:pPr>
              <w:spacing w:after="0"/>
              <w:rPr>
                <w:sz w:val="8"/>
                <w:szCs w:val="8"/>
                <w:color w:val="auto"/>
              </w:rPr>
            </w:pPr>
          </w:p>
        </w:tc>
        <w:tc>
          <w:tcPr>
            <w:tcW w:w="81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Total capital expenditures</w:t>
            </w:r>
          </w:p>
        </w:tc>
        <w:tc>
          <w:tcPr>
            <w:tcW w:w="13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22,841</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27,985</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109,283</w:t>
            </w:r>
          </w:p>
        </w:tc>
        <w:tc>
          <w:tcPr>
            <w:tcW w:w="74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157,802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81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0" w:type="dxa"/>
            <w:vAlign w:val="bottom"/>
          </w:tcPr>
          <w:p>
            <w:pPr>
              <w:spacing w:after="0"/>
              <w:rPr>
                <w:sz w:val="9"/>
                <w:szCs w:val="9"/>
                <w:color w:val="auto"/>
              </w:rPr>
            </w:pPr>
          </w:p>
        </w:tc>
        <w:tc>
          <w:tcPr>
            <w:tcW w:w="81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160" w:type="dxa"/>
            <w:vAlign w:val="bottom"/>
            <w:tcBorders>
              <w:bottom w:val="single" w:sz="8" w:color="auto"/>
            </w:tcBorders>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6"/>
              </w:rPr>
              <w:t>Dividends and Payout Ratios</w:t>
            </w:r>
          </w:p>
        </w:tc>
        <w:tc>
          <w:tcPr>
            <w:tcW w:w="3100" w:type="dxa"/>
            <w:vAlign w:val="bottom"/>
            <w:tcBorders>
              <w:bottom w:val="single" w:sz="8" w:color="CCEEFF"/>
            </w:tcBorders>
            <w:gridSpan w:val="3"/>
            <w:shd w:val="clear" w:color="auto" w:fill="CCEEFF"/>
          </w:tcPr>
          <w:p>
            <w:pPr>
              <w:spacing w:after="0"/>
              <w:rPr>
                <w:sz w:val="17"/>
                <w:szCs w:val="17"/>
                <w:color w:val="auto"/>
              </w:rPr>
            </w:pPr>
          </w:p>
        </w:tc>
        <w:tc>
          <w:tcPr>
            <w:tcW w:w="130" w:type="dxa"/>
            <w:vAlign w:val="bottom"/>
            <w:tcBorders>
              <w:bottom w:val="single" w:sz="8" w:color="CCEEFF"/>
            </w:tcBorders>
            <w:shd w:val="clear" w:color="auto" w:fill="CCEEFF"/>
          </w:tcPr>
          <w:p>
            <w:pPr>
              <w:spacing w:after="0"/>
              <w:rPr>
                <w:sz w:val="17"/>
                <w:szCs w:val="17"/>
                <w:color w:val="auto"/>
              </w:rPr>
            </w:pPr>
          </w:p>
        </w:tc>
        <w:tc>
          <w:tcPr>
            <w:tcW w:w="81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60" w:type="dxa"/>
            <w:vAlign w:val="bottom"/>
            <w:gridSpan w:val="6"/>
          </w:tcPr>
          <w:p>
            <w:pPr>
              <w:ind w:left="220"/>
              <w:spacing w:after="0"/>
              <w:rPr>
                <w:sz w:val="20"/>
                <w:szCs w:val="20"/>
                <w:color w:val="auto"/>
              </w:rPr>
            </w:pPr>
            <w:r>
              <w:rPr>
                <w:rFonts w:ascii="Arial" w:cs="Arial" w:eastAsia="Arial" w:hAnsi="Arial"/>
                <w:sz w:val="18"/>
                <w:szCs w:val="18"/>
                <w:color w:val="auto"/>
              </w:rPr>
              <w:t>Common dividends declared</w:t>
            </w:r>
          </w:p>
        </w:tc>
        <w:tc>
          <w:tcPr>
            <w:tcW w:w="13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10" w:type="dxa"/>
            <w:vAlign w:val="bottom"/>
          </w:tcPr>
          <w:p>
            <w:pPr>
              <w:jc w:val="right"/>
              <w:spacing w:after="0"/>
              <w:rPr>
                <w:sz w:val="20"/>
                <w:szCs w:val="20"/>
                <w:color w:val="auto"/>
              </w:rPr>
            </w:pPr>
            <w:r>
              <w:rPr>
                <w:rFonts w:ascii="Arial" w:cs="Arial" w:eastAsia="Arial" w:hAnsi="Arial"/>
                <w:sz w:val="18"/>
                <w:szCs w:val="18"/>
                <w:color w:val="auto"/>
              </w:rPr>
              <w:t>26,330</w:t>
            </w:r>
          </w:p>
        </w:tc>
        <w:tc>
          <w:tcPr>
            <w:tcW w:w="7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24,108</w:t>
            </w:r>
          </w:p>
        </w:tc>
        <w:tc>
          <w:tcPr>
            <w:tcW w:w="7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101,969</w:t>
            </w:r>
          </w:p>
        </w:tc>
        <w:tc>
          <w:tcPr>
            <w:tcW w:w="740" w:type="dxa"/>
            <w:vAlign w:val="bottom"/>
          </w:tcPr>
          <w:p>
            <w:pPr>
              <w:spacing w:after="0"/>
              <w:rPr>
                <w:sz w:val="19"/>
                <w:szCs w:val="19"/>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93,889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0" w:type="dxa"/>
            <w:vAlign w:val="bottom"/>
          </w:tcPr>
          <w:p>
            <w:pPr>
              <w:spacing w:after="0"/>
              <w:rPr>
                <w:sz w:val="8"/>
                <w:szCs w:val="8"/>
                <w:color w:val="auto"/>
              </w:rPr>
            </w:pPr>
          </w:p>
        </w:tc>
        <w:tc>
          <w:tcPr>
            <w:tcW w:w="81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60" w:type="dxa"/>
            <w:vAlign w:val="bottom"/>
            <w:gridSpan w:val="6"/>
            <w:shd w:val="clear" w:color="auto" w:fill="CCEEFF"/>
          </w:tcPr>
          <w:p>
            <w:pPr>
              <w:ind w:left="220"/>
              <w:spacing w:after="0"/>
              <w:rPr>
                <w:sz w:val="20"/>
                <w:szCs w:val="20"/>
                <w:color w:val="auto"/>
              </w:rPr>
            </w:pPr>
            <w:r>
              <w:rPr>
                <w:rFonts w:ascii="Arial" w:cs="Arial" w:eastAsia="Arial" w:hAnsi="Arial"/>
                <w:sz w:val="18"/>
                <w:szCs w:val="18"/>
                <w:color w:val="auto"/>
              </w:rPr>
              <w:t>Dividend payout ratio % - FFO</w:t>
            </w:r>
          </w:p>
        </w:tc>
        <w:tc>
          <w:tcPr>
            <w:tcW w:w="130" w:type="dxa"/>
            <w:vAlign w:val="bottom"/>
            <w:shd w:val="clear" w:color="auto" w:fill="CCEEFF"/>
          </w:tcPr>
          <w:p>
            <w:pPr>
              <w:spacing w:after="0"/>
              <w:rPr>
                <w:sz w:val="18"/>
                <w:szCs w:val="18"/>
                <w:color w:val="auto"/>
              </w:rPr>
            </w:pPr>
          </w:p>
        </w:tc>
        <w:tc>
          <w:tcPr>
            <w:tcW w:w="153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69%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0" w:type="dxa"/>
            <w:vAlign w:val="bottom"/>
          </w:tcPr>
          <w:p>
            <w:pPr>
              <w:spacing w:after="0"/>
              <w:rPr>
                <w:sz w:val="9"/>
                <w:szCs w:val="9"/>
                <w:color w:val="auto"/>
              </w:rPr>
            </w:pPr>
          </w:p>
        </w:tc>
        <w:tc>
          <w:tcPr>
            <w:tcW w:w="81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3355975</wp:posOffset>
            </wp:positionH>
            <wp:positionV relativeFrom="paragraph">
              <wp:posOffset>-3054350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-3054350</wp:posOffset>
            </wp:positionV>
            <wp:extent cx="2159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-3054350</wp:posOffset>
            </wp:positionV>
            <wp:extent cx="3873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-3054350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-3054350</wp:posOffset>
            </wp:positionV>
            <wp:extent cx="2159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-3054350</wp:posOffset>
            </wp:positionV>
            <wp:extent cx="3873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-3054350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-3054350</wp:posOffset>
            </wp:positionV>
            <wp:extent cx="2159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-3054350</wp:posOffset>
            </wp:positionV>
            <wp:extent cx="3873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-3054350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-3054350</wp:posOffset>
            </wp:positionV>
            <wp:extent cx="2159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-3054350</wp:posOffset>
            </wp:positionV>
            <wp:extent cx="3873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-2411095</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-2411095</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-2411095</wp:posOffset>
            </wp:positionV>
            <wp:extent cx="3873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-2411095</wp:posOffset>
            </wp:positionV>
            <wp:extent cx="277431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774315"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-653415</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-653415</wp:posOffset>
            </wp:positionV>
            <wp:extent cx="2159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-653415</wp:posOffset>
            </wp:positionV>
            <wp:extent cx="3873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-653415</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-653415</wp:posOffset>
            </wp:positionV>
            <wp:extent cx="2159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-653415</wp:posOffset>
            </wp:positionV>
            <wp:extent cx="3873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-653415</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-653415</wp:posOffset>
            </wp:positionV>
            <wp:extent cx="2159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-653415</wp:posOffset>
            </wp:positionV>
            <wp:extent cx="3873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-653415</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-653415</wp:posOffset>
            </wp:positionV>
            <wp:extent cx="2159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-653415</wp:posOffset>
            </wp:positionV>
            <wp:extent cx="3873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77"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15" w:lineRule="exact"/>
        <w:rPr>
          <w:rFonts w:ascii="Arial" w:cs="Arial" w:eastAsia="Arial" w:hAnsi="Arial"/>
          <w:sz w:val="18"/>
          <w:szCs w:val="18"/>
          <w:color w:val="auto"/>
        </w:rPr>
      </w:pPr>
    </w:p>
    <w:p>
      <w:pPr>
        <w:ind w:left="460" w:right="380" w:hanging="452"/>
        <w:spacing w:after="0" w:line="28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For 2004, includes $3.1 million ($.06 per share) for Santana Row fire insurance proceeds. For 2003, includes a $3.4 million charge ($.07 per share) for preferred stock redemption and approximately $8.0 million of income ($.16 per share) from Santana Row fire insurance proceeds.</w:t>
      </w:r>
    </w:p>
    <w:p>
      <w:pPr>
        <w:spacing w:after="0" w:line="1" w:lineRule="exact"/>
        <w:rPr>
          <w:rFonts w:ascii="Arial" w:cs="Arial" w:eastAsia="Arial" w:hAnsi="Arial"/>
          <w:sz w:val="16"/>
          <w:szCs w:val="16"/>
          <w:color w:val="auto"/>
        </w:rPr>
      </w:pPr>
    </w:p>
    <w:p>
      <w:pPr>
        <w:ind w:left="460" w:right="20" w:hanging="452"/>
        <w:spacing w:after="0" w:line="261"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Capital expenditures related to properties acquired in the last two years for which non-maintenance expenditures were planned at the time of the acquisition underwriting.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Data / Capital Availability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2004</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83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As of</w:t>
            </w: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83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0"/>
              </w:rPr>
              <w:t>December 31,</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830" w:type="dxa"/>
            <w:vAlign w:val="bottom"/>
          </w:tcPr>
          <w:p>
            <w:pPr>
              <w:jc w:val="right"/>
              <w:ind w:right="234"/>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830" w:type="dxa"/>
            <w:vAlign w:val="bottom"/>
            <w:tcBorders>
              <w:bottom w:val="single" w:sz="8" w:color="auto"/>
            </w:tcBorders>
          </w:tcPr>
          <w:p>
            <w:pPr>
              <w:spacing w:after="0"/>
              <w:rPr>
                <w:sz w:val="8"/>
                <w:szCs w:val="8"/>
                <w:color w:val="auto"/>
              </w:rPr>
            </w:pPr>
          </w:p>
        </w:tc>
        <w:tc>
          <w:tcPr>
            <w:tcW w:w="800" w:type="dxa"/>
            <w:vAlign w:val="bottom"/>
            <w:gridSpan w:val="2"/>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 w:type="dxa"/>
            <w:vAlign w:val="bottom"/>
          </w:tcPr>
          <w:p>
            <w:pPr>
              <w:spacing w:after="0"/>
              <w:rPr>
                <w:sz w:val="21"/>
                <w:szCs w:val="21"/>
                <w:color w:val="auto"/>
              </w:rPr>
            </w:pPr>
          </w:p>
        </w:tc>
        <w:tc>
          <w:tcPr>
            <w:tcW w:w="2750" w:type="dxa"/>
            <w:vAlign w:val="bottom"/>
            <w:gridSpan w:val="7"/>
          </w:tcPr>
          <w:p>
            <w:pPr>
              <w:jc w:val="right"/>
              <w:ind w:right="440"/>
              <w:spacing w:after="0"/>
              <w:rPr>
                <w:sz w:val="20"/>
                <w:szCs w:val="20"/>
                <w:color w:val="auto"/>
              </w:rPr>
            </w:pPr>
            <w:r>
              <w:rPr>
                <w:rFonts w:ascii="Arial" w:cs="Arial" w:eastAsia="Arial" w:hAnsi="Arial"/>
                <w:sz w:val="14"/>
                <w:szCs w:val="14"/>
                <w:b w:val="1"/>
                <w:bCs w:val="1"/>
                <w:color w:val="auto"/>
                <w:w w:val="91"/>
              </w:rPr>
              <w:t>(in 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Market data</w:t>
            </w:r>
          </w:p>
        </w:tc>
        <w:tc>
          <w:tcPr>
            <w:tcW w:w="90" w:type="dxa"/>
            <w:vAlign w:val="bottom"/>
            <w:shd w:val="clear" w:color="auto" w:fill="CCEEFF"/>
          </w:tcPr>
          <w:p>
            <w:pPr>
              <w:spacing w:after="0"/>
              <w:rPr>
                <w:sz w:val="18"/>
                <w:szCs w:val="18"/>
                <w:color w:val="auto"/>
              </w:rPr>
            </w:pPr>
          </w:p>
        </w:tc>
        <w:tc>
          <w:tcPr>
            <w:tcW w:w="83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3"/>
          </w:tcPr>
          <w:p>
            <w:pPr>
              <w:ind w:left="420"/>
              <w:spacing w:after="0"/>
              <w:rPr>
                <w:sz w:val="20"/>
                <w:szCs w:val="20"/>
                <w:color w:val="auto"/>
              </w:rPr>
            </w:pPr>
            <w:r>
              <w:rPr>
                <w:rFonts w:ascii="Arial" w:cs="Arial" w:eastAsia="Arial" w:hAnsi="Arial"/>
                <w:sz w:val="18"/>
                <w:szCs w:val="18"/>
                <w:color w:val="auto"/>
              </w:rPr>
              <w:t>Common shares outstanding (1)</w:t>
            </w:r>
          </w:p>
        </w:tc>
        <w:tc>
          <w:tcPr>
            <w:tcW w:w="90" w:type="dxa"/>
            <w:vAlign w:val="bottom"/>
          </w:tcPr>
          <w:p>
            <w:pPr>
              <w:spacing w:after="0"/>
              <w:rPr>
                <w:sz w:val="18"/>
                <w:szCs w:val="18"/>
                <w:color w:val="auto"/>
              </w:rPr>
            </w:pPr>
          </w:p>
        </w:tc>
        <w:tc>
          <w:tcPr>
            <w:tcW w:w="830" w:type="dxa"/>
            <w:vAlign w:val="bottom"/>
          </w:tcPr>
          <w:p>
            <w:pPr>
              <w:jc w:val="right"/>
              <w:spacing w:after="0"/>
              <w:rPr>
                <w:sz w:val="20"/>
                <w:szCs w:val="20"/>
                <w:color w:val="auto"/>
              </w:rPr>
            </w:pPr>
            <w:r>
              <w:rPr>
                <w:rFonts w:ascii="Arial" w:cs="Arial" w:eastAsia="Arial" w:hAnsi="Arial"/>
                <w:sz w:val="18"/>
                <w:szCs w:val="18"/>
                <w:color w:val="auto"/>
              </w:rPr>
              <w:t>52,137</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49,201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Market price per common share</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6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83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83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Common equity market capitalization</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2,692,876</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1,888,826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8560" w:type="dxa"/>
            <w:vAlign w:val="bottom"/>
            <w:gridSpan w:val="3"/>
          </w:tcPr>
          <w:p>
            <w:pPr>
              <w:ind w:left="420"/>
              <w:spacing w:after="0"/>
              <w:rPr>
                <w:sz w:val="20"/>
                <w:szCs w:val="20"/>
                <w:color w:val="auto"/>
              </w:rPr>
            </w:pPr>
            <w:r>
              <w:rPr>
                <w:rFonts w:ascii="Arial" w:cs="Arial" w:eastAsia="Arial" w:hAnsi="Arial"/>
                <w:sz w:val="18"/>
                <w:szCs w:val="18"/>
                <w:color w:val="auto"/>
              </w:rPr>
              <w:t>Series B preferred shares outstanding</w:t>
            </w:r>
          </w:p>
        </w:tc>
        <w:tc>
          <w:tcPr>
            <w:tcW w:w="90" w:type="dxa"/>
            <w:vAlign w:val="bottom"/>
          </w:tcPr>
          <w:p>
            <w:pPr>
              <w:spacing w:after="0"/>
              <w:rPr>
                <w:sz w:val="24"/>
                <w:szCs w:val="24"/>
                <w:color w:val="auto"/>
              </w:rPr>
            </w:pPr>
          </w:p>
        </w:tc>
        <w:tc>
          <w:tcPr>
            <w:tcW w:w="830" w:type="dxa"/>
            <w:vAlign w:val="bottom"/>
          </w:tcPr>
          <w:p>
            <w:pPr>
              <w:jc w:val="right"/>
              <w:spacing w:after="0"/>
              <w:rPr>
                <w:sz w:val="20"/>
                <w:szCs w:val="20"/>
                <w:color w:val="auto"/>
              </w:rPr>
            </w:pPr>
            <w:r>
              <w:rPr>
                <w:rFonts w:ascii="Arial" w:cs="Arial" w:eastAsia="Arial" w:hAnsi="Arial"/>
                <w:sz w:val="18"/>
                <w:szCs w:val="18"/>
                <w:color w:val="auto"/>
              </w:rPr>
              <w:t>5,400</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5,400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Market price per Series B preferred share</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6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83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83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Preferred equity market capitalization</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146,502</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148,500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6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83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83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3"/>
            <w:shd w:val="clear" w:color="auto" w:fill="CCEEFF"/>
          </w:tcPr>
          <w:p>
            <w:pPr>
              <w:ind w:left="420"/>
              <w:spacing w:after="0"/>
              <w:rPr>
                <w:sz w:val="20"/>
                <w:szCs w:val="20"/>
                <w:color w:val="auto"/>
              </w:rPr>
            </w:pPr>
            <w:r>
              <w:rPr>
                <w:rFonts w:ascii="Arial" w:cs="Arial" w:eastAsia="Arial" w:hAnsi="Arial"/>
                <w:sz w:val="18"/>
                <w:szCs w:val="18"/>
                <w:b w:val="1"/>
                <w:bCs w:val="1"/>
                <w:color w:val="auto"/>
              </w:rPr>
              <w:t>Equity market capitalization</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2,839,378</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2,037,326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8560" w:type="dxa"/>
            <w:vAlign w:val="bottom"/>
            <w:gridSpan w:val="3"/>
          </w:tcPr>
          <w:p>
            <w:pPr>
              <w:ind w:left="420"/>
              <w:spacing w:after="0"/>
              <w:rPr>
                <w:sz w:val="20"/>
                <w:szCs w:val="20"/>
                <w:color w:val="auto"/>
              </w:rPr>
            </w:pPr>
            <w:r>
              <w:rPr>
                <w:rFonts w:ascii="Arial" w:cs="Arial" w:eastAsia="Arial" w:hAnsi="Arial"/>
                <w:sz w:val="18"/>
                <w:szCs w:val="18"/>
                <w:color w:val="auto"/>
              </w:rPr>
              <w:t>Total debt (2)</w:t>
            </w:r>
          </w:p>
        </w:tc>
        <w:tc>
          <w:tcPr>
            <w:tcW w:w="90" w:type="dxa"/>
            <w:vAlign w:val="bottom"/>
          </w:tcPr>
          <w:p>
            <w:pPr>
              <w:spacing w:after="0"/>
              <w:rPr>
                <w:sz w:val="24"/>
                <w:szCs w:val="24"/>
                <w:color w:val="auto"/>
              </w:rPr>
            </w:pPr>
          </w:p>
        </w:tc>
        <w:tc>
          <w:tcPr>
            <w:tcW w:w="830" w:type="dxa"/>
            <w:vAlign w:val="bottom"/>
          </w:tcPr>
          <w:p>
            <w:pPr>
              <w:jc w:val="right"/>
              <w:spacing w:after="0"/>
              <w:rPr>
                <w:sz w:val="20"/>
                <w:szCs w:val="20"/>
                <w:color w:val="auto"/>
              </w:rPr>
            </w:pPr>
            <w:r>
              <w:rPr>
                <w:rFonts w:ascii="Arial" w:cs="Arial" w:eastAsia="Arial" w:hAnsi="Arial"/>
                <w:sz w:val="18"/>
                <w:szCs w:val="18"/>
                <w:color w:val="auto"/>
                <w:w w:val="99"/>
              </w:rPr>
              <w:t>1,304,057</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1,310,680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6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83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83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3"/>
            <w:shd w:val="clear" w:color="auto" w:fill="CCEEFF"/>
          </w:tcPr>
          <w:p>
            <w:pPr>
              <w:ind w:left="420"/>
              <w:spacing w:after="0"/>
              <w:rPr>
                <w:sz w:val="20"/>
                <w:szCs w:val="20"/>
                <w:color w:val="auto"/>
              </w:rPr>
            </w:pPr>
            <w:r>
              <w:rPr>
                <w:rFonts w:ascii="Arial" w:cs="Arial" w:eastAsia="Arial" w:hAnsi="Arial"/>
                <w:sz w:val="18"/>
                <w:szCs w:val="18"/>
                <w:b w:val="1"/>
                <w:bCs w:val="1"/>
                <w:color w:val="auto"/>
              </w:rPr>
              <w:t>Total market capitalization</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4,143,435</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3,348,006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83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6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Pr>
          <w:p>
            <w:pPr>
              <w:spacing w:after="0"/>
              <w:rPr>
                <w:sz w:val="9"/>
                <w:szCs w:val="9"/>
                <w:color w:val="auto"/>
              </w:rPr>
            </w:pPr>
          </w:p>
        </w:tc>
        <w:tc>
          <w:tcPr>
            <w:tcW w:w="83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3"/>
            <w:shd w:val="clear" w:color="auto" w:fill="CCEEFF"/>
          </w:tcPr>
          <w:p>
            <w:pPr>
              <w:ind w:left="420"/>
              <w:spacing w:after="0"/>
              <w:rPr>
                <w:sz w:val="20"/>
                <w:szCs w:val="20"/>
                <w:color w:val="auto"/>
              </w:rPr>
            </w:pPr>
            <w:r>
              <w:rPr>
                <w:rFonts w:ascii="Arial" w:cs="Arial" w:eastAsia="Arial" w:hAnsi="Arial"/>
                <w:sz w:val="18"/>
                <w:szCs w:val="18"/>
                <w:b w:val="1"/>
                <w:bCs w:val="1"/>
                <w:color w:val="auto"/>
              </w:rPr>
              <w:t>Total debt to market capitalization</w:t>
            </w:r>
          </w:p>
        </w:tc>
        <w:tc>
          <w:tcPr>
            <w:tcW w:w="90" w:type="dxa"/>
            <w:vAlign w:val="bottom"/>
            <w:shd w:val="clear" w:color="auto" w:fill="CCEEFF"/>
          </w:tcPr>
          <w:p>
            <w:pPr>
              <w:spacing w:after="0"/>
              <w:rPr>
                <w:sz w:val="18"/>
                <w:szCs w:val="18"/>
                <w:color w:val="auto"/>
              </w:rPr>
            </w:pPr>
          </w:p>
        </w:tc>
        <w:tc>
          <w:tcPr>
            <w:tcW w:w="105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8560" w:type="dxa"/>
            <w:vAlign w:val="bottom"/>
            <w:gridSpan w:val="3"/>
          </w:tcPr>
          <w:p>
            <w:pPr>
              <w:ind w:left="420"/>
              <w:spacing w:after="0"/>
              <w:rPr>
                <w:sz w:val="20"/>
                <w:szCs w:val="20"/>
                <w:color w:val="auto"/>
              </w:rPr>
            </w:pPr>
            <w:r>
              <w:rPr>
                <w:rFonts w:ascii="Arial" w:cs="Arial" w:eastAsia="Arial" w:hAnsi="Arial"/>
                <w:sz w:val="18"/>
                <w:szCs w:val="18"/>
                <w:b w:val="1"/>
                <w:bCs w:val="1"/>
                <w:color w:val="auto"/>
              </w:rPr>
              <w:t>Total debt to market capitalization at constant price of $38.39</w:t>
            </w:r>
          </w:p>
        </w:tc>
        <w:tc>
          <w:tcPr>
            <w:tcW w:w="90" w:type="dxa"/>
            <w:vAlign w:val="bottom"/>
          </w:tcPr>
          <w:p>
            <w:pPr>
              <w:spacing w:after="0"/>
              <w:rPr>
                <w:sz w:val="24"/>
                <w:szCs w:val="24"/>
                <w:color w:val="auto"/>
              </w:rPr>
            </w:pPr>
          </w:p>
        </w:tc>
        <w:tc>
          <w:tcPr>
            <w:tcW w:w="105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6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Pr>
          <w:p>
            <w:pPr>
              <w:spacing w:after="0"/>
              <w:rPr>
                <w:sz w:val="9"/>
                <w:szCs w:val="9"/>
                <w:color w:val="auto"/>
              </w:rPr>
            </w:pPr>
          </w:p>
        </w:tc>
        <w:tc>
          <w:tcPr>
            <w:tcW w:w="83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3"/>
            <w:shd w:val="clear" w:color="auto" w:fill="CCEEFF"/>
          </w:tcPr>
          <w:p>
            <w:pPr>
              <w:ind w:left="420"/>
              <w:spacing w:after="0"/>
              <w:rPr>
                <w:sz w:val="20"/>
                <w:szCs w:val="20"/>
                <w:color w:val="auto"/>
              </w:rPr>
            </w:pPr>
            <w:r>
              <w:rPr>
                <w:rFonts w:ascii="Arial" w:cs="Arial" w:eastAsia="Arial" w:hAnsi="Arial"/>
                <w:sz w:val="18"/>
                <w:szCs w:val="18"/>
                <w:b w:val="1"/>
                <w:bCs w:val="1"/>
                <w:color w:val="auto"/>
              </w:rPr>
              <w:t>Fixed rate debt ratio:</w:t>
            </w:r>
          </w:p>
        </w:tc>
        <w:tc>
          <w:tcPr>
            <w:tcW w:w="90" w:type="dxa"/>
            <w:vAlign w:val="bottom"/>
            <w:shd w:val="clear" w:color="auto" w:fill="CCEEFF"/>
          </w:tcPr>
          <w:p>
            <w:pPr>
              <w:spacing w:after="0"/>
              <w:rPr>
                <w:sz w:val="18"/>
                <w:szCs w:val="18"/>
                <w:color w:val="auto"/>
              </w:rPr>
            </w:pPr>
          </w:p>
        </w:tc>
        <w:tc>
          <w:tcPr>
            <w:tcW w:w="83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3"/>
          </w:tcPr>
          <w:p>
            <w:pPr>
              <w:ind w:left="860"/>
              <w:spacing w:after="0"/>
              <w:rPr>
                <w:sz w:val="20"/>
                <w:szCs w:val="20"/>
                <w:color w:val="auto"/>
              </w:rPr>
            </w:pPr>
            <w:r>
              <w:rPr>
                <w:rFonts w:ascii="Arial" w:cs="Arial" w:eastAsia="Arial" w:hAnsi="Arial"/>
                <w:sz w:val="18"/>
                <w:szCs w:val="18"/>
                <w:b w:val="1"/>
                <w:bCs w:val="1"/>
                <w:color w:val="auto"/>
              </w:rPr>
              <w:t>Fixed rate debt</w:t>
            </w:r>
          </w:p>
        </w:tc>
        <w:tc>
          <w:tcPr>
            <w:tcW w:w="90" w:type="dxa"/>
            <w:vAlign w:val="bottom"/>
          </w:tcPr>
          <w:p>
            <w:pPr>
              <w:spacing w:after="0"/>
              <w:rPr>
                <w:sz w:val="18"/>
                <w:szCs w:val="18"/>
                <w:color w:val="auto"/>
              </w:rPr>
            </w:pPr>
          </w:p>
        </w:tc>
        <w:tc>
          <w:tcPr>
            <w:tcW w:w="1050" w:type="dxa"/>
            <w:vAlign w:val="bottom"/>
            <w:gridSpan w:val="2"/>
          </w:tcPr>
          <w:p>
            <w:pPr>
              <w:jc w:val="right"/>
              <w:ind w:right="80"/>
              <w:spacing w:after="0"/>
              <w:rPr>
                <w:sz w:val="20"/>
                <w:szCs w:val="20"/>
                <w:color w:val="auto"/>
              </w:rPr>
            </w:pPr>
            <w:r>
              <w:rPr>
                <w:rFonts w:ascii="Arial" w:cs="Arial" w:eastAsia="Arial" w:hAnsi="Arial"/>
                <w:sz w:val="18"/>
                <w:szCs w:val="18"/>
                <w:color w:val="auto"/>
              </w:rPr>
              <w:t>87%</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3"/>
            <w:shd w:val="clear" w:color="auto" w:fill="CCEEFF"/>
          </w:tcPr>
          <w:p>
            <w:pPr>
              <w:ind w:left="860"/>
              <w:spacing w:after="0"/>
              <w:rPr>
                <w:sz w:val="20"/>
                <w:szCs w:val="20"/>
                <w:color w:val="auto"/>
              </w:rPr>
            </w:pPr>
            <w:r>
              <w:rPr>
                <w:rFonts w:ascii="Arial" w:cs="Arial" w:eastAsia="Arial" w:hAnsi="Arial"/>
                <w:sz w:val="18"/>
                <w:szCs w:val="18"/>
                <w:b w:val="1"/>
                <w:bCs w:val="1"/>
                <w:color w:val="auto"/>
              </w:rPr>
              <w:t>Variable rate debt</w:t>
            </w:r>
          </w:p>
        </w:tc>
        <w:tc>
          <w:tcPr>
            <w:tcW w:w="90" w:type="dxa"/>
            <w:vAlign w:val="bottom"/>
            <w:shd w:val="clear" w:color="auto" w:fill="CCEEFF"/>
          </w:tcPr>
          <w:p>
            <w:pPr>
              <w:spacing w:after="0"/>
              <w:rPr>
                <w:sz w:val="18"/>
                <w:szCs w:val="18"/>
                <w:color w:val="auto"/>
              </w:rPr>
            </w:pPr>
          </w:p>
        </w:tc>
        <w:tc>
          <w:tcPr>
            <w:tcW w:w="105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6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83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83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05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83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76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Pr>
          <w:p>
            <w:pPr>
              <w:spacing w:after="0"/>
              <w:rPr>
                <w:sz w:val="9"/>
                <w:szCs w:val="9"/>
                <w:color w:val="auto"/>
              </w:rPr>
            </w:pPr>
          </w:p>
        </w:tc>
        <w:tc>
          <w:tcPr>
            <w:tcW w:w="83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Capital availability:</w:t>
            </w:r>
          </w:p>
        </w:tc>
        <w:tc>
          <w:tcPr>
            <w:tcW w:w="90" w:type="dxa"/>
            <w:vAlign w:val="bottom"/>
            <w:shd w:val="clear" w:color="auto" w:fill="CCEEFF"/>
          </w:tcPr>
          <w:p>
            <w:pPr>
              <w:spacing w:after="0"/>
              <w:rPr>
                <w:sz w:val="18"/>
                <w:szCs w:val="18"/>
                <w:color w:val="auto"/>
              </w:rPr>
            </w:pPr>
          </w:p>
        </w:tc>
        <w:tc>
          <w:tcPr>
            <w:tcW w:w="83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3"/>
          </w:tcPr>
          <w:p>
            <w:pPr>
              <w:ind w:left="420"/>
              <w:spacing w:after="0"/>
              <w:rPr>
                <w:sz w:val="20"/>
                <w:szCs w:val="20"/>
                <w:color w:val="auto"/>
              </w:rPr>
            </w:pPr>
            <w:r>
              <w:rPr>
                <w:rFonts w:ascii="Arial" w:cs="Arial" w:eastAsia="Arial" w:hAnsi="Arial"/>
                <w:sz w:val="18"/>
                <w:szCs w:val="18"/>
                <w:color w:val="auto"/>
              </w:rPr>
              <w:t>Cash on hand</w:t>
            </w: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30" w:type="dxa"/>
            <w:vAlign w:val="bottom"/>
          </w:tcPr>
          <w:p>
            <w:pPr>
              <w:jc w:val="right"/>
              <w:spacing w:after="0"/>
              <w:rPr>
                <w:sz w:val="20"/>
                <w:szCs w:val="20"/>
                <w:color w:val="auto"/>
              </w:rPr>
            </w:pPr>
            <w:r>
              <w:rPr>
                <w:rFonts w:ascii="Arial" w:cs="Arial" w:eastAsia="Arial" w:hAnsi="Arial"/>
                <w:sz w:val="18"/>
                <w:szCs w:val="18"/>
                <w:color w:val="auto"/>
              </w:rPr>
              <w:t>30,475</w:t>
            </w: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34,968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Available capacity under line of credit</w:t>
            </w:r>
          </w:p>
        </w:tc>
        <w:tc>
          <w:tcPr>
            <w:tcW w:w="90" w:type="dxa"/>
            <w:vAlign w:val="bottom"/>
            <w:shd w:val="clear" w:color="auto" w:fill="CCEEFF"/>
          </w:tcPr>
          <w:p>
            <w:pPr>
              <w:spacing w:after="0"/>
              <w:rPr>
                <w:sz w:val="18"/>
                <w:szCs w:val="18"/>
                <w:color w:val="auto"/>
              </w:rPr>
            </w:pP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245,000</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200,250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60" w:type="dxa"/>
            <w:vAlign w:val="bottom"/>
            <w:gridSpan w:val="3"/>
          </w:tcPr>
          <w:p>
            <w:pPr>
              <w:ind w:left="420"/>
              <w:spacing w:after="0"/>
              <w:rPr>
                <w:sz w:val="20"/>
                <w:szCs w:val="20"/>
                <w:color w:val="auto"/>
              </w:rPr>
            </w:pPr>
            <w:r>
              <w:rPr>
                <w:rFonts w:ascii="Arial" w:cs="Arial" w:eastAsia="Arial" w:hAnsi="Arial"/>
                <w:sz w:val="18"/>
                <w:szCs w:val="18"/>
                <w:color w:val="auto"/>
              </w:rPr>
              <w:t>Available for issuance under shelf registration statement</w:t>
            </w:r>
          </w:p>
        </w:tc>
        <w:tc>
          <w:tcPr>
            <w:tcW w:w="90" w:type="dxa"/>
            <w:vAlign w:val="bottom"/>
          </w:tcPr>
          <w:p>
            <w:pPr>
              <w:spacing w:after="0"/>
              <w:rPr>
                <w:sz w:val="19"/>
                <w:szCs w:val="19"/>
                <w:color w:val="auto"/>
              </w:rPr>
            </w:pPr>
          </w:p>
        </w:tc>
        <w:tc>
          <w:tcPr>
            <w:tcW w:w="830" w:type="dxa"/>
            <w:vAlign w:val="bottom"/>
          </w:tcPr>
          <w:p>
            <w:pPr>
              <w:jc w:val="right"/>
              <w:spacing w:after="0"/>
              <w:rPr>
                <w:sz w:val="20"/>
                <w:szCs w:val="20"/>
                <w:color w:val="auto"/>
              </w:rPr>
            </w:pPr>
            <w:r>
              <w:rPr>
                <w:rFonts w:ascii="Arial" w:cs="Arial" w:eastAsia="Arial" w:hAnsi="Arial"/>
                <w:sz w:val="18"/>
                <w:szCs w:val="18"/>
                <w:color w:val="auto"/>
              </w:rPr>
              <w:t>225,000</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400,000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83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83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500,475</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635,218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83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83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-2437130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-2437130</wp:posOffset>
            </wp:positionV>
            <wp:extent cx="2159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-2437130</wp:posOffset>
            </wp:positionV>
            <wp:extent cx="3873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-2437130</wp:posOffset>
            </wp:positionV>
            <wp:extent cx="64706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47065"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-1167765</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-1167765</wp:posOffset>
            </wp:positionV>
            <wp:extent cx="2159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-1167765</wp:posOffset>
            </wp:positionV>
            <wp:extent cx="3873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-1167765</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-1167765</wp:posOffset>
            </wp:positionV>
            <wp:extent cx="2159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-1167765</wp:posOffset>
            </wp:positionV>
            <wp:extent cx="3873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-172720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-172720</wp:posOffset>
            </wp:positionV>
            <wp:extent cx="2159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-172720</wp:posOffset>
            </wp:positionV>
            <wp:extent cx="3873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-172720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-172720</wp:posOffset>
            </wp:positionV>
            <wp:extent cx="2159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-172720</wp:posOffset>
            </wp:positionV>
            <wp:extent cx="3873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77" w:lineRule="exact"/>
        <w:rPr>
          <w:sz w:val="20"/>
          <w:szCs w:val="20"/>
          <w:color w:val="auto"/>
        </w:rPr>
      </w:pPr>
    </w:p>
    <w:p>
      <w:pPr>
        <w:ind w:left="460" w:right="140" w:hanging="452"/>
        <w:spacing w:after="0" w:line="253"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Consists of 53,616,827 shares issued net of 1,480,202 shares held in Treasury as of December 31, 2004. As of December 31, 2003, consists of 50,670,851 shares issued net of 1,470,275 shares held in Treasury. Amounts do not include 449,325 and 852,222 Operating Units outstanding at December 31, 2004 and December 31, 2003, respectively.</w:t>
      </w:r>
    </w:p>
    <w:p>
      <w:pPr>
        <w:ind w:left="460" w:right="80" w:hanging="452"/>
        <w:spacing w:after="0" w:line="261"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Total debt includes capital leases and mortgages payable, notes payable, and senior notes and debentures. It does not include the $14.2 million which is the Trust’s 30% share of the total $47.2 million debt of the partnership with Clarion Lion Properties Fund.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Rental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5"/>
              </w:rPr>
              <w:t>Three months ended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4"/>
              </w:rPr>
              <w:t>Year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40" w:type="dxa"/>
            <w:vAlign w:val="bottom"/>
          </w:tcPr>
          <w:p>
            <w:pPr>
              <w:spacing w:after="0"/>
              <w:rPr>
                <w:sz w:val="22"/>
                <w:szCs w:val="22"/>
                <w:color w:val="auto"/>
              </w:rPr>
            </w:pPr>
          </w:p>
        </w:tc>
        <w:tc>
          <w:tcPr>
            <w:tcW w:w="5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2004</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2003</w:t>
            </w:r>
          </w:p>
        </w:tc>
        <w:tc>
          <w:tcPr>
            <w:tcW w:w="90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2004</w:t>
            </w:r>
          </w:p>
        </w:tc>
        <w:tc>
          <w:tcPr>
            <w:tcW w:w="9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7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Components of Rental Income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8180" w:type="dxa"/>
            <w:vAlign w:val="bottom"/>
            <w:gridSpan w:val="2"/>
          </w:tcPr>
          <w:p>
            <w:pPr>
              <w:ind w:left="420"/>
              <w:spacing w:after="0"/>
              <w:rPr>
                <w:sz w:val="20"/>
                <w:szCs w:val="20"/>
                <w:color w:val="auto"/>
              </w:rPr>
            </w:pPr>
            <w:r>
              <w:rPr>
                <w:rFonts w:ascii="Arial" w:cs="Arial" w:eastAsia="Arial" w:hAnsi="Arial"/>
                <w:sz w:val="18"/>
                <w:szCs w:val="18"/>
                <w:color w:val="auto"/>
              </w:rPr>
              <w:t>Minimum Rents</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Retail and commercial properties (1)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$66,166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$ 68,699</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$ 281,152</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$ 259,243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860"/>
              <w:spacing w:after="0"/>
              <w:rPr>
                <w:sz w:val="20"/>
                <w:szCs w:val="20"/>
                <w:color w:val="auto"/>
              </w:rPr>
            </w:pPr>
            <w:r>
              <w:rPr>
                <w:rFonts w:ascii="Arial" w:cs="Arial" w:eastAsia="Arial" w:hAnsi="Arial"/>
                <w:sz w:val="18"/>
                <w:szCs w:val="18"/>
                <w:color w:val="auto"/>
              </w:rPr>
              <w:t>Residential (2)</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3,191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3,095</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12,486</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9,151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Reimbursements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23,234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21,923</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72,424</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63,511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80" w:type="dxa"/>
            <w:vAlign w:val="bottom"/>
            <w:gridSpan w:val="2"/>
          </w:tcPr>
          <w:p>
            <w:pPr>
              <w:ind w:left="420"/>
              <w:spacing w:after="0"/>
              <w:rPr>
                <w:sz w:val="20"/>
                <w:szCs w:val="20"/>
                <w:color w:val="auto"/>
              </w:rPr>
            </w:pPr>
            <w:r>
              <w:rPr>
                <w:rFonts w:ascii="Arial" w:cs="Arial" w:eastAsia="Arial" w:hAnsi="Arial"/>
                <w:sz w:val="18"/>
                <w:szCs w:val="18"/>
                <w:color w:val="auto"/>
              </w:rPr>
              <w:t>Percentage Rents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1,957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1,685</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5,794</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6,152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Rental Income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$94,548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$ 95,402</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$ 371,856</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$ 338,057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-172720</wp:posOffset>
            </wp:positionV>
            <wp:extent cx="204533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045335"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77" w:lineRule="exact"/>
        <w:rPr>
          <w:sz w:val="20"/>
          <w:szCs w:val="20"/>
          <w:color w:val="auto"/>
        </w:rPr>
      </w:pPr>
    </w:p>
    <w:p>
      <w:pPr>
        <w:ind w:left="460" w:right="120" w:hanging="452"/>
        <w:spacing w:after="0" w:line="282"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For the year ended December 31, 2004 and December 31, 2003, minimum rents include $3.6 million and $1.9 million, respectively, to recognize rent on a straight-line basis and includes $1.6 million and $0.3 million, respectively, to recognize income for market lease adjustments on acquired properties in accordance with SFAS 141. Fire insurance proceeds attributable to rental income lost at Santana Row as a result of the August 2002 fire of approximately $3.1 million and $8.0 million for 2004 and 2003, respectively are included in retail minimum rents. For the three months ended December 31, 2004 and December 31, 2003, minimum rents include $1.1 million and $0.9 million, respectively, to recognize rent on a straight-line basis and includes $0.5 million and $0.2 million, respectively, to recognize income for market lease adjustments on acquired properties in accordance with SFAS 141. Fire insurance proceeds attributable to rental income lost at Santana Row as a result of the August 2002 fire of approximately $0.3 million and $8.0 million for the fourth quarter of 2004 and 2003, respectively are included in retail minimum rents.</w:t>
      </w:r>
    </w:p>
    <w:p>
      <w:pPr>
        <w:spacing w:after="0" w:line="5" w:lineRule="exact"/>
        <w:rPr>
          <w:rFonts w:ascii="Arial" w:cs="Arial" w:eastAsia="Arial" w:hAnsi="Arial"/>
          <w:sz w:val="16"/>
          <w:szCs w:val="16"/>
          <w:color w:val="auto"/>
        </w:rPr>
      </w:pPr>
    </w:p>
    <w:p>
      <w:pPr>
        <w:ind w:left="460" w:right="400" w:hanging="452"/>
        <w:spacing w:after="0" w:line="261"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Residential minimum rents comprise the rents at Rollingwood Apartments, The Crest at Congressional Apartments and the residential rents at Santana Row.</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7" w:name="page18"/>
    <w:bookmarkEnd w:id="17"/>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Outstanding Debt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Interest Rate as of</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Maturity</w:t>
            </w:r>
          </w:p>
        </w:tc>
        <w:tc>
          <w:tcPr>
            <w:tcW w:w="21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December 31, 2004</w:t>
            </w:r>
          </w:p>
        </w:tc>
        <w:tc>
          <w:tcPr>
            <w:tcW w:w="100" w:type="dxa"/>
            <w:vAlign w:val="bottom"/>
          </w:tcPr>
          <w:p>
            <w:pPr>
              <w:spacing w:after="0"/>
              <w:rPr>
                <w:sz w:val="15"/>
                <w:szCs w:val="15"/>
                <w:color w:val="auto"/>
              </w:rPr>
            </w:pPr>
          </w:p>
        </w:tc>
        <w:tc>
          <w:tcPr>
            <w:tcW w:w="1080" w:type="dxa"/>
            <w:vAlign w:val="bottom"/>
            <w:gridSpan w:val="3"/>
          </w:tcPr>
          <w:p>
            <w:pPr>
              <w:ind w:left="80"/>
              <w:spacing w:after="0"/>
              <w:rPr>
                <w:sz w:val="20"/>
                <w:szCs w:val="20"/>
                <w:color w:val="auto"/>
              </w:rPr>
            </w:pPr>
            <w:r>
              <w:rPr>
                <w:rFonts w:ascii="Arial" w:cs="Arial" w:eastAsia="Arial" w:hAnsi="Arial"/>
                <w:sz w:val="14"/>
                <w:szCs w:val="14"/>
                <w:b w:val="1"/>
                <w:bCs w:val="1"/>
                <w:color w:val="auto"/>
              </w:rPr>
              <w:t>Balance</w:t>
            </w: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8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Mortgage Loans (a)</w:t>
            </w:r>
          </w:p>
        </w:tc>
        <w:tc>
          <w:tcPr>
            <w:tcW w:w="3920" w:type="dxa"/>
            <w:vAlign w:val="bottom"/>
            <w:tcBorders>
              <w:bottom w:val="single" w:sz="8" w:color="CCEEFF"/>
            </w:tcBorders>
            <w:gridSpan w:val="3"/>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420"/>
              <w:spacing w:after="0"/>
              <w:rPr>
                <w:sz w:val="20"/>
                <w:szCs w:val="20"/>
                <w:color w:val="auto"/>
              </w:rPr>
            </w:pPr>
            <w:r>
              <w:rPr>
                <w:rFonts w:ascii="Arial" w:cs="Arial" w:eastAsia="Arial" w:hAnsi="Arial"/>
                <w:sz w:val="18"/>
                <w:szCs w:val="18"/>
                <w:b w:val="1"/>
                <w:bCs w:val="1"/>
                <w:i w:val="1"/>
                <w:iCs w:val="1"/>
                <w:color w:val="auto"/>
              </w:rPr>
              <w:t>Secured Fixed Rate</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Leesburg Plaza</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10/01/08</w:t>
            </w:r>
          </w:p>
        </w:tc>
        <w:tc>
          <w:tcPr>
            <w:tcW w:w="2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6.510%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420"/>
              <w:spacing w:after="0"/>
              <w:rPr>
                <w:sz w:val="20"/>
                <w:szCs w:val="20"/>
                <w:color w:val="auto"/>
              </w:rPr>
            </w:pPr>
            <w:r>
              <w:rPr>
                <w:rFonts w:ascii="Arial" w:cs="Arial" w:eastAsia="Arial" w:hAnsi="Arial"/>
                <w:sz w:val="18"/>
                <w:szCs w:val="18"/>
                <w:color w:val="auto"/>
              </w:rPr>
              <w:t>164 E Houston Street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10/06/08</w:t>
            </w:r>
          </w:p>
        </w:tc>
        <w:tc>
          <w:tcPr>
            <w:tcW w:w="2160" w:type="dxa"/>
            <w:vAlign w:val="bottom"/>
            <w:gridSpan w:val="2"/>
          </w:tcPr>
          <w:p>
            <w:pPr>
              <w:jc w:val="right"/>
              <w:ind w:right="480"/>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189</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Mercer Mall</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09/01/09</w:t>
            </w:r>
          </w:p>
        </w:tc>
        <w:tc>
          <w:tcPr>
            <w:tcW w:w="2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8.375%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420"/>
              <w:spacing w:after="0"/>
              <w:rPr>
                <w:sz w:val="20"/>
                <w:szCs w:val="20"/>
                <w:color w:val="auto"/>
              </w:rPr>
            </w:pPr>
            <w:r>
              <w:rPr>
                <w:rFonts w:ascii="Arial" w:cs="Arial" w:eastAsia="Arial" w:hAnsi="Arial"/>
                <w:sz w:val="18"/>
                <w:szCs w:val="18"/>
                <w:color w:val="auto"/>
              </w:rPr>
              <w:t>Federal Plaza</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06/01/11</w:t>
            </w:r>
          </w:p>
        </w:tc>
        <w:tc>
          <w:tcPr>
            <w:tcW w:w="2160" w:type="dxa"/>
            <w:vAlign w:val="bottom"/>
            <w:gridSpan w:val="2"/>
          </w:tcPr>
          <w:p>
            <w:pPr>
              <w:jc w:val="right"/>
              <w:ind w:right="480"/>
              <w:spacing w:after="0"/>
              <w:rPr>
                <w:sz w:val="20"/>
                <w:szCs w:val="20"/>
                <w:color w:val="auto"/>
              </w:rPr>
            </w:pPr>
            <w:r>
              <w:rPr>
                <w:rFonts w:ascii="Arial" w:cs="Arial" w:eastAsia="Arial" w:hAnsi="Arial"/>
                <w:sz w:val="18"/>
                <w:szCs w:val="18"/>
                <w:color w:val="auto"/>
              </w:rPr>
              <w:t>6.750%</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35,127</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Tyson’s Station</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09/01/11</w:t>
            </w:r>
          </w:p>
        </w:tc>
        <w:tc>
          <w:tcPr>
            <w:tcW w:w="2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7.400%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6,633</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420"/>
              <w:spacing w:after="0"/>
              <w:rPr>
                <w:sz w:val="20"/>
                <w:szCs w:val="20"/>
                <w:color w:val="auto"/>
              </w:rPr>
            </w:pPr>
            <w:r>
              <w:rPr>
                <w:rFonts w:ascii="Arial" w:cs="Arial" w:eastAsia="Arial" w:hAnsi="Arial"/>
                <w:sz w:val="18"/>
                <w:szCs w:val="18"/>
                <w:color w:val="auto"/>
              </w:rPr>
              <w:t>Barracks Road</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11/01/15</w:t>
            </w:r>
          </w:p>
        </w:tc>
        <w:tc>
          <w:tcPr>
            <w:tcW w:w="2160" w:type="dxa"/>
            <w:vAlign w:val="bottom"/>
            <w:gridSpan w:val="2"/>
          </w:tcPr>
          <w:p>
            <w:pPr>
              <w:jc w:val="right"/>
              <w:ind w:right="480"/>
              <w:spacing w:after="0"/>
              <w:rPr>
                <w:sz w:val="20"/>
                <w:szCs w:val="20"/>
                <w:color w:val="auto"/>
              </w:rPr>
            </w:pPr>
            <w:r>
              <w:rPr>
                <w:rFonts w:ascii="Arial" w:cs="Arial" w:eastAsia="Arial" w:hAnsi="Arial"/>
                <w:sz w:val="18"/>
                <w:szCs w:val="18"/>
                <w:color w:val="auto"/>
              </w:rPr>
              <w:t>7.950%</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43,728</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Brick Plaza</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11/01/15</w:t>
            </w:r>
          </w:p>
        </w:tc>
        <w:tc>
          <w:tcPr>
            <w:tcW w:w="2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7.415%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32,533</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420"/>
              <w:spacing w:after="0"/>
              <w:rPr>
                <w:sz w:val="20"/>
                <w:szCs w:val="20"/>
                <w:color w:val="auto"/>
              </w:rPr>
            </w:pPr>
            <w:r>
              <w:rPr>
                <w:rFonts w:ascii="Arial" w:cs="Arial" w:eastAsia="Arial" w:hAnsi="Arial"/>
                <w:sz w:val="18"/>
                <w:szCs w:val="18"/>
                <w:color w:val="auto"/>
              </w:rPr>
              <w:t>Hauppauge</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11/01/15</w:t>
            </w:r>
          </w:p>
        </w:tc>
        <w:tc>
          <w:tcPr>
            <w:tcW w:w="2160" w:type="dxa"/>
            <w:vAlign w:val="bottom"/>
            <w:gridSpan w:val="2"/>
          </w:tcPr>
          <w:p>
            <w:pPr>
              <w:jc w:val="right"/>
              <w:ind w:right="480"/>
              <w:spacing w:after="0"/>
              <w:rPr>
                <w:sz w:val="20"/>
                <w:szCs w:val="20"/>
                <w:color w:val="auto"/>
              </w:rPr>
            </w:pPr>
            <w:r>
              <w:rPr>
                <w:rFonts w:ascii="Arial" w:cs="Arial" w:eastAsia="Arial" w:hAnsi="Arial"/>
                <w:sz w:val="18"/>
                <w:szCs w:val="18"/>
                <w:color w:val="auto"/>
              </w:rPr>
              <w:t>7.950%</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16,484</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Lawrence Park</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11/01/15</w:t>
            </w:r>
          </w:p>
        </w:tc>
        <w:tc>
          <w:tcPr>
            <w:tcW w:w="2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7.950%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30,994</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420"/>
              <w:spacing w:after="0"/>
              <w:rPr>
                <w:sz w:val="20"/>
                <w:szCs w:val="20"/>
                <w:color w:val="auto"/>
              </w:rPr>
            </w:pPr>
            <w:r>
              <w:rPr>
                <w:rFonts w:ascii="Arial" w:cs="Arial" w:eastAsia="Arial" w:hAnsi="Arial"/>
                <w:sz w:val="18"/>
                <w:szCs w:val="18"/>
                <w:color w:val="auto"/>
              </w:rPr>
              <w:t>Wildwood</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11/01/15</w:t>
            </w:r>
          </w:p>
        </w:tc>
        <w:tc>
          <w:tcPr>
            <w:tcW w:w="2160" w:type="dxa"/>
            <w:vAlign w:val="bottom"/>
            <w:gridSpan w:val="2"/>
          </w:tcPr>
          <w:p>
            <w:pPr>
              <w:jc w:val="right"/>
              <w:ind w:right="480"/>
              <w:spacing w:after="0"/>
              <w:rPr>
                <w:sz w:val="20"/>
                <w:szCs w:val="20"/>
                <w:color w:val="auto"/>
              </w:rPr>
            </w:pPr>
            <w:r>
              <w:rPr>
                <w:rFonts w:ascii="Arial" w:cs="Arial" w:eastAsia="Arial" w:hAnsi="Arial"/>
                <w:sz w:val="18"/>
                <w:szCs w:val="18"/>
                <w:color w:val="auto"/>
              </w:rPr>
              <w:t>7.950%</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27,243</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Wynnewood</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11/01/15</w:t>
            </w:r>
          </w:p>
        </w:tc>
        <w:tc>
          <w:tcPr>
            <w:tcW w:w="2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7.950%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31,586</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gridSpan w:val="5"/>
          </w:tcPr>
          <w:p>
            <w:pPr>
              <w:ind w:left="420"/>
              <w:spacing w:after="0"/>
              <w:rPr>
                <w:sz w:val="20"/>
                <w:szCs w:val="20"/>
                <w:color w:val="auto"/>
              </w:rPr>
            </w:pPr>
            <w:r>
              <w:rPr>
                <w:rFonts w:ascii="Arial" w:cs="Arial" w:eastAsia="Arial" w:hAnsi="Arial"/>
                <w:sz w:val="18"/>
                <w:szCs w:val="18"/>
                <w:color w:val="auto"/>
              </w:rPr>
              <w:t>Mount Vernon</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04/15/28</w:t>
            </w:r>
          </w:p>
        </w:tc>
        <w:tc>
          <w:tcPr>
            <w:tcW w:w="2160" w:type="dxa"/>
            <w:vAlign w:val="bottom"/>
            <w:gridSpan w:val="2"/>
          </w:tcPr>
          <w:p>
            <w:pPr>
              <w:jc w:val="right"/>
              <w:ind w:right="280"/>
              <w:spacing w:after="0"/>
              <w:rPr>
                <w:sz w:val="20"/>
                <w:szCs w:val="20"/>
                <w:color w:val="auto"/>
              </w:rPr>
            </w:pPr>
            <w:r>
              <w:rPr>
                <w:rFonts w:ascii="Arial" w:cs="Arial" w:eastAsia="Arial" w:hAnsi="Arial"/>
                <w:sz w:val="18"/>
                <w:szCs w:val="18"/>
                <w:color w:val="auto"/>
              </w:rPr>
              <w:t>5.660%(b)</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12,829</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251,885</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40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Notes Payable</w:t>
            </w: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4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420"/>
              <w:spacing w:after="0"/>
              <w:rPr>
                <w:sz w:val="20"/>
                <w:szCs w:val="20"/>
                <w:color w:val="auto"/>
              </w:rPr>
            </w:pPr>
            <w:r>
              <w:rPr>
                <w:rFonts w:ascii="Arial" w:cs="Arial" w:eastAsia="Arial" w:hAnsi="Arial"/>
                <w:sz w:val="18"/>
                <w:szCs w:val="18"/>
                <w:b w:val="1"/>
                <w:bCs w:val="1"/>
                <w:i w:val="1"/>
                <w:iCs w:val="1"/>
                <w:color w:val="auto"/>
              </w:rPr>
              <w:t>Unsecured Fixed Rate</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Perring Plaza Renovation</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01/31/13</w:t>
            </w:r>
          </w:p>
        </w:tc>
        <w:tc>
          <w:tcPr>
            <w:tcW w:w="2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420"/>
              <w:spacing w:after="0"/>
              <w:rPr>
                <w:sz w:val="20"/>
                <w:szCs w:val="20"/>
                <w:color w:val="auto"/>
              </w:rPr>
            </w:pPr>
            <w:r>
              <w:rPr>
                <w:rFonts w:ascii="Arial" w:cs="Arial" w:eastAsia="Arial" w:hAnsi="Arial"/>
                <w:sz w:val="18"/>
                <w:szCs w:val="18"/>
                <w:color w:val="auto"/>
              </w:rPr>
              <w:t>Other</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various</w:t>
            </w:r>
          </w:p>
        </w:tc>
        <w:tc>
          <w:tcPr>
            <w:tcW w:w="2160" w:type="dxa"/>
            <w:vAlign w:val="bottom"/>
            <w:gridSpan w:val="2"/>
          </w:tcPr>
          <w:p>
            <w:pPr>
              <w:jc w:val="right"/>
              <w:ind w:right="620"/>
              <w:spacing w:after="0"/>
              <w:rPr>
                <w:sz w:val="20"/>
                <w:szCs w:val="20"/>
                <w:color w:val="auto"/>
              </w:rPr>
            </w:pPr>
            <w:r>
              <w:rPr>
                <w:rFonts w:ascii="Arial" w:cs="Arial" w:eastAsia="Arial" w:hAnsi="Arial"/>
                <w:sz w:val="18"/>
                <w:szCs w:val="18"/>
                <w:color w:val="auto"/>
              </w:rPr>
              <w:t>various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420"/>
              <w:spacing w:after="0"/>
              <w:rPr>
                <w:sz w:val="20"/>
                <w:szCs w:val="20"/>
                <w:color w:val="auto"/>
              </w:rPr>
            </w:pPr>
            <w:r>
              <w:rPr>
                <w:rFonts w:ascii="Arial" w:cs="Arial" w:eastAsia="Arial" w:hAnsi="Arial"/>
                <w:sz w:val="18"/>
                <w:szCs w:val="18"/>
                <w:b w:val="1"/>
                <w:bCs w:val="1"/>
                <w:i w:val="1"/>
                <w:iCs w:val="1"/>
                <w:color w:val="auto"/>
              </w:rPr>
              <w:t>Unsecured Variable Rate</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420"/>
              <w:spacing w:after="0"/>
              <w:rPr>
                <w:sz w:val="20"/>
                <w:szCs w:val="20"/>
                <w:color w:val="auto"/>
              </w:rPr>
            </w:pPr>
            <w:r>
              <w:rPr>
                <w:rFonts w:ascii="Arial" w:cs="Arial" w:eastAsia="Arial" w:hAnsi="Arial"/>
                <w:sz w:val="18"/>
                <w:szCs w:val="18"/>
                <w:color w:val="auto"/>
              </w:rPr>
              <w:t>Revolving credit facility</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10/08/06</w:t>
            </w:r>
          </w:p>
        </w:tc>
        <w:tc>
          <w:tcPr>
            <w:tcW w:w="2160" w:type="dxa"/>
            <w:vAlign w:val="bottom"/>
            <w:gridSpan w:val="2"/>
          </w:tcPr>
          <w:p>
            <w:pPr>
              <w:ind w:left="600"/>
              <w:spacing w:after="0"/>
              <w:rPr>
                <w:sz w:val="20"/>
                <w:szCs w:val="20"/>
                <w:color w:val="auto"/>
              </w:rPr>
            </w:pPr>
            <w:r>
              <w:rPr>
                <w:rFonts w:ascii="Arial" w:cs="Arial" w:eastAsia="Arial" w:hAnsi="Arial"/>
                <w:sz w:val="18"/>
                <w:szCs w:val="18"/>
                <w:color w:val="auto"/>
              </w:rPr>
              <w:t>LIBOR + .75%(c)</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55,000</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Term note with banks</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10/08/06</w:t>
            </w:r>
          </w:p>
        </w:tc>
        <w:tc>
          <w:tcPr>
            <w:tcW w:w="2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LIBOR + .95%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420"/>
              <w:spacing w:after="0"/>
              <w:rPr>
                <w:sz w:val="20"/>
                <w:szCs w:val="20"/>
                <w:color w:val="auto"/>
              </w:rPr>
            </w:pPr>
            <w:r>
              <w:rPr>
                <w:rFonts w:ascii="Arial" w:cs="Arial" w:eastAsia="Arial" w:hAnsi="Arial"/>
                <w:sz w:val="18"/>
                <w:szCs w:val="18"/>
                <w:color w:val="auto"/>
              </w:rPr>
              <w:t>Term note with banks</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10/08/08</w:t>
            </w:r>
          </w:p>
        </w:tc>
        <w:tc>
          <w:tcPr>
            <w:tcW w:w="2160" w:type="dxa"/>
            <w:vAlign w:val="bottom"/>
            <w:gridSpan w:val="2"/>
          </w:tcPr>
          <w:p>
            <w:pPr>
              <w:ind w:left="600"/>
              <w:spacing w:after="0"/>
              <w:rPr>
                <w:sz w:val="20"/>
                <w:szCs w:val="20"/>
                <w:color w:val="auto"/>
              </w:rPr>
            </w:pPr>
            <w:r>
              <w:rPr>
                <w:rFonts w:ascii="Arial" w:cs="Arial" w:eastAsia="Arial" w:hAnsi="Arial"/>
                <w:sz w:val="18"/>
                <w:szCs w:val="18"/>
                <w:color w:val="auto"/>
              </w:rPr>
              <w:t>LIBOR + .95%(d)</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150,000</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Escondido (Municipal bonds)</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10/01/16</w:t>
            </w:r>
          </w:p>
        </w:tc>
        <w:tc>
          <w:tcPr>
            <w:tcW w:w="2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2.560%(e)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420"/>
              <w:spacing w:after="0"/>
              <w:rPr>
                <w:sz w:val="20"/>
                <w:szCs w:val="20"/>
                <w:color w:val="auto"/>
              </w:rPr>
            </w:pPr>
            <w:r>
              <w:rPr>
                <w:rFonts w:ascii="Arial" w:cs="Arial" w:eastAsia="Arial" w:hAnsi="Arial"/>
                <w:sz w:val="18"/>
                <w:szCs w:val="18"/>
                <w:b w:val="1"/>
                <w:bCs w:val="1"/>
                <w:i w:val="1"/>
                <w:iCs w:val="1"/>
                <w:color w:val="auto"/>
              </w:rPr>
              <w:t>Secured Fixed Rate</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Loehmann’s Redemption Note</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09/27/06</w:t>
            </w:r>
          </w:p>
        </w:tc>
        <w:tc>
          <w:tcPr>
            <w:tcW w:w="2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2.340%(f)</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8,629</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325,051</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4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4"/>
              </w:rPr>
              <w:t>Notes and Debentures</w:t>
            </w:r>
          </w:p>
        </w:tc>
        <w:tc>
          <w:tcPr>
            <w:tcW w:w="3760" w:type="dxa"/>
            <w:vAlign w:val="bottom"/>
            <w:tcBorders>
              <w:bottom w:val="single" w:sz="8" w:color="CCEEFF"/>
            </w:tcBorders>
            <w:gridSpan w:val="2"/>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420"/>
              <w:spacing w:after="0"/>
              <w:rPr>
                <w:sz w:val="20"/>
                <w:szCs w:val="20"/>
                <w:color w:val="auto"/>
              </w:rPr>
            </w:pPr>
            <w:r>
              <w:rPr>
                <w:rFonts w:ascii="Arial" w:cs="Arial" w:eastAsia="Arial" w:hAnsi="Arial"/>
                <w:sz w:val="18"/>
                <w:szCs w:val="18"/>
                <w:b w:val="1"/>
                <w:bCs w:val="1"/>
                <w:i w:val="1"/>
                <w:iCs w:val="1"/>
                <w:color w:val="auto"/>
              </w:rPr>
              <w:t>Unsecured Fixed Rate</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6.625% Notes (fixed)</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12/01/05</w:t>
            </w:r>
          </w:p>
        </w:tc>
        <w:tc>
          <w:tcPr>
            <w:tcW w:w="2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6.625%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420"/>
              <w:spacing w:after="0"/>
              <w:rPr>
                <w:sz w:val="20"/>
                <w:szCs w:val="20"/>
                <w:color w:val="auto"/>
              </w:rPr>
            </w:pPr>
            <w:r>
              <w:rPr>
                <w:rFonts w:ascii="Arial" w:cs="Arial" w:eastAsia="Arial" w:hAnsi="Arial"/>
                <w:sz w:val="18"/>
                <w:szCs w:val="18"/>
                <w:color w:val="auto"/>
              </w:rPr>
              <w:t>6.99% Medium Term Notes</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03/10/06</w:t>
            </w:r>
          </w:p>
        </w:tc>
        <w:tc>
          <w:tcPr>
            <w:tcW w:w="2160" w:type="dxa"/>
            <w:vAlign w:val="bottom"/>
            <w:gridSpan w:val="2"/>
          </w:tcPr>
          <w:p>
            <w:pPr>
              <w:jc w:val="right"/>
              <w:ind w:right="280"/>
              <w:spacing w:after="0"/>
              <w:rPr>
                <w:sz w:val="20"/>
                <w:szCs w:val="20"/>
                <w:color w:val="auto"/>
              </w:rPr>
            </w:pPr>
            <w:r>
              <w:rPr>
                <w:rFonts w:ascii="Arial" w:cs="Arial" w:eastAsia="Arial" w:hAnsi="Arial"/>
                <w:sz w:val="18"/>
                <w:szCs w:val="18"/>
                <w:color w:val="auto"/>
              </w:rPr>
              <w:t>6.894%(g)</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40,500</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6.125% Notes</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11/15/07</w:t>
            </w:r>
          </w:p>
        </w:tc>
        <w:tc>
          <w:tcPr>
            <w:tcW w:w="2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6.325%(h)</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420"/>
              <w:spacing w:after="0"/>
              <w:rPr>
                <w:sz w:val="20"/>
                <w:szCs w:val="20"/>
                <w:color w:val="auto"/>
              </w:rPr>
            </w:pPr>
            <w:r>
              <w:rPr>
                <w:rFonts w:ascii="Arial" w:cs="Arial" w:eastAsia="Arial" w:hAnsi="Arial"/>
                <w:sz w:val="18"/>
                <w:szCs w:val="18"/>
                <w:color w:val="auto"/>
              </w:rPr>
              <w:t>8.75% Notes</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12/01/09</w:t>
            </w:r>
          </w:p>
        </w:tc>
        <w:tc>
          <w:tcPr>
            <w:tcW w:w="2160" w:type="dxa"/>
            <w:vAlign w:val="bottom"/>
            <w:gridSpan w:val="2"/>
          </w:tcPr>
          <w:p>
            <w:pPr>
              <w:jc w:val="right"/>
              <w:ind w:right="480"/>
              <w:spacing w:after="0"/>
              <w:rPr>
                <w:sz w:val="20"/>
                <w:szCs w:val="20"/>
                <w:color w:val="auto"/>
              </w:rPr>
            </w:pPr>
            <w:r>
              <w:rPr>
                <w:rFonts w:ascii="Arial" w:cs="Arial" w:eastAsia="Arial" w:hAnsi="Arial"/>
                <w:sz w:val="18"/>
                <w:szCs w:val="18"/>
                <w:color w:val="auto"/>
              </w:rPr>
              <w:t>8.750%</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175,000</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4.50% Notes</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02/15/11</w:t>
            </w:r>
          </w:p>
        </w:tc>
        <w:tc>
          <w:tcPr>
            <w:tcW w:w="2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420"/>
              <w:spacing w:after="0"/>
              <w:rPr>
                <w:sz w:val="20"/>
                <w:szCs w:val="20"/>
                <w:color w:val="auto"/>
              </w:rPr>
            </w:pPr>
            <w:r>
              <w:rPr>
                <w:rFonts w:ascii="Arial" w:cs="Arial" w:eastAsia="Arial" w:hAnsi="Arial"/>
                <w:sz w:val="18"/>
                <w:szCs w:val="18"/>
                <w:color w:val="auto"/>
              </w:rPr>
              <w:t>7.48% Debentures</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08/15/26</w:t>
            </w:r>
          </w:p>
        </w:tc>
        <w:tc>
          <w:tcPr>
            <w:tcW w:w="2160" w:type="dxa"/>
            <w:vAlign w:val="bottom"/>
            <w:gridSpan w:val="2"/>
          </w:tcPr>
          <w:p>
            <w:pPr>
              <w:jc w:val="right"/>
              <w:ind w:right="480"/>
              <w:spacing w:after="0"/>
              <w:rPr>
                <w:sz w:val="20"/>
                <w:szCs w:val="20"/>
                <w:color w:val="auto"/>
              </w:rPr>
            </w:pPr>
            <w:r>
              <w:rPr>
                <w:rFonts w:ascii="Arial" w:cs="Arial" w:eastAsia="Arial" w:hAnsi="Arial"/>
                <w:sz w:val="18"/>
                <w:szCs w:val="18"/>
                <w:color w:val="auto"/>
              </w:rPr>
              <w:t>7.480%</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6.82% Medium Term Notes</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08/01/27</w:t>
            </w:r>
          </w:p>
        </w:tc>
        <w:tc>
          <w:tcPr>
            <w:tcW w:w="2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6.820%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Subtotal</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570,500</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gridSpan w:val="5"/>
          </w:tcPr>
          <w:p>
            <w:pPr>
              <w:ind w:left="420"/>
              <w:spacing w:after="0"/>
              <w:rPr>
                <w:sz w:val="20"/>
                <w:szCs w:val="20"/>
                <w:color w:val="auto"/>
              </w:rPr>
            </w:pPr>
            <w:r>
              <w:rPr>
                <w:rFonts w:ascii="Arial" w:cs="Arial" w:eastAsia="Arial" w:hAnsi="Arial"/>
                <w:sz w:val="18"/>
                <w:szCs w:val="18"/>
                <w:color w:val="auto"/>
              </w:rPr>
              <w:t>Less: Unamortized Debt Discount</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(2,379)</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568,121</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40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Capital Lease Obligations</w:t>
            </w: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48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160" w:type="dxa"/>
            <w:vAlign w:val="bottom"/>
            <w:tcBorders>
              <w:top w:val="single" w:sz="8" w:color="CCEEFF"/>
            </w:tcBorders>
            <w:gridSpan w:val="2"/>
          </w:tcPr>
          <w:p>
            <w:pPr>
              <w:jc w:val="right"/>
              <w:ind w:right="460"/>
              <w:spacing w:after="0"/>
              <w:rPr>
                <w:sz w:val="20"/>
                <w:szCs w:val="20"/>
                <w:color w:val="auto"/>
              </w:rPr>
            </w:pPr>
            <w:r>
              <w:rPr>
                <w:rFonts w:ascii="Arial" w:cs="Arial" w:eastAsia="Arial" w:hAnsi="Arial"/>
                <w:sz w:val="18"/>
                <w:szCs w:val="18"/>
                <w:color w:val="auto"/>
                <w:w w:val="89"/>
              </w:rPr>
              <w:t>Various through 2077(i)</w:t>
            </w:r>
          </w:p>
        </w:tc>
        <w:tc>
          <w:tcPr>
            <w:tcW w:w="10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159,000</w:t>
            </w:r>
          </w:p>
        </w:tc>
        <w:tc>
          <w:tcPr>
            <w:tcW w:w="3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860"/>
              <w:spacing w:after="0"/>
              <w:rPr>
                <w:sz w:val="20"/>
                <w:szCs w:val="20"/>
                <w:color w:val="auto"/>
              </w:rPr>
            </w:pPr>
            <w:r>
              <w:rPr>
                <w:rFonts w:ascii="Arial" w:cs="Arial" w:eastAsia="Arial" w:hAnsi="Arial"/>
                <w:sz w:val="18"/>
                <w:szCs w:val="18"/>
                <w:b w:val="1"/>
                <w:bCs w:val="1"/>
                <w:color w:val="auto"/>
              </w:rPr>
              <w:t>Total Fixed and Variable Rate Debt</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1,304,057</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annualized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interest rate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36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Total fixed rate debt</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1,139,657</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87.39%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360" w:type="dxa"/>
            <w:vAlign w:val="bottom"/>
            <w:gridSpan w:val="4"/>
          </w:tcPr>
          <w:p>
            <w:pPr>
              <w:ind w:left="240"/>
              <w:spacing w:after="0"/>
              <w:rPr>
                <w:sz w:val="20"/>
                <w:szCs w:val="20"/>
                <w:color w:val="auto"/>
              </w:rPr>
            </w:pPr>
            <w:r>
              <w:rPr>
                <w:rFonts w:ascii="Arial" w:cs="Arial" w:eastAsia="Arial" w:hAnsi="Arial"/>
                <w:sz w:val="18"/>
                <w:szCs w:val="18"/>
                <w:color w:val="auto"/>
              </w:rPr>
              <w:t>Total variable rate debt</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60" w:type="dxa"/>
            <w:vAlign w:val="bottom"/>
            <w:gridSpan w:val="2"/>
          </w:tcPr>
          <w:p>
            <w:pPr>
              <w:jc w:val="right"/>
              <w:ind w:right="560"/>
              <w:spacing w:after="0"/>
              <w:rPr>
                <w:sz w:val="20"/>
                <w:szCs w:val="20"/>
                <w:color w:val="auto"/>
              </w:rPr>
            </w:pPr>
            <w:r>
              <w:rPr>
                <w:rFonts w:ascii="Arial" w:cs="Arial" w:eastAsia="Arial" w:hAnsi="Arial"/>
                <w:sz w:val="18"/>
                <w:szCs w:val="18"/>
                <w:color w:val="auto"/>
              </w:rPr>
              <w:t>(j)</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164,400</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12.61%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TOTAL DEBT AND CAPITAL LEASES</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1,304,057</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100.00%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5380355</wp:posOffset>
            </wp:positionH>
            <wp:positionV relativeFrom="paragraph">
              <wp:posOffset>-1178560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-1178560</wp:posOffset>
            </wp:positionV>
            <wp:extent cx="2159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-1178560</wp:posOffset>
            </wp:positionV>
            <wp:extent cx="3873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2159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-29210</wp:posOffset>
            </wp:positionV>
            <wp:extent cx="3873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3873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-29210</wp:posOffset>
            </wp:positionV>
            <wp:extent cx="3873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5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Year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5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5"/>
                <w:szCs w:val="15"/>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4760" w:type="dxa"/>
            <w:vAlign w:val="bottom"/>
          </w:tcPr>
          <w:p>
            <w:pPr>
              <w:spacing w:after="0"/>
              <w:rPr>
                <w:sz w:val="22"/>
                <w:szCs w:val="22"/>
                <w:color w:val="auto"/>
              </w:rPr>
            </w:pPr>
          </w:p>
        </w:tc>
        <w:tc>
          <w:tcPr>
            <w:tcW w:w="540" w:type="dxa"/>
            <w:vAlign w:val="bottom"/>
          </w:tcPr>
          <w:p>
            <w:pPr>
              <w:jc w:val="right"/>
              <w:ind w:right="64"/>
              <w:spacing w:after="0"/>
              <w:rPr>
                <w:sz w:val="20"/>
                <w:szCs w:val="20"/>
                <w:color w:val="auto"/>
              </w:rPr>
            </w:pPr>
            <w:r>
              <w:rPr>
                <w:rFonts w:ascii="Arial" w:cs="Arial" w:eastAsia="Arial" w:hAnsi="Arial"/>
                <w:sz w:val="14"/>
                <w:szCs w:val="14"/>
                <w:b w:val="1"/>
                <w:bCs w:val="1"/>
                <w:color w:val="auto"/>
              </w:rPr>
              <w:t>2004</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2003</w:t>
            </w:r>
          </w:p>
        </w:tc>
        <w:tc>
          <w:tcPr>
            <w:tcW w:w="620" w:type="dxa"/>
            <w:vAlign w:val="bottom"/>
            <w:gridSpan w:val="2"/>
          </w:tcPr>
          <w:p>
            <w:pPr>
              <w:ind w:left="300"/>
              <w:spacing w:after="0"/>
              <w:rPr>
                <w:sz w:val="20"/>
                <w:szCs w:val="20"/>
                <w:color w:val="auto"/>
              </w:rPr>
            </w:pPr>
            <w:r>
              <w:rPr>
                <w:rFonts w:ascii="Arial" w:cs="Arial" w:eastAsia="Arial" w:hAnsi="Arial"/>
                <w:sz w:val="14"/>
                <w:szCs w:val="14"/>
                <w:b w:val="1"/>
                <w:bCs w:val="1"/>
                <w:color w:val="auto"/>
                <w:w w:val="96"/>
              </w:rPr>
              <w:t>2004</w:t>
            </w:r>
          </w:p>
        </w:tc>
        <w:tc>
          <w:tcPr>
            <w:tcW w:w="620" w:type="dxa"/>
            <w:vAlign w:val="bottom"/>
            <w:gridSpan w:val="2"/>
          </w:tcPr>
          <w:p>
            <w:pPr>
              <w:ind w:left="300"/>
              <w:spacing w:after="0"/>
              <w:rPr>
                <w:sz w:val="20"/>
                <w:szCs w:val="20"/>
                <w:color w:val="auto"/>
              </w:rPr>
            </w:pPr>
            <w:r>
              <w:rPr>
                <w:rFonts w:ascii="Arial" w:cs="Arial" w:eastAsia="Arial" w:hAnsi="Arial"/>
                <w:sz w:val="14"/>
                <w:szCs w:val="14"/>
                <w:b w:val="1"/>
                <w:bCs w:val="1"/>
                <w:color w:val="auto"/>
                <w:w w:val="96"/>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16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6"/>
              </w:rPr>
              <w:t>Operational Statistics</w:t>
            </w:r>
          </w:p>
        </w:tc>
        <w:tc>
          <w:tcPr>
            <w:tcW w:w="47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ind w:left="420"/>
              <w:spacing w:after="0"/>
              <w:rPr>
                <w:sz w:val="20"/>
                <w:szCs w:val="20"/>
                <w:color w:val="auto"/>
              </w:rPr>
            </w:pPr>
            <w:r>
              <w:rPr>
                <w:rFonts w:ascii="Arial" w:cs="Arial" w:eastAsia="Arial" w:hAnsi="Arial"/>
                <w:sz w:val="18"/>
                <w:szCs w:val="18"/>
                <w:color w:val="auto"/>
                <w:w w:val="96"/>
              </w:rPr>
              <w:t>Ratio of EBITDA to combined fixed charges and preferred share dividends (k)</w:t>
            </w:r>
          </w:p>
        </w:tc>
        <w:tc>
          <w:tcPr>
            <w:tcW w:w="540" w:type="dxa"/>
            <w:vAlign w:val="bottom"/>
          </w:tcPr>
          <w:p>
            <w:pPr>
              <w:jc w:val="right"/>
              <w:spacing w:after="0"/>
              <w:rPr>
                <w:sz w:val="20"/>
                <w:szCs w:val="20"/>
                <w:color w:val="auto"/>
              </w:rPr>
            </w:pPr>
            <w:r>
              <w:rPr>
                <w:rFonts w:ascii="Arial" w:cs="Arial" w:eastAsia="Arial" w:hAnsi="Arial"/>
                <w:sz w:val="18"/>
                <w:szCs w:val="18"/>
                <w:color w:val="auto"/>
              </w:rPr>
              <w:t>2.56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2.99</w:t>
            </w:r>
          </w:p>
        </w:tc>
        <w:tc>
          <w:tcPr>
            <w:tcW w:w="620" w:type="dxa"/>
            <w:vAlign w:val="bottom"/>
            <w:gridSpan w:val="2"/>
          </w:tcPr>
          <w:p>
            <w:pPr>
              <w:ind w:left="300"/>
              <w:spacing w:after="0"/>
              <w:rPr>
                <w:sz w:val="20"/>
                <w:szCs w:val="20"/>
                <w:color w:val="auto"/>
              </w:rPr>
            </w:pPr>
            <w:r>
              <w:rPr>
                <w:rFonts w:ascii="Arial" w:cs="Arial" w:eastAsia="Arial" w:hAnsi="Arial"/>
                <w:sz w:val="18"/>
                <w:szCs w:val="18"/>
                <w:color w:val="auto"/>
                <w:w w:val="85"/>
              </w:rPr>
              <w:t>2.51</w:t>
            </w:r>
          </w:p>
        </w:tc>
        <w:tc>
          <w:tcPr>
            <w:tcW w:w="620" w:type="dxa"/>
            <w:vAlign w:val="bottom"/>
            <w:gridSpan w:val="2"/>
          </w:tcPr>
          <w:p>
            <w:pPr>
              <w:ind w:left="320"/>
              <w:spacing w:after="0"/>
              <w:rPr>
                <w:sz w:val="20"/>
                <w:szCs w:val="20"/>
                <w:color w:val="auto"/>
              </w:rPr>
            </w:pPr>
            <w:r>
              <w:rPr>
                <w:rFonts w:ascii="Arial" w:cs="Arial" w:eastAsia="Arial" w:hAnsi="Arial"/>
                <w:sz w:val="18"/>
                <w:szCs w:val="18"/>
                <w:color w:val="auto"/>
                <w:w w:val="79"/>
              </w:rPr>
              <w:t>2.24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Ratio of Adjusted EBITDA to combined fixed charges and preferred share</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dividends (k)</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5"/>
              </w:rPr>
              <w:t>2.37</w:t>
            </w: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2.06</w:t>
            </w:r>
          </w:p>
        </w:tc>
        <w:tc>
          <w:tcPr>
            <w:tcW w:w="0" w:type="dxa"/>
            <w:vAlign w:val="bottom"/>
          </w:tcPr>
          <w:p>
            <w:pPr>
              <w:spacing w:after="0"/>
              <w:rPr>
                <w:sz w:val="1"/>
                <w:szCs w:val="1"/>
                <w:color w:val="auto"/>
              </w:rPr>
            </w:pPr>
          </w:p>
        </w:tc>
      </w:tr>
    </w:tbl>
    <w:p>
      <w:pPr>
        <w:sectPr>
          <w:pgSz w:w="11900" w:h="16857" w:orient="portrait"/>
          <w:cols w:equalWidth="0" w:num="1">
            <w:col w:w="11420"/>
          </w:cols>
          <w:pgMar w:left="240" w:top="274" w:right="239" w:bottom="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0007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0075" cy="8890"/>
                    </a:xfrm>
                    <a:prstGeom prst="rect">
                      <a:avLst/>
                    </a:prstGeom>
                    <a:noFill/>
                  </pic:spPr>
                </pic:pic>
              </a:graphicData>
            </a:graphic>
          </wp:anchor>
        </w:drawing>
        <w:t>Notes:</w:t>
      </w:r>
    </w:p>
    <w:p>
      <w:pPr>
        <w:spacing w:after="0" w:line="77"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Mortgage loans do not include the Trust’s 30% share ($14.2 million) of the $47.2 million debt of the partnership with Clarion Lion Properties Fund.</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lender has the option to call the loan on April 15, 2013 or anytime thereafter.</w:t>
      </w:r>
    </w:p>
    <w:p>
      <w:pPr>
        <w:spacing w:after="0" w:line="9" w:lineRule="exact"/>
        <w:rPr>
          <w:rFonts w:ascii="Arial" w:cs="Arial" w:eastAsia="Arial" w:hAnsi="Arial"/>
          <w:sz w:val="18"/>
          <w:szCs w:val="18"/>
          <w:color w:val="auto"/>
        </w:rPr>
      </w:pPr>
    </w:p>
    <w:p>
      <w:pPr>
        <w:ind w:left="460" w:right="40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$300 million three-year revolving credit facility, with a one-year extension option. The weighted average effective rate for the quarter and year was 2.86% and 2.22%, respectively.</w:t>
      </w:r>
    </w:p>
    <w:p>
      <w:pPr>
        <w:ind w:left="46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January 2004, the Trust purchased an interest rate swap on this note thereby locking in the LIBOR portion of the interest rate at 2.401% through October 2006.</w:t>
      </w:r>
    </w:p>
    <w:p>
      <w:pPr>
        <w:ind w:left="460" w:right="560" w:hanging="452"/>
        <w:spacing w:after="0" w:line="281"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bonds bear interest at a variable rate determined weekly to be the interest rate which would enable the bonds to be remarketed at 100% of their principal amount. The weighted average interest rate for the twelve months ended December 31, 2004 was 2.71%.</w:t>
      </w:r>
    </w:p>
    <w:p>
      <w:pPr>
        <w:spacing w:after="0" w:line="1" w:lineRule="exact"/>
        <w:rPr>
          <w:rFonts w:ascii="Arial" w:cs="Arial" w:eastAsia="Arial" w:hAnsi="Arial"/>
          <w:sz w:val="16"/>
          <w:szCs w:val="16"/>
          <w:color w:val="auto"/>
        </w:rPr>
      </w:pPr>
    </w:p>
    <w:p>
      <w:pPr>
        <w:ind w:left="460" w:right="58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note bears interest at the Applicable Federal Rate established by the Internal Revenue Service for short-term debt instruments for the month of September 2004. It was paid in full on February 1, 2005.</w:t>
      </w: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Trust purchased interest rate swaps at issuance, thereby reducing the effective interest on these notes.</w:t>
      </w:r>
    </w:p>
    <w:p>
      <w:pPr>
        <w:spacing w:after="0" w:line="9" w:lineRule="exact"/>
        <w:rPr>
          <w:rFonts w:ascii="Arial" w:cs="Arial" w:eastAsia="Arial" w:hAnsi="Arial"/>
          <w:sz w:val="18"/>
          <w:szCs w:val="18"/>
          <w:color w:val="auto"/>
        </w:rPr>
      </w:pPr>
    </w:p>
    <w:p>
      <w:pPr>
        <w:ind w:left="460" w:right="38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Trust purchased an interest rate lock to hedge this note offering. A loss of $1.5 million associated with this hedge is being amortized into the note offering thereby increasing the effective interest rate on these notes to 6.325%.</w:t>
      </w:r>
    </w:p>
    <w:p>
      <w:pPr>
        <w:ind w:left="460" w:right="40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average annualized interest rate on capital lease obligations as of December 31, 2004 is 8.78% on a basis of minimum rent and 11.01% including performance-based participation rent paid by the Trust.</w:t>
      </w: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Average annualized interest rate on variable rate debt as of December 31, 2004.</w:t>
      </w:r>
    </w:p>
    <w:p>
      <w:pPr>
        <w:spacing w:after="0" w:line="9" w:lineRule="exact"/>
        <w:rPr>
          <w:rFonts w:ascii="Arial" w:cs="Arial" w:eastAsia="Arial" w:hAnsi="Arial"/>
          <w:sz w:val="18"/>
          <w:szCs w:val="18"/>
          <w:color w:val="auto"/>
        </w:rPr>
      </w:pPr>
    </w:p>
    <w:p>
      <w:pPr>
        <w:ind w:left="460" w:right="100" w:hanging="452"/>
        <w:spacing w:after="0" w:line="302"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Fixed charges consist of interest on borrowed funds (including capitalized interest), amortization of debt discount and expense and the portion of rent expense representing an interest factor. Preferred share dividends consist of dividends paid on outstanding Series A preferred shares (through redemption) and Series B preferred shares. Adjusted EBITDA is reconciled to net income in the Glossary of Terms.</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53" w:right="29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Debt Maturities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MATURITIES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14"/>
              <w:spacing w:after="0" w:line="149" w:lineRule="exact"/>
              <w:rPr>
                <w:sz w:val="20"/>
                <w:szCs w:val="20"/>
                <w:color w:val="auto"/>
              </w:rPr>
            </w:pPr>
            <w:r>
              <w:rPr>
                <w:rFonts w:ascii="Arial" w:cs="Arial" w:eastAsia="Arial" w:hAnsi="Arial"/>
                <w:sz w:val="14"/>
                <w:szCs w:val="14"/>
                <w:b w:val="1"/>
                <w:bCs w:val="1"/>
                <w:color w:val="auto"/>
                <w:w w:val="81"/>
              </w:rPr>
              <w:t>Scheduled</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8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Percent of</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74"/>
        </w:trPr>
        <w:tc>
          <w:tcPr>
            <w:tcW w:w="4980" w:type="dxa"/>
            <w:vAlign w:val="bottom"/>
            <w:gridSpan w:val="4"/>
          </w:tcPr>
          <w:p>
            <w:pPr>
              <w:spacing w:after="0"/>
              <w:rPr>
                <w:sz w:val="20"/>
                <w:szCs w:val="20"/>
                <w:color w:val="auto"/>
              </w:rPr>
            </w:pPr>
            <w:r>
              <w:rPr>
                <w:rFonts w:ascii="Arial" w:cs="Arial" w:eastAsia="Arial" w:hAnsi="Arial"/>
                <w:sz w:val="14"/>
                <w:szCs w:val="14"/>
                <w:b w:val="1"/>
                <w:bCs w:val="1"/>
                <w:color w:val="auto"/>
              </w:rPr>
              <w:t>Year</w:t>
            </w:r>
          </w:p>
        </w:tc>
        <w:tc>
          <w:tcPr>
            <w:tcW w:w="2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7"/>
              </w:rPr>
              <w:t>Maturities</w:t>
            </w:r>
          </w:p>
        </w:tc>
        <w:tc>
          <w:tcPr>
            <w:tcW w:w="100" w:type="dxa"/>
            <w:vAlign w:val="bottom"/>
          </w:tcPr>
          <w:p>
            <w:pPr>
              <w:spacing w:after="0"/>
              <w:rPr>
                <w:sz w:val="15"/>
                <w:szCs w:val="15"/>
                <w:color w:val="auto"/>
              </w:rPr>
            </w:pPr>
          </w:p>
        </w:tc>
        <w:tc>
          <w:tcPr>
            <w:tcW w:w="136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Total</w:t>
            </w:r>
          </w:p>
        </w:tc>
        <w:tc>
          <w:tcPr>
            <w:tcW w:w="14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1"/>
              </w:rPr>
              <w:t>Debt Maturing</w:t>
            </w: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Debt Maturing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2005</w:t>
            </w:r>
          </w:p>
        </w:tc>
        <w:tc>
          <w:tcPr>
            <w:tcW w:w="40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4,357</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44,357</w:t>
            </w:r>
          </w:p>
        </w:tc>
        <w:tc>
          <w:tcPr>
            <w:tcW w:w="6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2006</w:t>
            </w:r>
          </w:p>
        </w:tc>
        <w:tc>
          <w:tcPr>
            <w:tcW w:w="4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5,037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204,129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209,166(1)</w:t>
            </w: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16.0%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2007</w:t>
            </w:r>
          </w:p>
        </w:tc>
        <w:tc>
          <w:tcPr>
            <w:tcW w:w="4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149,279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154,715</w:t>
            </w:r>
          </w:p>
        </w:tc>
        <w:tc>
          <w:tcPr>
            <w:tcW w:w="6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2008</w:t>
            </w:r>
          </w:p>
        </w:tc>
        <w:tc>
          <w:tcPr>
            <w:tcW w:w="4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5,828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159,542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165,370</w:t>
            </w:r>
          </w:p>
        </w:tc>
        <w:tc>
          <w:tcPr>
            <w:tcW w:w="66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12.7%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2009</w:t>
            </w:r>
          </w:p>
        </w:tc>
        <w:tc>
          <w:tcPr>
            <w:tcW w:w="4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178,332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184,496</w:t>
            </w:r>
          </w:p>
        </w:tc>
        <w:tc>
          <w:tcPr>
            <w:tcW w:w="6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2010</w:t>
            </w:r>
          </w:p>
        </w:tc>
        <w:tc>
          <w:tcPr>
            <w:tcW w:w="4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6,639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6,639</w:t>
            </w:r>
          </w:p>
        </w:tc>
        <w:tc>
          <w:tcPr>
            <w:tcW w:w="66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0.5%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2011</w:t>
            </w:r>
          </w:p>
        </w:tc>
        <w:tc>
          <w:tcPr>
            <w:tcW w:w="4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111,631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118,301</w:t>
            </w:r>
          </w:p>
        </w:tc>
        <w:tc>
          <w:tcPr>
            <w:tcW w:w="6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2012</w:t>
            </w:r>
          </w:p>
        </w:tc>
        <w:tc>
          <w:tcPr>
            <w:tcW w:w="4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6,801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6,801</w:t>
            </w:r>
          </w:p>
        </w:tc>
        <w:tc>
          <w:tcPr>
            <w:tcW w:w="66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0.5%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2013</w:t>
            </w:r>
          </w:p>
        </w:tc>
        <w:tc>
          <w:tcPr>
            <w:tcW w:w="4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5,361</w:t>
            </w:r>
          </w:p>
        </w:tc>
        <w:tc>
          <w:tcPr>
            <w:tcW w:w="6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2014</w:t>
            </w:r>
          </w:p>
        </w:tc>
        <w:tc>
          <w:tcPr>
            <w:tcW w:w="4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5,771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5,771</w:t>
            </w:r>
          </w:p>
        </w:tc>
        <w:tc>
          <w:tcPr>
            <w:tcW w:w="66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0.4%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157,874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245,206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403,080</w:t>
            </w:r>
          </w:p>
        </w:tc>
        <w:tc>
          <w:tcPr>
            <w:tcW w:w="6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215,938</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1,088,119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1,304,057</w:t>
            </w:r>
          </w:p>
        </w:tc>
        <w:tc>
          <w:tcPr>
            <w:tcW w:w="6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100.0%</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3167380</wp:posOffset>
            </wp:positionH>
            <wp:positionV relativeFrom="paragraph">
              <wp:posOffset>-172720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-172720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-172720</wp:posOffset>
            </wp:positionV>
            <wp:extent cx="2159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-172720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-172720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-172720</wp:posOffset>
            </wp:positionV>
            <wp:extent cx="2159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-172720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-172720</wp:posOffset>
            </wp:positionV>
            <wp:extent cx="2159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-172720</wp:posOffset>
            </wp:positionV>
            <wp:extent cx="3873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-172720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-172720</wp:posOffset>
            </wp:positionV>
            <wp:extent cx="3873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w:t>
      </w:r>
    </w:p>
    <w:p>
      <w:pPr>
        <w:spacing w:after="0" w:line="77" w:lineRule="exact"/>
        <w:rPr>
          <w:sz w:val="20"/>
          <w:szCs w:val="20"/>
          <w:color w:val="auto"/>
        </w:rPr>
      </w:pPr>
    </w:p>
    <w:p>
      <w:pPr>
        <w:ind w:left="5620" w:right="2300" w:hanging="5612"/>
        <w:spacing w:after="0" w:line="440" w:lineRule="auto"/>
        <w:tabs>
          <w:tab w:leader="none" w:pos="4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a $100 million term loan and $55 million drawn under the Trust’s $300 million three-year revolving credit facility. 14</w:t>
      </w:r>
    </w:p>
    <w:p>
      <w:pPr>
        <w:sectPr>
          <w:pgSz w:w="11900" w:h="16838" w:orient="portrait"/>
          <w:cols w:equalWidth="0" w:num="1">
            <w:col w:w="11420"/>
          </w:cols>
          <w:pgMar w:left="240" w:top="274" w:right="239" w:bottom="1440" w:gutter="0" w:footer="0" w:header="0"/>
        </w:sectPr>
      </w:pPr>
    </w:p>
    <w:bookmarkStart w:id="20" w:name="page21"/>
    <w:bookmarkEnd w:id="20"/>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Redevelopment Opportunities and Santana Row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Redevelopment Opportunities (1) ($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3"/>
              </w:rPr>
              <w:t>Cost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1"/>
              </w:rPr>
              <w:t>Projected</w:t>
            </w:r>
          </w:p>
        </w:tc>
        <w:tc>
          <w:tcPr>
            <w:tcW w:w="2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Projected</w:t>
            </w:r>
          </w:p>
        </w:tc>
        <w:tc>
          <w:tcPr>
            <w:tcW w:w="80" w:type="dxa"/>
            <w:vAlign w:val="bottom"/>
          </w:tcPr>
          <w:p>
            <w:pPr>
              <w:spacing w:after="0"/>
              <w:rPr>
                <w:sz w:val="12"/>
                <w:szCs w:val="12"/>
                <w:color w:val="auto"/>
              </w:rPr>
            </w:pPr>
          </w:p>
        </w:tc>
        <w:tc>
          <w:tcPr>
            <w:tcW w:w="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to</w:t>
            </w:r>
          </w:p>
        </w:tc>
        <w:tc>
          <w:tcPr>
            <w:tcW w:w="0" w:type="dxa"/>
            <w:vAlign w:val="bottom"/>
          </w:tcPr>
          <w:p>
            <w:pPr>
              <w:spacing w:after="0"/>
              <w:rPr>
                <w:sz w:val="1"/>
                <w:szCs w:val="1"/>
                <w:color w:val="auto"/>
              </w:rPr>
            </w:pPr>
          </w:p>
        </w:tc>
      </w:tr>
      <w:tr>
        <w:trPr>
          <w:trHeight w:val="174"/>
        </w:trPr>
        <w:tc>
          <w:tcPr>
            <w:tcW w:w="3600" w:type="dxa"/>
            <w:vAlign w:val="bottom"/>
            <w:gridSpan w:val="3"/>
          </w:tcPr>
          <w:p>
            <w:pPr>
              <w:spacing w:after="0"/>
              <w:rPr>
                <w:sz w:val="20"/>
                <w:szCs w:val="20"/>
                <w:color w:val="auto"/>
              </w:rPr>
            </w:pPr>
            <w:r>
              <w:rPr>
                <w:rFonts w:ascii="Arial" w:cs="Arial" w:eastAsia="Arial" w:hAnsi="Arial"/>
                <w:sz w:val="14"/>
                <w:szCs w:val="14"/>
                <w:b w:val="1"/>
                <w:bCs w:val="1"/>
                <w:color w:val="auto"/>
              </w:rPr>
              <w:t>Property</w:t>
            </w:r>
          </w:p>
        </w:tc>
        <w:tc>
          <w:tcPr>
            <w:tcW w:w="56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Location</w:t>
            </w:r>
          </w:p>
        </w:tc>
        <w:tc>
          <w:tcPr>
            <w:tcW w:w="1320" w:type="dxa"/>
            <w:vAlign w:val="bottom"/>
          </w:tcPr>
          <w:p>
            <w:pPr>
              <w:spacing w:after="0"/>
              <w:rPr>
                <w:sz w:val="15"/>
                <w:szCs w:val="15"/>
                <w:color w:val="auto"/>
              </w:rPr>
            </w:pPr>
          </w:p>
        </w:tc>
        <w:tc>
          <w:tcPr>
            <w:tcW w:w="2340" w:type="dxa"/>
            <w:vAlign w:val="bottom"/>
            <w:gridSpan w:val="3"/>
          </w:tcPr>
          <w:p>
            <w:pPr>
              <w:ind w:left="120"/>
              <w:spacing w:after="0"/>
              <w:rPr>
                <w:sz w:val="20"/>
                <w:szCs w:val="20"/>
                <w:color w:val="auto"/>
              </w:rPr>
            </w:pPr>
            <w:r>
              <w:rPr>
                <w:rFonts w:ascii="Arial" w:cs="Arial" w:eastAsia="Arial" w:hAnsi="Arial"/>
                <w:sz w:val="14"/>
                <w:szCs w:val="14"/>
                <w:b w:val="1"/>
                <w:bCs w:val="1"/>
                <w:color w:val="auto"/>
              </w:rPr>
              <w:t>Opportunity</w:t>
            </w: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ROI (2)</w:t>
            </w:r>
          </w:p>
        </w:tc>
        <w:tc>
          <w:tcPr>
            <w:tcW w:w="20" w:type="dxa"/>
            <w:vAlign w:val="bottom"/>
          </w:tcPr>
          <w:p>
            <w:pPr>
              <w:spacing w:after="0"/>
              <w:rPr>
                <w:sz w:val="15"/>
                <w:szCs w:val="15"/>
                <w:color w:val="auto"/>
              </w:rPr>
            </w:pP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color w:val="auto"/>
              </w:rPr>
              <w:t>Cost (1)</w:t>
            </w:r>
          </w:p>
        </w:tc>
        <w:tc>
          <w:tcPr>
            <w:tcW w:w="4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Projects Stabilized in 2004 (3)</w:t>
            </w: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Santana Row Phase II</w:t>
            </w:r>
          </w:p>
        </w:tc>
        <w:tc>
          <w:tcPr>
            <w:tcW w:w="1820" w:type="dxa"/>
            <w:vAlign w:val="bottom"/>
            <w:gridSpan w:val="3"/>
          </w:tcPr>
          <w:p>
            <w:pPr>
              <w:ind w:left="60"/>
              <w:spacing w:after="0"/>
              <w:rPr>
                <w:sz w:val="20"/>
                <w:szCs w:val="20"/>
                <w:color w:val="auto"/>
              </w:rPr>
            </w:pPr>
            <w:r>
              <w:rPr>
                <w:rFonts w:ascii="Arial" w:cs="Arial" w:eastAsia="Arial" w:hAnsi="Arial"/>
                <w:sz w:val="18"/>
                <w:szCs w:val="18"/>
                <w:color w:val="auto"/>
              </w:rPr>
              <w:t>San Jose, CA</w:t>
            </w:r>
          </w:p>
        </w:tc>
        <w:tc>
          <w:tcPr>
            <w:tcW w:w="3660" w:type="dxa"/>
            <w:vAlign w:val="bottom"/>
            <w:gridSpan w:val="4"/>
          </w:tcPr>
          <w:p>
            <w:pPr>
              <w:ind w:left="280"/>
              <w:spacing w:after="0"/>
              <w:rPr>
                <w:sz w:val="20"/>
                <w:szCs w:val="20"/>
                <w:color w:val="auto"/>
              </w:rPr>
            </w:pPr>
            <w:r>
              <w:rPr>
                <w:rFonts w:ascii="Arial" w:cs="Arial" w:eastAsia="Arial" w:hAnsi="Arial"/>
                <w:sz w:val="18"/>
                <w:szCs w:val="18"/>
                <w:color w:val="auto"/>
              </w:rPr>
              <w:t>Two new pad sites (Best Buy and The</w:t>
            </w: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60" w:type="dxa"/>
            <w:vAlign w:val="bottom"/>
            <w:gridSpan w:val="4"/>
          </w:tcPr>
          <w:p>
            <w:pPr>
              <w:ind w:left="280"/>
              <w:spacing w:after="0"/>
              <w:rPr>
                <w:sz w:val="20"/>
                <w:szCs w:val="20"/>
                <w:color w:val="auto"/>
              </w:rPr>
            </w:pPr>
            <w:r>
              <w:rPr>
                <w:rFonts w:ascii="Arial" w:cs="Arial" w:eastAsia="Arial" w:hAnsi="Arial"/>
                <w:sz w:val="18"/>
                <w:szCs w:val="18"/>
                <w:color w:val="auto"/>
              </w:rPr>
              <w:t>Container Store) and additional parking</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17%</w:t>
            </w: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26.8</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25.4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Houston Street</w:t>
            </w:r>
          </w:p>
        </w:tc>
        <w:tc>
          <w:tcPr>
            <w:tcW w:w="18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San Antonio, TX</w:t>
            </w:r>
          </w:p>
        </w:tc>
        <w:tc>
          <w:tcPr>
            <w:tcW w:w="366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Retail and ground lease to Hotel Valencia</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Santana Row Phase III</w:t>
            </w:r>
          </w:p>
        </w:tc>
        <w:tc>
          <w:tcPr>
            <w:tcW w:w="1820" w:type="dxa"/>
            <w:vAlign w:val="bottom"/>
            <w:gridSpan w:val="3"/>
          </w:tcPr>
          <w:p>
            <w:pPr>
              <w:ind w:left="60"/>
              <w:spacing w:after="0"/>
              <w:rPr>
                <w:sz w:val="20"/>
                <w:szCs w:val="20"/>
                <w:color w:val="auto"/>
              </w:rPr>
            </w:pPr>
            <w:r>
              <w:rPr>
                <w:rFonts w:ascii="Arial" w:cs="Arial" w:eastAsia="Arial" w:hAnsi="Arial"/>
                <w:sz w:val="18"/>
                <w:szCs w:val="18"/>
                <w:color w:val="auto"/>
              </w:rPr>
              <w:t>San Jose, CA</w:t>
            </w:r>
          </w:p>
        </w:tc>
        <w:tc>
          <w:tcPr>
            <w:tcW w:w="3660" w:type="dxa"/>
            <w:vAlign w:val="bottom"/>
            <w:gridSpan w:val="4"/>
          </w:tcPr>
          <w:p>
            <w:pPr>
              <w:ind w:left="280"/>
              <w:spacing w:after="0"/>
              <w:rPr>
                <w:sz w:val="20"/>
                <w:szCs w:val="20"/>
                <w:color w:val="auto"/>
              </w:rPr>
            </w:pPr>
            <w:r>
              <w:rPr>
                <w:rFonts w:ascii="Arial" w:cs="Arial" w:eastAsia="Arial" w:hAnsi="Arial"/>
                <w:sz w:val="18"/>
                <w:szCs w:val="18"/>
                <w:color w:val="auto"/>
              </w:rPr>
              <w:t>Pad site (theater &amp; restaurant)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10%</w:t>
            </w: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Garden Market</w:t>
            </w:r>
          </w:p>
        </w:tc>
        <w:tc>
          <w:tcPr>
            <w:tcW w:w="18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Western Springs, IL</w:t>
            </w:r>
          </w:p>
        </w:tc>
        <w:tc>
          <w:tcPr>
            <w:tcW w:w="366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Expansion, re-tenanting (new grocer) and</w:t>
            </w: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66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new pad site (existing drug store)</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Perring Plaza</w:t>
            </w:r>
          </w:p>
        </w:tc>
        <w:tc>
          <w:tcPr>
            <w:tcW w:w="1820" w:type="dxa"/>
            <w:vAlign w:val="bottom"/>
            <w:gridSpan w:val="3"/>
          </w:tcPr>
          <w:p>
            <w:pPr>
              <w:ind w:left="60"/>
              <w:spacing w:after="0"/>
              <w:rPr>
                <w:sz w:val="20"/>
                <w:szCs w:val="20"/>
                <w:color w:val="auto"/>
              </w:rPr>
            </w:pPr>
            <w:r>
              <w:rPr>
                <w:rFonts w:ascii="Arial" w:cs="Arial" w:eastAsia="Arial" w:hAnsi="Arial"/>
                <w:sz w:val="18"/>
                <w:szCs w:val="18"/>
                <w:color w:val="auto"/>
              </w:rPr>
              <w:t>Baltimore, MD</w:t>
            </w:r>
          </w:p>
        </w:tc>
        <w:tc>
          <w:tcPr>
            <w:tcW w:w="3660" w:type="dxa"/>
            <w:vAlign w:val="bottom"/>
            <w:gridSpan w:val="4"/>
          </w:tcPr>
          <w:p>
            <w:pPr>
              <w:ind w:left="280"/>
              <w:spacing w:after="0"/>
              <w:rPr>
                <w:sz w:val="20"/>
                <w:szCs w:val="20"/>
                <w:color w:val="auto"/>
              </w:rPr>
            </w:pPr>
            <w:r>
              <w:rPr>
                <w:rFonts w:ascii="Arial" w:cs="Arial" w:eastAsia="Arial" w:hAnsi="Arial"/>
                <w:sz w:val="18"/>
                <w:szCs w:val="18"/>
                <w:color w:val="auto"/>
              </w:rPr>
              <w:t>Re-tenanting (sporting goods and small</w:t>
            </w: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60" w:type="dxa"/>
            <w:vAlign w:val="bottom"/>
            <w:gridSpan w:val="4"/>
          </w:tcPr>
          <w:p>
            <w:pPr>
              <w:ind w:left="280"/>
              <w:spacing w:after="0"/>
              <w:rPr>
                <w:sz w:val="20"/>
                <w:szCs w:val="20"/>
                <w:color w:val="auto"/>
              </w:rPr>
            </w:pPr>
            <w:r>
              <w:rPr>
                <w:rFonts w:ascii="Arial" w:cs="Arial" w:eastAsia="Arial" w:hAnsi="Arial"/>
                <w:sz w:val="18"/>
                <w:szCs w:val="18"/>
                <w:color w:val="auto"/>
              </w:rPr>
              <w:t>shops)</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6%</w:t>
            </w: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Old Town Center</w:t>
            </w:r>
          </w:p>
        </w:tc>
        <w:tc>
          <w:tcPr>
            <w:tcW w:w="18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Los Gatos, CA</w:t>
            </w:r>
          </w:p>
        </w:tc>
        <w:tc>
          <w:tcPr>
            <w:tcW w:w="366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Re-tenanting (office) and site</w:t>
            </w: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66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improvements</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Bethesda Row</w:t>
            </w:r>
          </w:p>
        </w:tc>
        <w:tc>
          <w:tcPr>
            <w:tcW w:w="1820" w:type="dxa"/>
            <w:vAlign w:val="bottom"/>
            <w:gridSpan w:val="3"/>
          </w:tcPr>
          <w:p>
            <w:pPr>
              <w:ind w:left="60"/>
              <w:spacing w:after="0"/>
              <w:rPr>
                <w:sz w:val="20"/>
                <w:szCs w:val="20"/>
                <w:color w:val="auto"/>
              </w:rPr>
            </w:pPr>
            <w:r>
              <w:rPr>
                <w:rFonts w:ascii="Arial" w:cs="Arial" w:eastAsia="Arial" w:hAnsi="Arial"/>
                <w:sz w:val="18"/>
                <w:szCs w:val="18"/>
                <w:color w:val="auto"/>
              </w:rPr>
              <w:t>Bethesda, MD</w:t>
            </w:r>
          </w:p>
        </w:tc>
        <w:tc>
          <w:tcPr>
            <w:tcW w:w="3660" w:type="dxa"/>
            <w:vAlign w:val="bottom"/>
            <w:gridSpan w:val="4"/>
          </w:tcPr>
          <w:p>
            <w:pPr>
              <w:ind w:left="280"/>
              <w:spacing w:after="0"/>
              <w:rPr>
                <w:sz w:val="20"/>
                <w:szCs w:val="20"/>
                <w:color w:val="auto"/>
              </w:rPr>
            </w:pPr>
            <w:r>
              <w:rPr>
                <w:rFonts w:ascii="Arial" w:cs="Arial" w:eastAsia="Arial" w:hAnsi="Arial"/>
                <w:sz w:val="18"/>
                <w:szCs w:val="18"/>
                <w:color w:val="auto"/>
              </w:rPr>
              <w:t>New pad site (fitness equipment)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16%</w:t>
            </w: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0.8</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Shops at Willow Lawn</w:t>
            </w:r>
          </w:p>
        </w:tc>
        <w:tc>
          <w:tcPr>
            <w:tcW w:w="18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Richmond, VA</w:t>
            </w:r>
          </w:p>
        </w:tc>
        <w:tc>
          <w:tcPr>
            <w:tcW w:w="366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Grocer expansion</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Wildwood</w:t>
            </w:r>
          </w:p>
        </w:tc>
        <w:tc>
          <w:tcPr>
            <w:tcW w:w="1820" w:type="dxa"/>
            <w:vAlign w:val="bottom"/>
            <w:gridSpan w:val="3"/>
          </w:tcPr>
          <w:p>
            <w:pPr>
              <w:ind w:left="60"/>
              <w:spacing w:after="0"/>
              <w:rPr>
                <w:sz w:val="20"/>
                <w:szCs w:val="20"/>
                <w:color w:val="auto"/>
              </w:rPr>
            </w:pPr>
            <w:r>
              <w:rPr>
                <w:rFonts w:ascii="Arial" w:cs="Arial" w:eastAsia="Arial" w:hAnsi="Arial"/>
                <w:sz w:val="18"/>
                <w:szCs w:val="18"/>
                <w:color w:val="auto"/>
              </w:rPr>
              <w:t>Bethesda, MD</w:t>
            </w:r>
          </w:p>
        </w:tc>
        <w:tc>
          <w:tcPr>
            <w:tcW w:w="3660" w:type="dxa"/>
            <w:vAlign w:val="bottom"/>
            <w:gridSpan w:val="4"/>
          </w:tcPr>
          <w:p>
            <w:pPr>
              <w:ind w:left="280"/>
              <w:spacing w:after="0"/>
              <w:rPr>
                <w:sz w:val="20"/>
                <w:szCs w:val="20"/>
                <w:color w:val="auto"/>
              </w:rPr>
            </w:pPr>
            <w:r>
              <w:rPr>
                <w:rFonts w:ascii="Arial" w:cs="Arial" w:eastAsia="Arial" w:hAnsi="Arial"/>
                <w:sz w:val="18"/>
                <w:szCs w:val="18"/>
                <w:color w:val="auto"/>
              </w:rPr>
              <w:t>Pad expansion and re-tenanting (bank)</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31%</w:t>
            </w: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Laurel</w:t>
            </w:r>
          </w:p>
        </w:tc>
        <w:tc>
          <w:tcPr>
            <w:tcW w:w="18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Laurel, MD</w:t>
            </w:r>
          </w:p>
        </w:tc>
        <w:tc>
          <w:tcPr>
            <w:tcW w:w="366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Grocer expansion</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Lawrence Park</w:t>
            </w:r>
          </w:p>
        </w:tc>
        <w:tc>
          <w:tcPr>
            <w:tcW w:w="1820" w:type="dxa"/>
            <w:vAlign w:val="bottom"/>
            <w:gridSpan w:val="3"/>
          </w:tcPr>
          <w:p>
            <w:pPr>
              <w:ind w:left="60"/>
              <w:spacing w:after="0"/>
              <w:rPr>
                <w:sz w:val="20"/>
                <w:szCs w:val="20"/>
                <w:color w:val="auto"/>
              </w:rPr>
            </w:pPr>
            <w:r>
              <w:rPr>
                <w:rFonts w:ascii="Arial" w:cs="Arial" w:eastAsia="Arial" w:hAnsi="Arial"/>
                <w:sz w:val="18"/>
                <w:szCs w:val="18"/>
                <w:color w:val="auto"/>
              </w:rPr>
              <w:t>Broomall, PA</w:t>
            </w:r>
          </w:p>
        </w:tc>
        <w:tc>
          <w:tcPr>
            <w:tcW w:w="3660" w:type="dxa"/>
            <w:vAlign w:val="bottom"/>
            <w:gridSpan w:val="4"/>
          </w:tcPr>
          <w:p>
            <w:pPr>
              <w:ind w:left="280"/>
              <w:spacing w:after="0"/>
              <w:rPr>
                <w:sz w:val="20"/>
                <w:szCs w:val="20"/>
                <w:color w:val="auto"/>
              </w:rPr>
            </w:pPr>
            <w:r>
              <w:rPr>
                <w:rFonts w:ascii="Arial" w:cs="Arial" w:eastAsia="Arial" w:hAnsi="Arial"/>
                <w:sz w:val="18"/>
                <w:szCs w:val="18"/>
                <w:color w:val="auto"/>
              </w:rPr>
              <w:t>Grocer expansion</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12%</w:t>
            </w: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0.3</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i w:val="1"/>
                <w:iCs w:val="1"/>
                <w:color w:val="auto"/>
                <w:w w:val="86"/>
              </w:rPr>
              <w:t>Subtotal: Projects Stabilized in 2004 (3) (4)</w:t>
            </w: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13%</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47.0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2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w w:val="96"/>
              </w:rPr>
              <w:t>Projects Anticipated to Stabilize in 2005 (3)</w:t>
            </w: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Bala Cynwyd</w:t>
            </w:r>
          </w:p>
        </w:tc>
        <w:tc>
          <w:tcPr>
            <w:tcW w:w="1820" w:type="dxa"/>
            <w:vAlign w:val="bottom"/>
            <w:gridSpan w:val="3"/>
          </w:tcPr>
          <w:p>
            <w:pPr>
              <w:ind w:left="60"/>
              <w:spacing w:after="0"/>
              <w:rPr>
                <w:sz w:val="20"/>
                <w:szCs w:val="20"/>
                <w:color w:val="auto"/>
              </w:rPr>
            </w:pPr>
            <w:r>
              <w:rPr>
                <w:rFonts w:ascii="Arial" w:cs="Arial" w:eastAsia="Arial" w:hAnsi="Arial"/>
                <w:sz w:val="18"/>
                <w:szCs w:val="18"/>
                <w:color w:val="auto"/>
              </w:rPr>
              <w:t>Philadelphia, PA</w:t>
            </w:r>
          </w:p>
        </w:tc>
        <w:tc>
          <w:tcPr>
            <w:tcW w:w="3660" w:type="dxa"/>
            <w:vAlign w:val="bottom"/>
            <w:gridSpan w:val="4"/>
          </w:tcPr>
          <w:p>
            <w:pPr>
              <w:ind w:left="280"/>
              <w:spacing w:after="0"/>
              <w:rPr>
                <w:sz w:val="20"/>
                <w:szCs w:val="20"/>
                <w:color w:val="auto"/>
              </w:rPr>
            </w:pPr>
            <w:r>
              <w:rPr>
                <w:rFonts w:ascii="Arial" w:cs="Arial" w:eastAsia="Arial" w:hAnsi="Arial"/>
                <w:sz w:val="18"/>
                <w:szCs w:val="18"/>
                <w:color w:val="auto"/>
              </w:rPr>
              <w:t>Grocer re-location and expansion and re-</w:t>
            </w: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60" w:type="dxa"/>
            <w:vAlign w:val="bottom"/>
            <w:gridSpan w:val="4"/>
          </w:tcPr>
          <w:p>
            <w:pPr>
              <w:ind w:left="280"/>
              <w:spacing w:after="0"/>
              <w:rPr>
                <w:sz w:val="20"/>
                <w:szCs w:val="20"/>
                <w:color w:val="auto"/>
              </w:rPr>
            </w:pPr>
            <w:r>
              <w:rPr>
                <w:rFonts w:ascii="Arial" w:cs="Arial" w:eastAsia="Arial" w:hAnsi="Arial"/>
                <w:sz w:val="18"/>
                <w:szCs w:val="18"/>
                <w:color w:val="auto"/>
              </w:rPr>
              <w:t>tenanting (new health club)</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&gt;20%</w:t>
            </w: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5.7</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Andorra</w:t>
            </w:r>
          </w:p>
        </w:tc>
        <w:tc>
          <w:tcPr>
            <w:tcW w:w="18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Philadelphia, PA</w:t>
            </w:r>
          </w:p>
        </w:tc>
        <w:tc>
          <w:tcPr>
            <w:tcW w:w="366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Re-tenanting (new health club)</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Leesburg Plaza - Peebles</w:t>
            </w:r>
          </w:p>
        </w:tc>
        <w:tc>
          <w:tcPr>
            <w:tcW w:w="1820" w:type="dxa"/>
            <w:vAlign w:val="bottom"/>
            <w:gridSpan w:val="3"/>
          </w:tcPr>
          <w:p>
            <w:pPr>
              <w:ind w:left="60"/>
              <w:spacing w:after="0"/>
              <w:rPr>
                <w:sz w:val="20"/>
                <w:szCs w:val="20"/>
                <w:color w:val="auto"/>
              </w:rPr>
            </w:pPr>
            <w:r>
              <w:rPr>
                <w:rFonts w:ascii="Arial" w:cs="Arial" w:eastAsia="Arial" w:hAnsi="Arial"/>
                <w:sz w:val="18"/>
                <w:szCs w:val="18"/>
                <w:color w:val="auto"/>
              </w:rPr>
              <w:t>Leesburg, VA</w:t>
            </w:r>
          </w:p>
        </w:tc>
        <w:tc>
          <w:tcPr>
            <w:tcW w:w="3660" w:type="dxa"/>
            <w:vAlign w:val="bottom"/>
            <w:gridSpan w:val="4"/>
          </w:tcPr>
          <w:p>
            <w:pPr>
              <w:ind w:left="280"/>
              <w:spacing w:after="0"/>
              <w:rPr>
                <w:sz w:val="20"/>
                <w:szCs w:val="20"/>
                <w:color w:val="auto"/>
              </w:rPr>
            </w:pPr>
            <w:r>
              <w:rPr>
                <w:rFonts w:ascii="Arial" w:cs="Arial" w:eastAsia="Arial" w:hAnsi="Arial"/>
                <w:sz w:val="18"/>
                <w:szCs w:val="18"/>
                <w:color w:val="auto"/>
              </w:rPr>
              <w:t>Re-tenanting (office supply &amp; auto supply)</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20%</w:t>
            </w: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Brick Plaza</w:t>
            </w:r>
          </w:p>
        </w:tc>
        <w:tc>
          <w:tcPr>
            <w:tcW w:w="18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Brick, NJ</w:t>
            </w:r>
          </w:p>
        </w:tc>
        <w:tc>
          <w:tcPr>
            <w:tcW w:w="366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Re-tenanting (electronics)</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Pan Am</w:t>
            </w:r>
          </w:p>
        </w:tc>
        <w:tc>
          <w:tcPr>
            <w:tcW w:w="1820" w:type="dxa"/>
            <w:vAlign w:val="bottom"/>
            <w:gridSpan w:val="3"/>
          </w:tcPr>
          <w:p>
            <w:pPr>
              <w:ind w:left="60"/>
              <w:spacing w:after="0"/>
              <w:rPr>
                <w:sz w:val="20"/>
                <w:szCs w:val="20"/>
                <w:color w:val="auto"/>
              </w:rPr>
            </w:pPr>
            <w:r>
              <w:rPr>
                <w:rFonts w:ascii="Arial" w:cs="Arial" w:eastAsia="Arial" w:hAnsi="Arial"/>
                <w:sz w:val="18"/>
                <w:szCs w:val="18"/>
                <w:color w:val="auto"/>
              </w:rPr>
              <w:t>Fairfax, VA</w:t>
            </w:r>
          </w:p>
        </w:tc>
        <w:tc>
          <w:tcPr>
            <w:tcW w:w="3660" w:type="dxa"/>
            <w:vAlign w:val="bottom"/>
            <w:gridSpan w:val="4"/>
          </w:tcPr>
          <w:p>
            <w:pPr>
              <w:ind w:left="280"/>
              <w:spacing w:after="0"/>
              <w:rPr>
                <w:sz w:val="20"/>
                <w:szCs w:val="20"/>
                <w:color w:val="auto"/>
              </w:rPr>
            </w:pPr>
            <w:r>
              <w:rPr>
                <w:rFonts w:ascii="Arial" w:cs="Arial" w:eastAsia="Arial" w:hAnsi="Arial"/>
                <w:sz w:val="18"/>
                <w:szCs w:val="18"/>
                <w:color w:val="auto"/>
                <w:w w:val="99"/>
              </w:rPr>
              <w:t>Grocer expansion, small shop re-tenanting</w:t>
            </w: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60" w:type="dxa"/>
            <w:vAlign w:val="bottom"/>
            <w:gridSpan w:val="4"/>
          </w:tcPr>
          <w:p>
            <w:pPr>
              <w:ind w:left="280"/>
              <w:spacing w:after="0"/>
              <w:rPr>
                <w:sz w:val="20"/>
                <w:szCs w:val="20"/>
                <w:color w:val="auto"/>
              </w:rPr>
            </w:pPr>
            <w:r>
              <w:rPr>
                <w:rFonts w:ascii="Arial" w:cs="Arial" w:eastAsia="Arial" w:hAnsi="Arial"/>
                <w:sz w:val="18"/>
                <w:szCs w:val="18"/>
                <w:color w:val="auto"/>
              </w:rPr>
              <w:t>and site improvements</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6%</w:t>
            </w: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Bristol Plaza</w:t>
            </w:r>
          </w:p>
        </w:tc>
        <w:tc>
          <w:tcPr>
            <w:tcW w:w="18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Bristol, CT</w:t>
            </w:r>
          </w:p>
        </w:tc>
        <w:tc>
          <w:tcPr>
            <w:tcW w:w="366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Grocer relocation, canopy and façade</w:t>
            </w: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66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renovation</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Brunswick</w:t>
            </w:r>
          </w:p>
        </w:tc>
        <w:tc>
          <w:tcPr>
            <w:tcW w:w="1820" w:type="dxa"/>
            <w:vAlign w:val="bottom"/>
            <w:gridSpan w:val="3"/>
          </w:tcPr>
          <w:p>
            <w:pPr>
              <w:ind w:left="60"/>
              <w:spacing w:after="0"/>
              <w:rPr>
                <w:sz w:val="20"/>
                <w:szCs w:val="20"/>
                <w:color w:val="auto"/>
              </w:rPr>
            </w:pPr>
            <w:r>
              <w:rPr>
                <w:rFonts w:ascii="Arial" w:cs="Arial" w:eastAsia="Arial" w:hAnsi="Arial"/>
                <w:sz w:val="18"/>
                <w:szCs w:val="18"/>
                <w:color w:val="auto"/>
              </w:rPr>
              <w:t>North Brunswick, NJ</w:t>
            </w:r>
          </w:p>
        </w:tc>
        <w:tc>
          <w:tcPr>
            <w:tcW w:w="3660" w:type="dxa"/>
            <w:vAlign w:val="bottom"/>
            <w:gridSpan w:val="4"/>
          </w:tcPr>
          <w:p>
            <w:pPr>
              <w:ind w:left="280"/>
              <w:spacing w:after="0"/>
              <w:rPr>
                <w:sz w:val="20"/>
                <w:szCs w:val="20"/>
                <w:color w:val="auto"/>
              </w:rPr>
            </w:pPr>
            <w:r>
              <w:rPr>
                <w:rFonts w:ascii="Arial" w:cs="Arial" w:eastAsia="Arial" w:hAnsi="Arial"/>
                <w:sz w:val="18"/>
                <w:szCs w:val="18"/>
                <w:color w:val="auto"/>
              </w:rPr>
              <w:t>Re-tenanting (new health club)</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11%</w:t>
            </w: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Rutgers Plaza</w:t>
            </w:r>
          </w:p>
        </w:tc>
        <w:tc>
          <w:tcPr>
            <w:tcW w:w="18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Franklin, NJ</w:t>
            </w:r>
          </w:p>
        </w:tc>
        <w:tc>
          <w:tcPr>
            <w:tcW w:w="366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Grocer re-location and expansion and</w:t>
            </w: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66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backfill of existing grocer space</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Greenlawn Plaza</w:t>
            </w:r>
          </w:p>
        </w:tc>
        <w:tc>
          <w:tcPr>
            <w:tcW w:w="1820" w:type="dxa"/>
            <w:vAlign w:val="bottom"/>
            <w:gridSpan w:val="3"/>
          </w:tcPr>
          <w:p>
            <w:pPr>
              <w:ind w:left="60"/>
              <w:spacing w:after="0"/>
              <w:rPr>
                <w:sz w:val="20"/>
                <w:szCs w:val="20"/>
                <w:color w:val="auto"/>
              </w:rPr>
            </w:pPr>
            <w:r>
              <w:rPr>
                <w:rFonts w:ascii="Arial" w:cs="Arial" w:eastAsia="Arial" w:hAnsi="Arial"/>
                <w:sz w:val="18"/>
                <w:szCs w:val="18"/>
                <w:color w:val="auto"/>
              </w:rPr>
              <w:t>Greenlawn, NY</w:t>
            </w:r>
          </w:p>
        </w:tc>
        <w:tc>
          <w:tcPr>
            <w:tcW w:w="3660" w:type="dxa"/>
            <w:vAlign w:val="bottom"/>
            <w:gridSpan w:val="4"/>
          </w:tcPr>
          <w:p>
            <w:pPr>
              <w:ind w:left="280"/>
              <w:spacing w:after="0"/>
              <w:rPr>
                <w:sz w:val="20"/>
                <w:szCs w:val="20"/>
                <w:color w:val="auto"/>
              </w:rPr>
            </w:pPr>
            <w:r>
              <w:rPr>
                <w:rFonts w:ascii="Arial" w:cs="Arial" w:eastAsia="Arial" w:hAnsi="Arial"/>
                <w:sz w:val="18"/>
                <w:szCs w:val="18"/>
                <w:color w:val="auto"/>
                <w:w w:val="99"/>
              </w:rPr>
              <w:t>Re-tenanting and new pad site (child care)</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&gt;20%</w:t>
            </w: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80" w:type="dxa"/>
            <w:vAlign w:val="bottom"/>
            <w:gridSpan w:val="2"/>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420"/>
              <w:spacing w:after="0"/>
              <w:rPr>
                <w:sz w:val="20"/>
                <w:szCs w:val="20"/>
                <w:color w:val="auto"/>
              </w:rPr>
            </w:pPr>
            <w:r>
              <w:rPr>
                <w:rFonts w:ascii="Arial" w:cs="Arial" w:eastAsia="Arial" w:hAnsi="Arial"/>
                <w:sz w:val="18"/>
                <w:szCs w:val="18"/>
                <w:b w:val="1"/>
                <w:bCs w:val="1"/>
                <w:i w:val="1"/>
                <w:iCs w:val="1"/>
                <w:color w:val="auto"/>
              </w:rPr>
              <w:t>Subtotal: Projects Anticipated to Stabilize in 2005 (3) (4)</w:t>
            </w:r>
          </w:p>
        </w:tc>
        <w:tc>
          <w:tcPr>
            <w:tcW w:w="1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17%</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17.4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2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w w:val="96"/>
              </w:rPr>
              <w:t>Projects Anticipated to Stabilize in 2006 (3)</w:t>
            </w: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Santana Phase IV</w:t>
            </w:r>
          </w:p>
        </w:tc>
        <w:tc>
          <w:tcPr>
            <w:tcW w:w="1820" w:type="dxa"/>
            <w:vAlign w:val="bottom"/>
            <w:gridSpan w:val="3"/>
          </w:tcPr>
          <w:p>
            <w:pPr>
              <w:ind w:left="60"/>
              <w:spacing w:after="0"/>
              <w:rPr>
                <w:sz w:val="20"/>
                <w:szCs w:val="20"/>
                <w:color w:val="auto"/>
              </w:rPr>
            </w:pPr>
            <w:r>
              <w:rPr>
                <w:rFonts w:ascii="Arial" w:cs="Arial" w:eastAsia="Arial" w:hAnsi="Arial"/>
                <w:sz w:val="18"/>
                <w:szCs w:val="18"/>
                <w:color w:val="auto"/>
              </w:rPr>
              <w:t>San Jose, CA</w:t>
            </w:r>
          </w:p>
        </w:tc>
        <w:tc>
          <w:tcPr>
            <w:tcW w:w="3660" w:type="dxa"/>
            <w:vAlign w:val="bottom"/>
            <w:gridSpan w:val="4"/>
          </w:tcPr>
          <w:p>
            <w:pPr>
              <w:ind w:left="280"/>
              <w:spacing w:after="0"/>
              <w:rPr>
                <w:sz w:val="20"/>
                <w:szCs w:val="20"/>
                <w:color w:val="auto"/>
              </w:rPr>
            </w:pPr>
            <w:r>
              <w:rPr>
                <w:rFonts w:ascii="Arial" w:cs="Arial" w:eastAsia="Arial" w:hAnsi="Arial"/>
                <w:sz w:val="18"/>
                <w:szCs w:val="18"/>
                <w:color w:val="auto"/>
              </w:rPr>
              <w:t>Building 7 residential re-build, 256 rental</w:t>
            </w: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60" w:type="dxa"/>
            <w:vAlign w:val="bottom"/>
            <w:gridSpan w:val="4"/>
          </w:tcPr>
          <w:p>
            <w:pPr>
              <w:ind w:left="280"/>
              <w:spacing w:after="0"/>
              <w:rPr>
                <w:sz w:val="20"/>
                <w:szCs w:val="20"/>
                <w:color w:val="auto"/>
              </w:rPr>
            </w:pPr>
            <w:r>
              <w:rPr>
                <w:rFonts w:ascii="Arial" w:cs="Arial" w:eastAsia="Arial" w:hAnsi="Arial"/>
                <w:sz w:val="18"/>
                <w:szCs w:val="18"/>
                <w:color w:val="auto"/>
              </w:rPr>
              <w:t>units.</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11%</w:t>
            </w: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58.4</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29.1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Mount Vernon / South Valley</w:t>
            </w:r>
          </w:p>
        </w:tc>
        <w:tc>
          <w:tcPr>
            <w:tcW w:w="18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Alexandria, VA</w:t>
            </w:r>
          </w:p>
        </w:tc>
        <w:tc>
          <w:tcPr>
            <w:tcW w:w="366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w w:val="97"/>
              </w:rPr>
              <w:t>Grocer expansion, small shop re-tenanting,</w:t>
            </w: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6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site improvements, and addition of 3</w:t>
            </w: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66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anchors.</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Leesburg Plaza - Kmart</w:t>
            </w:r>
          </w:p>
        </w:tc>
        <w:tc>
          <w:tcPr>
            <w:tcW w:w="1820" w:type="dxa"/>
            <w:vAlign w:val="bottom"/>
            <w:gridSpan w:val="3"/>
          </w:tcPr>
          <w:p>
            <w:pPr>
              <w:ind w:left="60"/>
              <w:spacing w:after="0"/>
              <w:rPr>
                <w:sz w:val="20"/>
                <w:szCs w:val="20"/>
                <w:color w:val="auto"/>
              </w:rPr>
            </w:pPr>
            <w:r>
              <w:rPr>
                <w:rFonts w:ascii="Arial" w:cs="Arial" w:eastAsia="Arial" w:hAnsi="Arial"/>
                <w:sz w:val="18"/>
                <w:szCs w:val="18"/>
                <w:color w:val="auto"/>
              </w:rPr>
              <w:t>Leesburg, VA</w:t>
            </w:r>
          </w:p>
        </w:tc>
        <w:tc>
          <w:tcPr>
            <w:tcW w:w="3660" w:type="dxa"/>
            <w:vAlign w:val="bottom"/>
            <w:gridSpan w:val="4"/>
          </w:tcPr>
          <w:p>
            <w:pPr>
              <w:ind w:left="280"/>
              <w:spacing w:after="0"/>
              <w:rPr>
                <w:sz w:val="20"/>
                <w:szCs w:val="20"/>
                <w:color w:val="auto"/>
              </w:rPr>
            </w:pPr>
            <w:r>
              <w:rPr>
                <w:rFonts w:ascii="Arial" w:cs="Arial" w:eastAsia="Arial" w:hAnsi="Arial"/>
                <w:sz w:val="18"/>
                <w:szCs w:val="18"/>
                <w:color w:val="auto"/>
              </w:rPr>
              <w:t>Demolish, redevelop and re-tenant former</w:t>
            </w: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60" w:type="dxa"/>
            <w:vAlign w:val="bottom"/>
            <w:gridSpan w:val="4"/>
          </w:tcPr>
          <w:p>
            <w:pPr>
              <w:ind w:left="280"/>
              <w:spacing w:after="0"/>
              <w:rPr>
                <w:sz w:val="20"/>
                <w:szCs w:val="20"/>
                <w:color w:val="auto"/>
              </w:rPr>
            </w:pPr>
            <w:r>
              <w:rPr>
                <w:rFonts w:ascii="Arial" w:cs="Arial" w:eastAsia="Arial" w:hAnsi="Arial"/>
                <w:sz w:val="18"/>
                <w:szCs w:val="18"/>
                <w:color w:val="auto"/>
              </w:rPr>
              <w:t>Kmart building, add two new pad sites</w:t>
            </w: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60" w:type="dxa"/>
            <w:vAlign w:val="bottom"/>
            <w:gridSpan w:val="4"/>
          </w:tcPr>
          <w:p>
            <w:pPr>
              <w:ind w:left="280"/>
              <w:spacing w:after="0"/>
              <w:rPr>
                <w:sz w:val="20"/>
                <w:szCs w:val="20"/>
                <w:color w:val="auto"/>
              </w:rPr>
            </w:pPr>
            <w:r>
              <w:rPr>
                <w:rFonts w:ascii="Arial" w:cs="Arial" w:eastAsia="Arial" w:hAnsi="Arial"/>
                <w:sz w:val="18"/>
                <w:szCs w:val="18"/>
                <w:color w:val="auto"/>
              </w:rPr>
              <w:t>(bank &amp; restaurant).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8%</w:t>
            </w: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11.4</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Village of Shirlington</w:t>
            </w:r>
          </w:p>
        </w:tc>
        <w:tc>
          <w:tcPr>
            <w:tcW w:w="18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Arlington, VA</w:t>
            </w:r>
          </w:p>
        </w:tc>
        <w:tc>
          <w:tcPr>
            <w:tcW w:w="366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w w:val="98"/>
              </w:rPr>
              <w:t>New ground floor retail and parking garage</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Hauppauge Shopping Center</w:t>
            </w:r>
          </w:p>
        </w:tc>
        <w:tc>
          <w:tcPr>
            <w:tcW w:w="1820" w:type="dxa"/>
            <w:vAlign w:val="bottom"/>
            <w:gridSpan w:val="3"/>
          </w:tcPr>
          <w:p>
            <w:pPr>
              <w:ind w:left="60"/>
              <w:spacing w:after="0"/>
              <w:rPr>
                <w:sz w:val="20"/>
                <w:szCs w:val="20"/>
                <w:color w:val="auto"/>
              </w:rPr>
            </w:pPr>
            <w:r>
              <w:rPr>
                <w:rFonts w:ascii="Arial" w:cs="Arial" w:eastAsia="Arial" w:hAnsi="Arial"/>
                <w:sz w:val="18"/>
                <w:szCs w:val="18"/>
                <w:color w:val="auto"/>
              </w:rPr>
              <w:t>Hauppauge, NY</w:t>
            </w:r>
          </w:p>
        </w:tc>
        <w:tc>
          <w:tcPr>
            <w:tcW w:w="3660" w:type="dxa"/>
            <w:vAlign w:val="bottom"/>
            <w:gridSpan w:val="4"/>
          </w:tcPr>
          <w:p>
            <w:pPr>
              <w:ind w:left="280"/>
              <w:spacing w:after="0"/>
              <w:rPr>
                <w:sz w:val="20"/>
                <w:szCs w:val="20"/>
                <w:color w:val="auto"/>
              </w:rPr>
            </w:pPr>
            <w:r>
              <w:rPr>
                <w:rFonts w:ascii="Arial" w:cs="Arial" w:eastAsia="Arial" w:hAnsi="Arial"/>
                <w:sz w:val="18"/>
                <w:szCs w:val="18"/>
                <w:color w:val="auto"/>
              </w:rPr>
              <w:t>Pad site re-tenanting (restaurant)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15%</w:t>
            </w: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0.3</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80" w:type="dxa"/>
            <w:vAlign w:val="bottom"/>
            <w:gridSpan w:val="2"/>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420"/>
              <w:spacing w:after="0"/>
              <w:rPr>
                <w:sz w:val="20"/>
                <w:szCs w:val="20"/>
                <w:color w:val="auto"/>
              </w:rPr>
            </w:pPr>
            <w:r>
              <w:rPr>
                <w:rFonts w:ascii="Arial" w:cs="Arial" w:eastAsia="Arial" w:hAnsi="Arial"/>
                <w:sz w:val="18"/>
                <w:szCs w:val="18"/>
                <w:b w:val="1"/>
                <w:bCs w:val="1"/>
                <w:i w:val="1"/>
                <w:iCs w:val="1"/>
                <w:color w:val="auto"/>
              </w:rPr>
              <w:t>Subtotal: Projects Anticipated to Stabilize in 2006 (3) (4)</w:t>
            </w:r>
          </w:p>
        </w:tc>
        <w:tc>
          <w:tcPr>
            <w:tcW w:w="1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11%</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33.8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80" w:type="dxa"/>
            <w:vAlign w:val="bottom"/>
            <w:gridSpan w:val="2"/>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2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i w:val="1"/>
                <w:iCs w:val="1"/>
                <w:color w:val="auto"/>
                <w:w w:val="92"/>
              </w:rPr>
              <w:t>Total: Projects Anticipated to Stabilize in 2004, 2005 and 2006 (3) (4)</w:t>
            </w:r>
          </w:p>
        </w:tc>
        <w:tc>
          <w:tcPr>
            <w:tcW w:w="1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12%</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173.6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98.2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5757545</wp:posOffset>
            </wp:positionH>
            <wp:positionV relativeFrom="paragraph">
              <wp:posOffset>-4651375</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-4651375</wp:posOffset>
            </wp:positionV>
            <wp:extent cx="3873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-4651375</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-4651375</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-4651375</wp:posOffset>
            </wp:positionV>
            <wp:extent cx="2159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-4651375</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-4651375</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-4651375</wp:posOffset>
            </wp:positionV>
            <wp:extent cx="2159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-2284730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-2284730</wp:posOffset>
            </wp:positionV>
            <wp:extent cx="3873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-2284730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-2284730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-2284730</wp:posOffset>
            </wp:positionV>
            <wp:extent cx="2159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-2284730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-2284730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-2284730</wp:posOffset>
            </wp:positionV>
            <wp:extent cx="2159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-329565</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-329565</wp:posOffset>
            </wp:positionV>
            <wp:extent cx="3873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-329565</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-329565</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-329565</wp:posOffset>
            </wp:positionV>
            <wp:extent cx="2159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-329565</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-329565</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-329565</wp:posOffset>
            </wp:positionV>
            <wp:extent cx="2159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-29210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3873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-29210</wp:posOffset>
            </wp:positionV>
            <wp:extent cx="81026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10260" cy="29845"/>
                    </a:xfrm>
                    <a:prstGeom prst="rect">
                      <a:avLst/>
                    </a:prstGeom>
                    <a:noFill/>
                  </pic:spPr>
                </pic:pic>
              </a:graphicData>
            </a:graphic>
          </wp:anchor>
        </w:drawing>
      </w:r>
    </w:p>
    <w:p>
      <w:pPr>
        <w:spacing w:after="0" w:line="219" w:lineRule="exact"/>
        <w:rPr>
          <w:sz w:val="20"/>
          <w:szCs w:val="20"/>
          <w:color w:val="auto"/>
        </w:rPr>
      </w:pPr>
    </w:p>
    <w:p>
      <w:pPr>
        <w:ind w:right="240"/>
        <w:spacing w:after="0" w:line="339" w:lineRule="auto"/>
        <w:rPr>
          <w:sz w:val="20"/>
          <w:szCs w:val="20"/>
          <w:color w:val="auto"/>
        </w:rPr>
      </w:pPr>
      <w:r>
        <w:rPr>
          <w:rFonts w:ascii="Arial" w:cs="Arial" w:eastAsia="Arial" w:hAnsi="Arial"/>
          <w:sz w:val="16"/>
          <w:szCs w:val="16"/>
          <w:b w:val="1"/>
          <w:bCs w:val="1"/>
          <w:color w:val="auto"/>
        </w:rPr>
        <w:t>Redevelopments anticipated to stabilize in 2007 and 2008 include the final phase of Bethesda Row, Rockville Town Square, Mercer Mall, Loehmann’s Plaza, Flourtown, Galaxy, and the Shops at Willow Lawn encompassing estimated costs of $150 to $200 million. (3) (5)</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Santana Row Summary (as of Dec. 31, 2004)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gridSpan w:val="4"/>
          </w:tcPr>
          <w:p>
            <w:pPr>
              <w:ind w:left="220"/>
              <w:spacing w:after="0"/>
              <w:rPr>
                <w:sz w:val="20"/>
                <w:szCs w:val="20"/>
                <w:color w:val="auto"/>
              </w:rPr>
            </w:pPr>
            <w:r>
              <w:rPr>
                <w:rFonts w:ascii="Arial" w:cs="Arial" w:eastAsia="Arial" w:hAnsi="Arial"/>
                <w:sz w:val="14"/>
                <w:szCs w:val="14"/>
                <w:b w:val="1"/>
                <w:bCs w:val="1"/>
                <w:color w:val="auto"/>
                <w:w w:val="88"/>
              </w:rPr>
              <w:t>Retail Summary</w:t>
            </w: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w w:val="94"/>
              </w:rPr>
              <w:t>Residential Summary</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920" w:type="dxa"/>
            <w:vAlign w:val="bottom"/>
            <w:gridSpan w:val="7"/>
          </w:tcPr>
          <w:p>
            <w:pPr>
              <w:jc w:val="right"/>
              <w:ind w:right="642"/>
              <w:spacing w:after="0"/>
              <w:rPr>
                <w:sz w:val="20"/>
                <w:szCs w:val="20"/>
                <w:color w:val="auto"/>
              </w:rPr>
            </w:pPr>
            <w:r>
              <w:rPr>
                <w:rFonts w:ascii="Arial" w:cs="Arial" w:eastAsia="Arial" w:hAnsi="Arial"/>
                <w:sz w:val="14"/>
                <w:szCs w:val="14"/>
                <w:b w:val="1"/>
                <w:bCs w:val="1"/>
                <w:color w:val="auto"/>
                <w:w w:val="95"/>
              </w:rPr>
              <w:t>Financial Summary ($ millions) (8)</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Anticipated</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5"/>
              </w:rPr>
              <w:t>Total</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83"/>
              </w:rPr>
              <w:t>Total</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Projected</w:t>
            </w:r>
          </w:p>
        </w:tc>
        <w:tc>
          <w:tcPr>
            <w:tcW w:w="240" w:type="dxa"/>
            <w:vAlign w:val="bottom"/>
          </w:tcPr>
          <w:p>
            <w:pPr>
              <w:spacing w:after="0"/>
              <w:rPr>
                <w:sz w:val="12"/>
                <w:szCs w:val="12"/>
                <w:color w:val="auto"/>
              </w:rPr>
            </w:pPr>
          </w:p>
        </w:tc>
        <w:tc>
          <w:tcPr>
            <w:tcW w:w="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Cost to</w:t>
            </w:r>
          </w:p>
        </w:tc>
        <w:tc>
          <w:tcPr>
            <w:tcW w:w="12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Stabilized</w:t>
            </w:r>
          </w:p>
        </w:tc>
        <w:tc>
          <w:tcPr>
            <w:tcW w:w="940" w:type="dxa"/>
            <w:vAlign w:val="bottom"/>
          </w:tcPr>
          <w:p>
            <w:pPr>
              <w:jc w:val="right"/>
              <w:ind w:right="42"/>
              <w:spacing w:after="0" w:line="149" w:lineRule="exact"/>
              <w:rPr>
                <w:sz w:val="20"/>
                <w:szCs w:val="20"/>
                <w:color w:val="auto"/>
              </w:rPr>
            </w:pPr>
            <w:r>
              <w:rPr>
                <w:rFonts w:ascii="Arial" w:cs="Arial" w:eastAsia="Arial" w:hAnsi="Arial"/>
                <w:sz w:val="14"/>
                <w:szCs w:val="14"/>
                <w:b w:val="1"/>
                <w:bCs w:val="1"/>
                <w:color w:val="auto"/>
              </w:rPr>
              <w:t>Anticipated</w:t>
            </w:r>
          </w:p>
        </w:tc>
        <w:tc>
          <w:tcPr>
            <w:tcW w:w="0" w:type="dxa"/>
            <w:vAlign w:val="bottom"/>
          </w:tcPr>
          <w:p>
            <w:pPr>
              <w:spacing w:after="0"/>
              <w:rPr>
                <w:sz w:val="1"/>
                <w:szCs w:val="1"/>
                <w:color w:val="auto"/>
              </w:rPr>
            </w:pPr>
          </w:p>
        </w:tc>
      </w:tr>
      <w:tr>
        <w:trPr>
          <w:trHeight w:val="174"/>
        </w:trPr>
        <w:tc>
          <w:tcPr>
            <w:tcW w:w="272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77"/>
              </w:rPr>
              <w:t>Stores</w:t>
            </w:r>
          </w:p>
        </w:tc>
        <w:tc>
          <w:tcPr>
            <w:tcW w:w="240" w:type="dxa"/>
            <w:vAlign w:val="bottom"/>
          </w:tcPr>
          <w:p>
            <w:pPr>
              <w:spacing w:after="0"/>
              <w:rPr>
                <w:sz w:val="15"/>
                <w:szCs w:val="15"/>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Square Feet</w:t>
            </w: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3"/>
              </w:rPr>
              <w:t>% Leased</w:t>
            </w:r>
          </w:p>
        </w:tc>
        <w:tc>
          <w:tcPr>
            <w:tcW w:w="4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79"/>
              </w:rPr>
              <w:t>Units</w:t>
            </w:r>
          </w:p>
        </w:tc>
        <w:tc>
          <w:tcPr>
            <w:tcW w:w="120" w:type="dxa"/>
            <w:vAlign w:val="bottom"/>
          </w:tcPr>
          <w:p>
            <w:pPr>
              <w:spacing w:after="0"/>
              <w:rPr>
                <w:sz w:val="15"/>
                <w:szCs w:val="15"/>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Rent (6)</w:t>
            </w: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6"/>
              </w:rPr>
              <w:t>% Leased</w:t>
            </w:r>
          </w:p>
        </w:tc>
        <w:tc>
          <w:tcPr>
            <w:tcW w:w="120" w:type="dxa"/>
            <w:vAlign w:val="bottom"/>
          </w:tcPr>
          <w:p>
            <w:pPr>
              <w:spacing w:after="0"/>
              <w:rPr>
                <w:sz w:val="15"/>
                <w:szCs w:val="15"/>
                <w:color w:val="auto"/>
              </w:rPr>
            </w:pPr>
          </w:p>
        </w:tc>
        <w:tc>
          <w:tcPr>
            <w:tcW w:w="440" w:type="dxa"/>
            <w:vAlign w:val="bottom"/>
          </w:tcPr>
          <w:p>
            <w:pPr>
              <w:jc w:val="right"/>
              <w:ind w:right="59"/>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5"/>
                <w:szCs w:val="15"/>
                <w:color w:val="auto"/>
              </w:rPr>
            </w:pPr>
          </w:p>
        </w:tc>
        <w:tc>
          <w:tcPr>
            <w:tcW w:w="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Pr>
          <w:p>
            <w:pPr>
              <w:spacing w:after="0"/>
              <w:rPr>
                <w:sz w:val="15"/>
                <w:szCs w:val="15"/>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Yield (7)</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88"/>
              </w:rPr>
              <w:t>Stabilization (3)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8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Phase I - Retail, residential and</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Hotel Valencia</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445,212</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255</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7"/>
              </w:rPr>
              <w:t>$1.67 - $2.88</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780" w:type="dxa"/>
            <w:vAlign w:val="bottom"/>
            <w:gridSpan w:val="3"/>
            <w:shd w:val="clear" w:color="auto" w:fill="CCEEFF"/>
          </w:tcPr>
          <w:p>
            <w:pPr>
              <w:jc w:val="center"/>
              <w:ind w:left="39"/>
              <w:spacing w:after="0"/>
              <w:rPr>
                <w:sz w:val="20"/>
                <w:szCs w:val="20"/>
                <w:color w:val="auto"/>
              </w:rPr>
            </w:pPr>
            <w:r>
              <w:rPr>
                <w:rFonts w:ascii="Arial" w:cs="Arial" w:eastAsia="Arial" w:hAnsi="Arial"/>
                <w:sz w:val="18"/>
                <w:szCs w:val="18"/>
                <w:color w:val="auto"/>
                <w:w w:val="93"/>
              </w:rPr>
              <w:t>$ 435</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Phase II - Best Buy and The</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00" w:type="dxa"/>
            <w:vAlign w:val="bottom"/>
            <w:gridSpan w:val="2"/>
          </w:tcPr>
          <w:p>
            <w:pPr>
              <w:ind w:left="200"/>
              <w:spacing w:after="0"/>
              <w:rPr>
                <w:sz w:val="20"/>
                <w:szCs w:val="20"/>
                <w:color w:val="auto"/>
              </w:rPr>
            </w:pPr>
            <w:r>
              <w:rPr>
                <w:rFonts w:ascii="Arial" w:cs="Arial" w:eastAsia="Arial" w:hAnsi="Arial"/>
                <w:sz w:val="18"/>
                <w:szCs w:val="18"/>
                <w:color w:val="auto"/>
              </w:rPr>
              <w:t>Container Store</w:t>
            </w: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83,991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c>
          <w:tcPr>
            <w:tcW w:w="780" w:type="dxa"/>
            <w:vAlign w:val="bottom"/>
            <w:gridSpan w:val="3"/>
          </w:tcPr>
          <w:p>
            <w:pPr>
              <w:jc w:val="center"/>
              <w:ind w:left="39"/>
              <w:spacing w:after="0"/>
              <w:rPr>
                <w:sz w:val="20"/>
                <w:szCs w:val="20"/>
                <w:color w:val="auto"/>
              </w:rPr>
            </w:pPr>
            <w:r>
              <w:rPr>
                <w:rFonts w:ascii="Arial" w:cs="Arial" w:eastAsia="Arial" w:hAnsi="Arial"/>
                <w:sz w:val="18"/>
                <w:szCs w:val="18"/>
                <w:color w:val="auto"/>
              </w:rPr>
              <w:t>$  25</w:t>
            </w: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17%</w:t>
            </w:r>
          </w:p>
        </w:tc>
        <w:tc>
          <w:tcPr>
            <w:tcW w:w="940" w:type="dxa"/>
            <w:vAlign w:val="bottom"/>
          </w:tcPr>
          <w:p>
            <w:pPr>
              <w:jc w:val="right"/>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8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274" w:right="239" w:bottom="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Phase III - CineArts theater</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28,525</w:t>
            </w:r>
          </w:p>
        </w:tc>
        <w:tc>
          <w:tcPr>
            <w:tcW w:w="12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n/a</w:t>
            </w: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n/a</w:t>
            </w:r>
          </w:p>
        </w:tc>
        <w:tc>
          <w:tcPr>
            <w:tcW w:w="1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building &amp; restaurant</w:t>
            </w: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 w:type="dxa"/>
            <w:vAlign w:val="bottom"/>
            <w:shd w:val="clear" w:color="auto" w:fill="CCEEFF"/>
          </w:tcPr>
          <w:p>
            <w:pPr>
              <w:spacing w:after="0"/>
              <w:rPr>
                <w:sz w:val="19"/>
                <w:szCs w:val="19"/>
                <w:color w:val="auto"/>
              </w:rPr>
            </w:pPr>
          </w:p>
        </w:tc>
        <w:tc>
          <w:tcPr>
            <w:tcW w:w="43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Phase IV - Building 7 residential</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43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00" w:type="dxa"/>
            <w:vAlign w:val="bottom"/>
            <w:gridSpan w:val="2"/>
          </w:tcPr>
          <w:p>
            <w:pPr>
              <w:ind w:left="200"/>
              <w:spacing w:after="0"/>
              <w:rPr>
                <w:sz w:val="20"/>
                <w:szCs w:val="20"/>
                <w:color w:val="auto"/>
              </w:rPr>
            </w:pPr>
            <w:r>
              <w:rPr>
                <w:rFonts w:ascii="Arial" w:cs="Arial" w:eastAsia="Arial" w:hAnsi="Arial"/>
                <w:sz w:val="18"/>
                <w:szCs w:val="18"/>
                <w:color w:val="auto"/>
              </w:rPr>
              <w:t>re-build</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3"/>
          </w:tcPr>
          <w:p>
            <w:pPr>
              <w:jc w:val="right"/>
              <w:ind w:right="420"/>
              <w:spacing w:after="0"/>
              <w:rPr>
                <w:sz w:val="20"/>
                <w:szCs w:val="20"/>
                <w:color w:val="auto"/>
              </w:rPr>
            </w:pPr>
            <w:r>
              <w:rPr>
                <w:rFonts w:ascii="Arial" w:cs="Arial" w:eastAsia="Arial" w:hAnsi="Arial"/>
                <w:sz w:val="18"/>
                <w:szCs w:val="18"/>
                <w:color w:val="auto"/>
              </w:rPr>
              <w:t>n/a</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256</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$1.94 - $2.47</w:t>
            </w: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n/a</w:t>
            </w:r>
          </w:p>
        </w:tc>
        <w:tc>
          <w:tcPr>
            <w:tcW w:w="13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30" w:type="dxa"/>
            <w:vAlign w:val="bottom"/>
          </w:tcPr>
          <w:p>
            <w:pPr>
              <w:jc w:val="right"/>
              <w:spacing w:after="0"/>
              <w:rPr>
                <w:sz w:val="20"/>
                <w:szCs w:val="20"/>
                <w:color w:val="auto"/>
              </w:rPr>
            </w:pPr>
            <w:r>
              <w:rPr>
                <w:rFonts w:ascii="Arial" w:cs="Arial" w:eastAsia="Arial" w:hAnsi="Arial"/>
                <w:sz w:val="18"/>
                <w:szCs w:val="18"/>
                <w:color w:val="auto"/>
              </w:rPr>
              <w:t>58</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11%</w:t>
            </w:r>
          </w:p>
        </w:tc>
        <w:tc>
          <w:tcPr>
            <w:tcW w:w="760" w:type="dxa"/>
            <w:vAlign w:val="bottom"/>
          </w:tcPr>
          <w:p>
            <w:pPr>
              <w:jc w:val="right"/>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43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0" w:type="dxa"/>
            <w:vAlign w:val="bottom"/>
          </w:tcPr>
          <w:p>
            <w:pPr>
              <w:spacing w:after="0"/>
              <w:rPr>
                <w:sz w:val="8"/>
                <w:szCs w:val="8"/>
                <w:color w:val="auto"/>
              </w:rPr>
            </w:pPr>
          </w:p>
        </w:tc>
        <w:tc>
          <w:tcPr>
            <w:tcW w:w="43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557,728</w:t>
            </w:r>
          </w:p>
        </w:tc>
        <w:tc>
          <w:tcPr>
            <w:tcW w:w="12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94%</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511</w:t>
            </w:r>
          </w:p>
        </w:tc>
        <w:tc>
          <w:tcPr>
            <w:tcW w:w="1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95%</w:t>
            </w:r>
          </w:p>
        </w:tc>
        <w:tc>
          <w:tcPr>
            <w:tcW w:w="13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3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538</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492</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6.2%</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4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43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43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1949450</wp:posOffset>
            </wp:positionH>
            <wp:positionV relativeFrom="paragraph">
              <wp:posOffset>-172720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1726565</wp:posOffset>
            </wp:positionH>
            <wp:positionV relativeFrom="paragraph">
              <wp:posOffset>-172720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-172720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-172720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-172720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-172720</wp:posOffset>
            </wp:positionV>
            <wp:extent cx="3873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-172720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-172720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-172720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-172720</wp:posOffset>
            </wp:positionV>
            <wp:extent cx="3873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-172720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-172720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-172720</wp:posOffset>
            </wp:positionV>
            <wp:extent cx="2159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-172720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-172720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-172720</wp:posOffset>
            </wp:positionV>
            <wp:extent cx="2159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-172720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-172720</wp:posOffset>
            </wp:positionV>
            <wp:extent cx="3873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w:t>
      </w:r>
    </w:p>
    <w:p>
      <w:pPr>
        <w:spacing w:after="0" w:line="77" w:lineRule="exact"/>
        <w:rPr>
          <w:sz w:val="20"/>
          <w:szCs w:val="20"/>
          <w:color w:val="auto"/>
        </w:rPr>
      </w:pPr>
    </w:p>
    <w:p>
      <w:pPr>
        <w:ind w:left="460" w:right="240" w:hanging="452"/>
        <w:spacing w:after="0" w:line="284" w:lineRule="auto"/>
        <w:tabs>
          <w:tab w:leader="none" w:pos="460" w:val="left"/>
        </w:tabs>
        <w:numPr>
          <w:ilvl w:val="0"/>
          <w:numId w:val="1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There is no guaranty that the Trust will ultimately complete any or all of these redevelopment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spacing w:after="0" w:line="1" w:lineRule="exact"/>
        <w:rPr>
          <w:rFonts w:ascii="Arial" w:cs="Arial" w:eastAsia="Arial" w:hAnsi="Arial"/>
          <w:sz w:val="16"/>
          <w:szCs w:val="16"/>
          <w:b w:val="1"/>
          <w:bCs w:val="1"/>
          <w:i w:val="1"/>
          <w:iCs w:val="1"/>
          <w:color w:val="auto"/>
        </w:rPr>
      </w:pPr>
    </w:p>
    <w:p>
      <w:pPr>
        <w:ind w:left="460" w:hanging="452"/>
        <w:spacing w:after="0" w:line="281" w:lineRule="auto"/>
        <w:tabs>
          <w:tab w:leader="none" w:pos="460" w:val="left"/>
        </w:tabs>
        <w:numPr>
          <w:ilvl w:val="0"/>
          <w:numId w:val="1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Projected ROI reflects only the deal specific cash, unleveraged Incremental Property Operating Income (POI) generated by the redevelopment and is calculated as Incremental POI divided by cost. Incremental POI is the POI generated by the redevelopment after deducting rent previously being paid for the redevelopment space or space taken out of service as a result of the redevelopment. Projected ROI does NOT include peripheral impacts, such as the impact on future lease rollovers at the property or the impact on the long-term value of the property.</w:t>
      </w:r>
    </w:p>
    <w:p>
      <w:pPr>
        <w:spacing w:after="0" w:line="2" w:lineRule="exact"/>
        <w:rPr>
          <w:rFonts w:ascii="Arial" w:cs="Arial" w:eastAsia="Arial" w:hAnsi="Arial"/>
          <w:sz w:val="16"/>
          <w:szCs w:val="16"/>
          <w:b w:val="1"/>
          <w:bCs w:val="1"/>
          <w:i w:val="1"/>
          <w:iCs w:val="1"/>
          <w:color w:val="auto"/>
        </w:rPr>
      </w:pPr>
    </w:p>
    <w:p>
      <w:pPr>
        <w:ind w:left="460" w:hanging="452"/>
        <w:spacing w:after="0"/>
        <w:tabs>
          <w:tab w:leader="none" w:pos="46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Stabilization is the year in which 95% occupancy of the redeveloped space is achieved.</w:t>
      </w:r>
    </w:p>
    <w:p>
      <w:pPr>
        <w:spacing w:after="0" w:line="9" w:lineRule="exact"/>
        <w:rPr>
          <w:rFonts w:ascii="Arial" w:cs="Arial" w:eastAsia="Arial" w:hAnsi="Arial"/>
          <w:sz w:val="18"/>
          <w:szCs w:val="18"/>
          <w:b w:val="1"/>
          <w:bCs w:val="1"/>
          <w:i w:val="1"/>
          <w:iCs w:val="1"/>
          <w:color w:val="auto"/>
        </w:rPr>
      </w:pPr>
    </w:p>
    <w:p>
      <w:pPr>
        <w:ind w:left="460" w:hanging="452"/>
        <w:spacing w:after="0"/>
        <w:tabs>
          <w:tab w:leader="none" w:pos="46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All subtotals and totals reflect cost weighted-average ROIs.</w:t>
      </w:r>
    </w:p>
    <w:p>
      <w:pPr>
        <w:spacing w:after="0" w:line="9" w:lineRule="exact"/>
        <w:rPr>
          <w:rFonts w:ascii="Arial" w:cs="Arial" w:eastAsia="Arial" w:hAnsi="Arial"/>
          <w:sz w:val="18"/>
          <w:szCs w:val="18"/>
          <w:b w:val="1"/>
          <w:bCs w:val="1"/>
          <w:i w:val="1"/>
          <w:iCs w:val="1"/>
          <w:color w:val="auto"/>
        </w:rPr>
      </w:pPr>
    </w:p>
    <w:p>
      <w:pPr>
        <w:ind w:left="460" w:right="20" w:hanging="452"/>
        <w:spacing w:after="0" w:line="250" w:lineRule="auto"/>
        <w:tabs>
          <w:tab w:leader="none" w:pos="46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These future redevelopment opportunities are being explored by the Trust. There is no guaranty that the Trust will ultimately pursue or complete any or all of these opportunities.</w:t>
      </w:r>
    </w:p>
    <w:p>
      <w:pPr>
        <w:ind w:left="460" w:right="100" w:hanging="452"/>
        <w:spacing w:after="0" w:line="281" w:lineRule="auto"/>
        <w:tabs>
          <w:tab w:leader="none" w:pos="460" w:val="left"/>
        </w:tabs>
        <w:numPr>
          <w:ilvl w:val="0"/>
          <w:numId w:val="1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Range of gross rents. Market conditions have generally not required concessions on renewals, but have required concessions of up to one month on new 12 month leases. Overall average gross rent for Phase I is $2.03 per square foot per month and $2.28 per square foot per month for Phase IV. The range of rents above reflect the size and type of residential offerings for each phase.</w:t>
      </w:r>
    </w:p>
    <w:p>
      <w:pPr>
        <w:spacing w:after="0" w:line="2" w:lineRule="exact"/>
        <w:rPr>
          <w:rFonts w:ascii="Arial" w:cs="Arial" w:eastAsia="Arial" w:hAnsi="Arial"/>
          <w:sz w:val="16"/>
          <w:szCs w:val="16"/>
          <w:b w:val="1"/>
          <w:bCs w:val="1"/>
          <w:i w:val="1"/>
          <w:iCs w:val="1"/>
          <w:color w:val="auto"/>
        </w:rPr>
      </w:pPr>
    </w:p>
    <w:p>
      <w:pPr>
        <w:ind w:left="460" w:hanging="452"/>
        <w:spacing w:after="0"/>
        <w:tabs>
          <w:tab w:leader="none" w:pos="46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Calculated as stabilized Property Operating Income (POI) divided by cost.</w:t>
      </w:r>
    </w:p>
    <w:p>
      <w:pPr>
        <w:spacing w:after="0" w:line="9" w:lineRule="exact"/>
        <w:rPr>
          <w:rFonts w:ascii="Arial" w:cs="Arial" w:eastAsia="Arial" w:hAnsi="Arial"/>
          <w:sz w:val="18"/>
          <w:szCs w:val="18"/>
          <w:b w:val="1"/>
          <w:bCs w:val="1"/>
          <w:i w:val="1"/>
          <w:iCs w:val="1"/>
          <w:color w:val="auto"/>
        </w:rPr>
      </w:pPr>
    </w:p>
    <w:p>
      <w:pPr>
        <w:ind w:left="460" w:right="740" w:hanging="452"/>
        <w:spacing w:after="0" w:line="261" w:lineRule="auto"/>
        <w:tabs>
          <w:tab w:leader="none" w:pos="46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Santana Row Phase I and Total Projected Cost and Cost to Date are net of $129 million of insurance proceeds, $11 million of which has been recognized as income in 2003 and 2004.</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Acquisitions and Dispositions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Through December 31, 2004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Federal Realty Investment Trust Acquisitions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Date</w:t>
            </w:r>
          </w:p>
        </w:tc>
        <w:tc>
          <w:tcPr>
            <w:tcW w:w="3160" w:type="dxa"/>
            <w:vAlign w:val="bottom"/>
            <w:gridSpan w:val="4"/>
          </w:tcPr>
          <w:p>
            <w:pPr>
              <w:spacing w:after="0"/>
              <w:rPr>
                <w:sz w:val="20"/>
                <w:szCs w:val="20"/>
                <w:color w:val="auto"/>
              </w:rPr>
            </w:pPr>
            <w:r>
              <w:rPr>
                <w:rFonts w:ascii="Arial" w:cs="Arial" w:eastAsia="Arial" w:hAnsi="Arial"/>
                <w:sz w:val="14"/>
                <w:szCs w:val="14"/>
                <w:b w:val="1"/>
                <w:bCs w:val="1"/>
                <w:color w:val="auto"/>
              </w:rPr>
              <w:t>Property</w:t>
            </w:r>
          </w:p>
        </w:tc>
        <w:tc>
          <w:tcPr>
            <w:tcW w:w="1040" w:type="dxa"/>
            <w:vAlign w:val="bottom"/>
          </w:tcPr>
          <w:p>
            <w:pPr>
              <w:ind w:left="200"/>
              <w:spacing w:after="0"/>
              <w:rPr>
                <w:sz w:val="20"/>
                <w:szCs w:val="20"/>
                <w:color w:val="auto"/>
              </w:rPr>
            </w:pPr>
            <w:r>
              <w:rPr>
                <w:rFonts w:ascii="Arial" w:cs="Arial" w:eastAsia="Arial" w:hAnsi="Arial"/>
                <w:sz w:val="14"/>
                <w:szCs w:val="14"/>
                <w:b w:val="1"/>
                <w:bCs w:val="1"/>
                <w:color w:val="auto"/>
              </w:rPr>
              <w:t>City / State</w:t>
            </w:r>
          </w:p>
        </w:tc>
        <w:tc>
          <w:tcPr>
            <w:tcW w:w="220" w:type="dxa"/>
            <w:vAlign w:val="bottom"/>
          </w:tcPr>
          <w:p>
            <w:pPr>
              <w:spacing w:after="0"/>
              <w:rPr>
                <w:sz w:val="15"/>
                <w:szCs w:val="15"/>
                <w:color w:val="auto"/>
              </w:rPr>
            </w:pPr>
          </w:p>
        </w:tc>
        <w:tc>
          <w:tcPr>
            <w:tcW w:w="580" w:type="dxa"/>
            <w:vAlign w:val="bottom"/>
          </w:tcPr>
          <w:p>
            <w:pPr>
              <w:jc w:val="right"/>
              <w:ind w:right="62"/>
              <w:spacing w:after="0"/>
              <w:rPr>
                <w:sz w:val="20"/>
                <w:szCs w:val="20"/>
                <w:color w:val="auto"/>
              </w:rPr>
            </w:pPr>
            <w:r>
              <w:rPr>
                <w:rFonts w:ascii="Arial" w:cs="Arial" w:eastAsia="Arial" w:hAnsi="Arial"/>
                <w:sz w:val="14"/>
                <w:szCs w:val="14"/>
                <w:b w:val="1"/>
                <w:bCs w:val="1"/>
                <w:color w:val="auto"/>
              </w:rPr>
              <w:t>GLA</w:t>
            </w:r>
          </w:p>
        </w:tc>
        <w:tc>
          <w:tcPr>
            <w:tcW w:w="220" w:type="dxa"/>
            <w:vAlign w:val="bottom"/>
          </w:tcPr>
          <w:p>
            <w:pPr>
              <w:spacing w:after="0"/>
              <w:rPr>
                <w:sz w:val="15"/>
                <w:szCs w:val="15"/>
                <w:color w:val="auto"/>
              </w:rPr>
            </w:pP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Purchase price</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Anchor tenants</w:t>
            </w: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7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4"/>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1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31, 2004</w:t>
            </w:r>
          </w:p>
        </w:tc>
        <w:tc>
          <w:tcPr>
            <w:tcW w:w="3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Westgate Mall</w:t>
            </w: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2"/>
              </w:rPr>
              <w:t>San Jose, CA</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7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100" w:type="dxa"/>
            <w:vAlign w:val="bottom"/>
            <w:gridSpan w:val="9"/>
            <w:shd w:val="clear" w:color="auto" w:fill="CCEEFF"/>
          </w:tcPr>
          <w:p>
            <w:pPr>
              <w:spacing w:after="0"/>
              <w:rPr>
                <w:sz w:val="20"/>
                <w:szCs w:val="20"/>
                <w:color w:val="auto"/>
              </w:rPr>
            </w:pPr>
            <w:r>
              <w:rPr>
                <w:rFonts w:ascii="Arial" w:cs="Arial" w:eastAsia="Arial" w:hAnsi="Arial"/>
                <w:sz w:val="18"/>
                <w:szCs w:val="18"/>
                <w:color w:val="auto"/>
                <w:w w:val="91"/>
              </w:rPr>
              <w:t>Target, Safeway, Burlington Coat Factory,</w:t>
            </w:r>
          </w:p>
        </w:tc>
        <w:tc>
          <w:tcPr>
            <w:tcW w:w="0" w:type="dxa"/>
            <w:vAlign w:val="bottom"/>
          </w:tcPr>
          <w:p>
            <w:pPr>
              <w:spacing w:after="0"/>
              <w:rPr>
                <w:sz w:val="1"/>
                <w:szCs w:val="1"/>
                <w:color w:val="auto"/>
              </w:rPr>
            </w:pPr>
          </w:p>
        </w:tc>
      </w:tr>
      <w:tr>
        <w:trPr>
          <w:trHeight w:val="224"/>
        </w:trPr>
        <w:tc>
          <w:tcPr>
            <w:tcW w:w="3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637,211</w:t>
            </w:r>
          </w:p>
        </w:tc>
        <w:tc>
          <w:tcPr>
            <w:tcW w:w="31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9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97,000</w:t>
            </w:r>
          </w:p>
        </w:tc>
        <w:tc>
          <w:tcPr>
            <w:tcW w:w="420" w:type="dxa"/>
            <w:vAlign w:val="bottom"/>
            <w:shd w:val="clear" w:color="auto" w:fill="CCEEFF"/>
          </w:tcPr>
          <w:p>
            <w:pPr>
              <w:spacing w:after="0"/>
              <w:rPr>
                <w:sz w:val="19"/>
                <w:szCs w:val="19"/>
                <w:color w:val="auto"/>
              </w:rPr>
            </w:pPr>
          </w:p>
        </w:tc>
        <w:tc>
          <w:tcPr>
            <w:tcW w:w="31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Ross Dress for Less, Nordstrom Rack</w:t>
            </w:r>
          </w:p>
        </w:tc>
        <w:tc>
          <w:tcPr>
            <w:tcW w:w="0" w:type="dxa"/>
            <w:vAlign w:val="bottom"/>
          </w:tcPr>
          <w:p>
            <w:pPr>
              <w:spacing w:after="0"/>
              <w:rPr>
                <w:sz w:val="1"/>
                <w:szCs w:val="1"/>
                <w:color w:val="auto"/>
              </w:rPr>
            </w:pPr>
          </w:p>
        </w:tc>
      </w:tr>
      <w:tr>
        <w:trPr>
          <w:trHeight w:val="208"/>
        </w:trPr>
        <w:tc>
          <w:tcPr>
            <w:tcW w:w="1800" w:type="dxa"/>
            <w:vAlign w:val="bottom"/>
            <w:gridSpan w:val="3"/>
          </w:tcPr>
          <w:p>
            <w:pPr>
              <w:spacing w:after="0"/>
              <w:rPr>
                <w:sz w:val="20"/>
                <w:szCs w:val="20"/>
                <w:color w:val="auto"/>
              </w:rPr>
            </w:pPr>
            <w:r>
              <w:rPr>
                <w:rFonts w:ascii="Arial" w:cs="Arial" w:eastAsia="Arial" w:hAnsi="Arial"/>
                <w:sz w:val="18"/>
                <w:szCs w:val="18"/>
                <w:color w:val="auto"/>
              </w:rPr>
              <w:t>September 15, 2004</w:t>
            </w:r>
          </w:p>
        </w:tc>
        <w:tc>
          <w:tcPr>
            <w:tcW w:w="3160" w:type="dxa"/>
            <w:vAlign w:val="bottom"/>
            <w:gridSpan w:val="4"/>
          </w:tcPr>
          <w:p>
            <w:pPr>
              <w:spacing w:after="0"/>
              <w:rPr>
                <w:sz w:val="20"/>
                <w:szCs w:val="20"/>
                <w:color w:val="auto"/>
              </w:rPr>
            </w:pPr>
            <w:r>
              <w:rPr>
                <w:rFonts w:ascii="Arial" w:cs="Arial" w:eastAsia="Arial" w:hAnsi="Arial"/>
                <w:sz w:val="18"/>
                <w:szCs w:val="18"/>
                <w:color w:val="auto"/>
              </w:rPr>
              <w:t>Mercer Mall (land parcel)</w:t>
            </w:r>
          </w:p>
        </w:tc>
        <w:tc>
          <w:tcPr>
            <w:tcW w:w="1040" w:type="dxa"/>
            <w:vAlign w:val="bottom"/>
          </w:tcPr>
          <w:p>
            <w:pPr>
              <w:spacing w:after="0"/>
              <w:rPr>
                <w:sz w:val="20"/>
                <w:szCs w:val="20"/>
                <w:color w:val="auto"/>
              </w:rPr>
            </w:pPr>
            <w:r>
              <w:rPr>
                <w:rFonts w:ascii="Arial" w:cs="Arial" w:eastAsia="Arial" w:hAnsi="Arial"/>
                <w:sz w:val="18"/>
                <w:szCs w:val="18"/>
                <w:color w:val="auto"/>
                <w:w w:val="89"/>
              </w:rPr>
              <w:t>Lawrenceville,</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77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NJ</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79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October 12, 2004</w:t>
            </w:r>
          </w:p>
        </w:tc>
        <w:tc>
          <w:tcPr>
            <w:tcW w:w="3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Shaw’s Plaza</w:t>
            </w: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Carver, MA</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75,307</w:t>
            </w:r>
          </w:p>
        </w:tc>
        <w:tc>
          <w:tcPr>
            <w:tcW w:w="2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9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4,000</w:t>
            </w:r>
          </w:p>
        </w:tc>
        <w:tc>
          <w:tcPr>
            <w:tcW w:w="420" w:type="dxa"/>
            <w:vAlign w:val="bottom"/>
            <w:shd w:val="clear" w:color="auto" w:fill="CCEEFF"/>
          </w:tcPr>
          <w:p>
            <w:pPr>
              <w:spacing w:after="0"/>
              <w:rPr>
                <w:sz w:val="18"/>
                <w:szCs w:val="18"/>
                <w:color w:val="auto"/>
              </w:rPr>
            </w:pPr>
          </w:p>
        </w:tc>
        <w:tc>
          <w:tcPr>
            <w:tcW w:w="18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Shaw’s Supermarket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800" w:type="dxa"/>
            <w:vAlign w:val="bottom"/>
            <w:gridSpan w:val="3"/>
          </w:tcPr>
          <w:p>
            <w:pPr>
              <w:spacing w:after="0"/>
              <w:rPr>
                <w:sz w:val="20"/>
                <w:szCs w:val="20"/>
                <w:color w:val="auto"/>
              </w:rPr>
            </w:pPr>
            <w:r>
              <w:rPr>
                <w:rFonts w:ascii="Arial" w:cs="Arial" w:eastAsia="Arial" w:hAnsi="Arial"/>
                <w:sz w:val="18"/>
                <w:szCs w:val="18"/>
                <w:color w:val="auto"/>
              </w:rPr>
              <w:t>December 23, 2004</w:t>
            </w:r>
          </w:p>
        </w:tc>
        <w:tc>
          <w:tcPr>
            <w:tcW w:w="3160" w:type="dxa"/>
            <w:vAlign w:val="bottom"/>
            <w:gridSpan w:val="4"/>
          </w:tcPr>
          <w:p>
            <w:pPr>
              <w:spacing w:after="0"/>
              <w:rPr>
                <w:sz w:val="20"/>
                <w:szCs w:val="20"/>
                <w:color w:val="auto"/>
              </w:rPr>
            </w:pPr>
            <w:r>
              <w:rPr>
                <w:rFonts w:ascii="Arial" w:cs="Arial" w:eastAsia="Arial" w:hAnsi="Arial"/>
                <w:sz w:val="18"/>
                <w:szCs w:val="18"/>
                <w:color w:val="auto"/>
                <w:w w:val="99"/>
              </w:rPr>
              <w:t>Mercer Mall (West Windsor land parcel)</w:t>
            </w:r>
          </w:p>
        </w:tc>
        <w:tc>
          <w:tcPr>
            <w:tcW w:w="1040" w:type="dxa"/>
            <w:vAlign w:val="bottom"/>
          </w:tcPr>
          <w:p>
            <w:pPr>
              <w:spacing w:after="0"/>
              <w:rPr>
                <w:sz w:val="20"/>
                <w:szCs w:val="20"/>
                <w:color w:val="auto"/>
              </w:rPr>
            </w:pPr>
            <w:r>
              <w:rPr>
                <w:rFonts w:ascii="Arial" w:cs="Arial" w:eastAsia="Arial" w:hAnsi="Arial"/>
                <w:sz w:val="18"/>
                <w:szCs w:val="18"/>
                <w:color w:val="auto"/>
                <w:w w:val="89"/>
              </w:rPr>
              <w:t>Lawrenceville,</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77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NJ</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790" w:type="dxa"/>
            <w:vAlign w:val="bottom"/>
            <w:gridSpan w:val="2"/>
          </w:tcPr>
          <w:p>
            <w:pPr>
              <w:jc w:val="right"/>
              <w:ind w:right="20"/>
              <w:spacing w:after="0"/>
              <w:rPr>
                <w:sz w:val="20"/>
                <w:szCs w:val="20"/>
                <w:color w:val="auto"/>
              </w:rPr>
            </w:pPr>
            <w:r>
              <w:rPr>
                <w:rFonts w:ascii="Arial" w:cs="Arial" w:eastAsia="Arial" w:hAnsi="Arial"/>
                <w:sz w:val="18"/>
                <w:szCs w:val="18"/>
                <w:color w:val="auto"/>
              </w:rPr>
              <w:t>308</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 w:type="dxa"/>
            <w:vAlign w:val="bottom"/>
          </w:tcPr>
          <w:p>
            <w:pPr>
              <w:spacing w:after="0"/>
              <w:rPr>
                <w:sz w:val="8"/>
                <w:szCs w:val="8"/>
                <w:color w:val="auto"/>
              </w:rPr>
            </w:pPr>
          </w:p>
        </w:tc>
        <w:tc>
          <w:tcPr>
            <w:tcW w:w="77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712,518</w:t>
            </w:r>
          </w:p>
        </w:tc>
        <w:tc>
          <w:tcPr>
            <w:tcW w:w="31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9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101,435</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00" w:type="dxa"/>
            <w:vAlign w:val="bottom"/>
            <w:gridSpan w:val="4"/>
            <w:vMerge w:val="restart"/>
          </w:tcPr>
          <w:p>
            <w:pPr>
              <w:spacing w:after="0"/>
              <w:rPr>
                <w:sz w:val="20"/>
                <w:szCs w:val="20"/>
                <w:color w:val="auto"/>
              </w:rPr>
            </w:pPr>
            <w:r>
              <w:rPr>
                <w:rFonts w:ascii="Arial" w:cs="Arial" w:eastAsia="Arial" w:hAnsi="Arial"/>
                <w:sz w:val="18"/>
                <w:szCs w:val="18"/>
                <w:b w:val="1"/>
                <w:bCs w:val="1"/>
                <w:color w:val="auto"/>
                <w:w w:val="86"/>
              </w:rPr>
              <w:t>Joint Venture Acquisitions</w:t>
            </w:r>
          </w:p>
        </w:tc>
        <w:tc>
          <w:tcPr>
            <w:tcW w:w="2960" w:type="dxa"/>
            <w:vAlign w:val="bottom"/>
            <w:gridSpan w:val="3"/>
            <w:vMerge w:val="restart"/>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77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1"/>
        </w:trPr>
        <w:tc>
          <w:tcPr>
            <w:tcW w:w="2000" w:type="dxa"/>
            <w:vAlign w:val="bottom"/>
            <w:tcBorders>
              <w:bottom w:val="single" w:sz="8" w:color="auto"/>
            </w:tcBorders>
            <w:gridSpan w:val="4"/>
            <w:vMerge w:val="continue"/>
          </w:tcPr>
          <w:p>
            <w:pPr>
              <w:spacing w:after="0"/>
              <w:rPr>
                <w:sz w:val="24"/>
                <w:szCs w:val="24"/>
                <w:color w:val="auto"/>
              </w:rPr>
            </w:pPr>
          </w:p>
        </w:tc>
        <w:tc>
          <w:tcPr>
            <w:tcW w:w="2960" w:type="dxa"/>
            <w:vAlign w:val="bottom"/>
            <w:gridSpan w:val="3"/>
            <w:vMerge w:val="continue"/>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77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Date</w:t>
            </w:r>
          </w:p>
        </w:tc>
        <w:tc>
          <w:tcPr>
            <w:tcW w:w="3160" w:type="dxa"/>
            <w:vAlign w:val="bottom"/>
            <w:gridSpan w:val="4"/>
          </w:tcPr>
          <w:p>
            <w:pPr>
              <w:spacing w:after="0"/>
              <w:rPr>
                <w:sz w:val="20"/>
                <w:szCs w:val="20"/>
                <w:color w:val="auto"/>
              </w:rPr>
            </w:pPr>
            <w:r>
              <w:rPr>
                <w:rFonts w:ascii="Arial" w:cs="Arial" w:eastAsia="Arial" w:hAnsi="Arial"/>
                <w:sz w:val="14"/>
                <w:szCs w:val="14"/>
                <w:b w:val="1"/>
                <w:bCs w:val="1"/>
                <w:color w:val="auto"/>
              </w:rPr>
              <w:t>Property</w:t>
            </w:r>
          </w:p>
        </w:tc>
        <w:tc>
          <w:tcPr>
            <w:tcW w:w="1040" w:type="dxa"/>
            <w:vAlign w:val="bottom"/>
          </w:tcPr>
          <w:p>
            <w:pPr>
              <w:ind w:left="200"/>
              <w:spacing w:after="0"/>
              <w:rPr>
                <w:sz w:val="20"/>
                <w:szCs w:val="20"/>
                <w:color w:val="auto"/>
              </w:rPr>
            </w:pPr>
            <w:r>
              <w:rPr>
                <w:rFonts w:ascii="Arial" w:cs="Arial" w:eastAsia="Arial" w:hAnsi="Arial"/>
                <w:sz w:val="14"/>
                <w:szCs w:val="14"/>
                <w:b w:val="1"/>
                <w:bCs w:val="1"/>
                <w:color w:val="auto"/>
              </w:rPr>
              <w:t>City / State</w:t>
            </w:r>
          </w:p>
        </w:tc>
        <w:tc>
          <w:tcPr>
            <w:tcW w:w="220" w:type="dxa"/>
            <w:vAlign w:val="bottom"/>
          </w:tcPr>
          <w:p>
            <w:pPr>
              <w:spacing w:after="0"/>
              <w:rPr>
                <w:sz w:val="24"/>
                <w:szCs w:val="24"/>
                <w:color w:val="auto"/>
              </w:rPr>
            </w:pPr>
          </w:p>
        </w:tc>
        <w:tc>
          <w:tcPr>
            <w:tcW w:w="580" w:type="dxa"/>
            <w:vAlign w:val="bottom"/>
          </w:tcPr>
          <w:p>
            <w:pPr>
              <w:jc w:val="right"/>
              <w:ind w:right="62"/>
              <w:spacing w:after="0"/>
              <w:rPr>
                <w:sz w:val="20"/>
                <w:szCs w:val="20"/>
                <w:color w:val="auto"/>
              </w:rPr>
            </w:pPr>
            <w:r>
              <w:rPr>
                <w:rFonts w:ascii="Arial" w:cs="Arial" w:eastAsia="Arial" w:hAnsi="Arial"/>
                <w:sz w:val="14"/>
                <w:szCs w:val="14"/>
                <w:b w:val="1"/>
                <w:bCs w:val="1"/>
                <w:color w:val="auto"/>
              </w:rPr>
              <w:t>GLA</w:t>
            </w:r>
          </w:p>
        </w:tc>
        <w:tc>
          <w:tcPr>
            <w:tcW w:w="220" w:type="dxa"/>
            <w:vAlign w:val="bottom"/>
          </w:tcPr>
          <w:p>
            <w:pPr>
              <w:spacing w:after="0"/>
              <w:rPr>
                <w:sz w:val="24"/>
                <w:szCs w:val="24"/>
                <w:color w:val="auto"/>
              </w:rPr>
            </w:pP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Purchase price</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Anchor tenants</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3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70" w:type="dxa"/>
            <w:vAlign w:val="bottom"/>
            <w:tcBorders>
              <w:bottom w:val="single" w:sz="8" w:color="auto"/>
            </w:tcBorders>
          </w:tcPr>
          <w:p>
            <w:pPr>
              <w:spacing w:after="0"/>
              <w:rPr>
                <w:sz w:val="8"/>
                <w:szCs w:val="8"/>
                <w:color w:val="auto"/>
              </w:rPr>
            </w:pPr>
          </w:p>
        </w:tc>
        <w:tc>
          <w:tcPr>
            <w:tcW w:w="440" w:type="dxa"/>
            <w:vAlign w:val="bottom"/>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4"/>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1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1, 2004</w:t>
            </w:r>
          </w:p>
        </w:tc>
        <w:tc>
          <w:tcPr>
            <w:tcW w:w="3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Plaza del Mercado</w:t>
            </w: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5"/>
              </w:rPr>
              <w:t>Silver Spring,</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7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9"/>
              </w:rPr>
              <w:t>Giant Food, CVS</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MD</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96,000</w:t>
            </w:r>
          </w:p>
        </w:tc>
        <w:tc>
          <w:tcPr>
            <w:tcW w:w="31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21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20,578(1)</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800" w:type="dxa"/>
            <w:vAlign w:val="bottom"/>
            <w:gridSpan w:val="3"/>
          </w:tcPr>
          <w:p>
            <w:pPr>
              <w:spacing w:after="0"/>
              <w:rPr>
                <w:sz w:val="20"/>
                <w:szCs w:val="20"/>
                <w:color w:val="auto"/>
              </w:rPr>
            </w:pPr>
            <w:r>
              <w:rPr>
                <w:rFonts w:ascii="Arial" w:cs="Arial" w:eastAsia="Arial" w:hAnsi="Arial"/>
                <w:sz w:val="18"/>
                <w:szCs w:val="18"/>
                <w:color w:val="auto"/>
              </w:rPr>
              <w:t>September 20, 2004</w:t>
            </w:r>
          </w:p>
        </w:tc>
        <w:tc>
          <w:tcPr>
            <w:tcW w:w="3160" w:type="dxa"/>
            <w:vAlign w:val="bottom"/>
            <w:gridSpan w:val="4"/>
          </w:tcPr>
          <w:p>
            <w:pPr>
              <w:spacing w:after="0"/>
              <w:rPr>
                <w:sz w:val="20"/>
                <w:szCs w:val="20"/>
                <w:color w:val="auto"/>
              </w:rPr>
            </w:pPr>
            <w:r>
              <w:rPr>
                <w:rFonts w:ascii="Arial" w:cs="Arial" w:eastAsia="Arial" w:hAnsi="Arial"/>
                <w:sz w:val="18"/>
                <w:szCs w:val="18"/>
                <w:color w:val="auto"/>
              </w:rPr>
              <w:t>Campus Plaza</w:t>
            </w:r>
          </w:p>
        </w:tc>
        <w:tc>
          <w:tcPr>
            <w:tcW w:w="1040" w:type="dxa"/>
            <w:vAlign w:val="bottom"/>
          </w:tcPr>
          <w:p>
            <w:pPr>
              <w:spacing w:after="0"/>
              <w:rPr>
                <w:sz w:val="20"/>
                <w:szCs w:val="20"/>
                <w:color w:val="auto"/>
              </w:rPr>
            </w:pPr>
            <w:r>
              <w:rPr>
                <w:rFonts w:ascii="Arial" w:cs="Arial" w:eastAsia="Arial" w:hAnsi="Arial"/>
                <w:sz w:val="18"/>
                <w:szCs w:val="18"/>
                <w:color w:val="auto"/>
              </w:rPr>
              <w:t>Bridgewater,</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77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100" w:type="dxa"/>
            <w:vAlign w:val="bottom"/>
            <w:gridSpan w:val="9"/>
          </w:tcPr>
          <w:p>
            <w:pPr>
              <w:spacing w:after="0"/>
              <w:rPr>
                <w:sz w:val="20"/>
                <w:szCs w:val="20"/>
                <w:color w:val="auto"/>
              </w:rPr>
            </w:pPr>
            <w:r>
              <w:rPr>
                <w:rFonts w:ascii="Arial" w:cs="Arial" w:eastAsia="Arial" w:hAnsi="Arial"/>
                <w:sz w:val="18"/>
                <w:szCs w:val="18"/>
                <w:color w:val="auto"/>
                <w:w w:val="95"/>
              </w:rPr>
              <w:t>Roche Brothers Supermarket, Burlington</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MA</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1210" w:type="dxa"/>
            <w:vAlign w:val="bottom"/>
            <w:gridSpan w:val="3"/>
          </w:tcPr>
          <w:p>
            <w:pPr>
              <w:jc w:val="right"/>
              <w:ind w:right="240"/>
              <w:spacing w:after="0"/>
              <w:rPr>
                <w:sz w:val="20"/>
                <w:szCs w:val="20"/>
                <w:color w:val="auto"/>
              </w:rPr>
            </w:pPr>
            <w:r>
              <w:rPr>
                <w:rFonts w:ascii="Arial" w:cs="Arial" w:eastAsia="Arial" w:hAnsi="Arial"/>
                <w:sz w:val="18"/>
                <w:szCs w:val="18"/>
                <w:color w:val="auto"/>
              </w:rPr>
              <w:t>18,450(2)</w:t>
            </w:r>
          </w:p>
        </w:tc>
        <w:tc>
          <w:tcPr>
            <w:tcW w:w="1240" w:type="dxa"/>
            <w:vAlign w:val="bottom"/>
            <w:gridSpan w:val="3"/>
          </w:tcPr>
          <w:p>
            <w:pPr>
              <w:spacing w:after="0"/>
              <w:rPr>
                <w:sz w:val="20"/>
                <w:szCs w:val="20"/>
                <w:color w:val="auto"/>
              </w:rPr>
            </w:pPr>
            <w:r>
              <w:rPr>
                <w:rFonts w:ascii="Arial" w:cs="Arial" w:eastAsia="Arial" w:hAnsi="Arial"/>
                <w:sz w:val="18"/>
                <w:szCs w:val="18"/>
                <w:color w:val="auto"/>
              </w:rPr>
              <w:t>Coat Factory</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20, 2004</w:t>
            </w:r>
          </w:p>
        </w:tc>
        <w:tc>
          <w:tcPr>
            <w:tcW w:w="3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Pleasant Shops</w:t>
            </w: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Weymouth,</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7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1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Foodmaster Supermarket, Marshalls</w:t>
            </w:r>
          </w:p>
        </w:tc>
        <w:tc>
          <w:tcPr>
            <w:tcW w:w="0" w:type="dxa"/>
            <w:vAlign w:val="bottom"/>
          </w:tcPr>
          <w:p>
            <w:pPr>
              <w:spacing w:after="0"/>
              <w:rPr>
                <w:sz w:val="1"/>
                <w:szCs w:val="1"/>
                <w:color w:val="auto"/>
              </w:rPr>
            </w:pPr>
          </w:p>
        </w:tc>
      </w:tr>
      <w:tr>
        <w:trPr>
          <w:trHeight w:val="224"/>
        </w:trPr>
        <w:tc>
          <w:tcPr>
            <w:tcW w:w="3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MA</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128,000</w:t>
            </w:r>
          </w:p>
        </w:tc>
        <w:tc>
          <w:tcPr>
            <w:tcW w:w="220" w:type="dxa"/>
            <w:vAlign w:val="bottom"/>
            <w:shd w:val="clear" w:color="auto" w:fill="CCEEFF"/>
          </w:tcPr>
          <w:p>
            <w:pPr>
              <w:spacing w:after="0"/>
              <w:rPr>
                <w:sz w:val="19"/>
                <w:szCs w:val="19"/>
                <w:color w:val="auto"/>
              </w:rPr>
            </w:pPr>
          </w:p>
        </w:tc>
        <w:tc>
          <w:tcPr>
            <w:tcW w:w="90" w:type="dxa"/>
            <w:vAlign w:val="bottom"/>
            <w:shd w:val="clear" w:color="auto" w:fill="CCEEFF"/>
          </w:tcPr>
          <w:p>
            <w:pPr>
              <w:spacing w:after="0"/>
              <w:rPr>
                <w:sz w:val="19"/>
                <w:szCs w:val="19"/>
                <w:color w:val="auto"/>
              </w:rPr>
            </w:pPr>
          </w:p>
        </w:tc>
        <w:tc>
          <w:tcPr>
            <w:tcW w:w="79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20,275</w:t>
            </w: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800" w:type="dxa"/>
            <w:vAlign w:val="bottom"/>
            <w:gridSpan w:val="3"/>
          </w:tcPr>
          <w:p>
            <w:pPr>
              <w:spacing w:after="0"/>
              <w:rPr>
                <w:sz w:val="20"/>
                <w:szCs w:val="20"/>
                <w:color w:val="auto"/>
              </w:rPr>
            </w:pPr>
            <w:r>
              <w:rPr>
                <w:rFonts w:ascii="Arial" w:cs="Arial" w:eastAsia="Arial" w:hAnsi="Arial"/>
                <w:sz w:val="18"/>
                <w:szCs w:val="18"/>
                <w:color w:val="auto"/>
              </w:rPr>
              <w:t>December 1, 2004</w:t>
            </w:r>
          </w:p>
        </w:tc>
        <w:tc>
          <w:tcPr>
            <w:tcW w:w="3160" w:type="dxa"/>
            <w:vAlign w:val="bottom"/>
            <w:gridSpan w:val="4"/>
          </w:tcPr>
          <w:p>
            <w:pPr>
              <w:spacing w:after="0"/>
              <w:rPr>
                <w:sz w:val="20"/>
                <w:szCs w:val="20"/>
                <w:color w:val="auto"/>
              </w:rPr>
            </w:pPr>
            <w:r>
              <w:rPr>
                <w:rFonts w:ascii="Arial" w:cs="Arial" w:eastAsia="Arial" w:hAnsi="Arial"/>
                <w:sz w:val="18"/>
                <w:szCs w:val="18"/>
                <w:color w:val="auto"/>
              </w:rPr>
              <w:t>Atlantic Plaza</w:t>
            </w:r>
          </w:p>
        </w:tc>
        <w:tc>
          <w:tcPr>
            <w:tcW w:w="1040" w:type="dxa"/>
            <w:vAlign w:val="bottom"/>
          </w:tcPr>
          <w:p>
            <w:pPr>
              <w:spacing w:after="0"/>
              <w:rPr>
                <w:sz w:val="20"/>
                <w:szCs w:val="20"/>
                <w:color w:val="auto"/>
              </w:rPr>
            </w:pPr>
            <w:r>
              <w:rPr>
                <w:rFonts w:ascii="Arial" w:cs="Arial" w:eastAsia="Arial" w:hAnsi="Arial"/>
                <w:sz w:val="18"/>
                <w:szCs w:val="18"/>
                <w:color w:val="auto"/>
              </w:rPr>
              <w:t>North</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77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100" w:type="dxa"/>
            <w:vAlign w:val="bottom"/>
            <w:gridSpan w:val="9"/>
          </w:tcPr>
          <w:p>
            <w:pPr>
              <w:spacing w:after="0"/>
              <w:rPr>
                <w:sz w:val="20"/>
                <w:szCs w:val="20"/>
                <w:color w:val="auto"/>
              </w:rPr>
            </w:pPr>
            <w:r>
              <w:rPr>
                <w:rFonts w:ascii="Arial" w:cs="Arial" w:eastAsia="Arial" w:hAnsi="Arial"/>
                <w:sz w:val="18"/>
                <w:szCs w:val="18"/>
                <w:color w:val="auto"/>
              </w:rPr>
              <w:t>Shaw’s Supermarket, Sears Hardware</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Arial" w:cs="Arial" w:eastAsia="Arial" w:hAnsi="Arial"/>
                <w:sz w:val="18"/>
                <w:szCs w:val="18"/>
                <w:color w:val="auto"/>
                <w:w w:val="97"/>
              </w:rPr>
              <w:t>Reading, MA</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126,000</w:t>
            </w:r>
          </w:p>
        </w:tc>
        <w:tc>
          <w:tcPr>
            <w:tcW w:w="2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790" w:type="dxa"/>
            <w:vAlign w:val="bottom"/>
            <w:gridSpan w:val="2"/>
          </w:tcPr>
          <w:p>
            <w:pPr>
              <w:jc w:val="right"/>
              <w:ind w:right="20"/>
              <w:spacing w:after="0"/>
              <w:rPr>
                <w:sz w:val="20"/>
                <w:szCs w:val="20"/>
                <w:color w:val="auto"/>
              </w:rPr>
            </w:pPr>
            <w:r>
              <w:rPr>
                <w:rFonts w:ascii="Arial" w:cs="Arial" w:eastAsia="Arial" w:hAnsi="Arial"/>
                <w:sz w:val="18"/>
                <w:szCs w:val="18"/>
                <w:color w:val="auto"/>
              </w:rPr>
              <w:t>16,500</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 w:type="dxa"/>
            <w:vAlign w:val="bottom"/>
          </w:tcPr>
          <w:p>
            <w:pPr>
              <w:spacing w:after="0"/>
              <w:rPr>
                <w:sz w:val="8"/>
                <w:szCs w:val="8"/>
                <w:color w:val="auto"/>
              </w:rPr>
            </w:pPr>
          </w:p>
        </w:tc>
        <w:tc>
          <w:tcPr>
            <w:tcW w:w="77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465,000</w:t>
            </w:r>
          </w:p>
        </w:tc>
        <w:tc>
          <w:tcPr>
            <w:tcW w:w="31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9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75,803</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400" w:type="dxa"/>
            <w:vAlign w:val="bottom"/>
            <w:gridSpan w:val="6"/>
            <w:vMerge w:val="restart"/>
          </w:tcPr>
          <w:p>
            <w:pPr>
              <w:spacing w:after="0"/>
              <w:rPr>
                <w:sz w:val="20"/>
                <w:szCs w:val="20"/>
                <w:color w:val="auto"/>
              </w:rPr>
            </w:pPr>
            <w:r>
              <w:rPr>
                <w:rFonts w:ascii="Arial" w:cs="Arial" w:eastAsia="Arial" w:hAnsi="Arial"/>
                <w:sz w:val="18"/>
                <w:szCs w:val="18"/>
                <w:b w:val="1"/>
                <w:bCs w:val="1"/>
                <w:color w:val="auto"/>
                <w:w w:val="87"/>
              </w:rPr>
              <w:t>Federal Realty Investment Trust Dispositions</w:t>
            </w:r>
          </w:p>
        </w:tc>
        <w:tc>
          <w:tcPr>
            <w:tcW w:w="1560" w:type="dxa"/>
            <w:vAlign w:val="bottom"/>
            <w:vMerge w:val="restart"/>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77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4"/>
        </w:trPr>
        <w:tc>
          <w:tcPr>
            <w:tcW w:w="3400" w:type="dxa"/>
            <w:vAlign w:val="bottom"/>
            <w:tcBorders>
              <w:bottom w:val="single" w:sz="8" w:color="auto"/>
            </w:tcBorders>
            <w:gridSpan w:val="6"/>
            <w:vMerge w:val="continue"/>
          </w:tcPr>
          <w:p>
            <w:pPr>
              <w:spacing w:after="0"/>
              <w:rPr>
                <w:sz w:val="24"/>
                <w:szCs w:val="24"/>
                <w:color w:val="auto"/>
              </w:rPr>
            </w:pPr>
          </w:p>
        </w:tc>
        <w:tc>
          <w:tcPr>
            <w:tcW w:w="156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77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Date</w:t>
            </w:r>
          </w:p>
        </w:tc>
        <w:tc>
          <w:tcPr>
            <w:tcW w:w="3160" w:type="dxa"/>
            <w:vAlign w:val="bottom"/>
            <w:gridSpan w:val="4"/>
          </w:tcPr>
          <w:p>
            <w:pPr>
              <w:spacing w:after="0"/>
              <w:rPr>
                <w:sz w:val="20"/>
                <w:szCs w:val="20"/>
                <w:color w:val="auto"/>
              </w:rPr>
            </w:pPr>
            <w:r>
              <w:rPr>
                <w:rFonts w:ascii="Arial" w:cs="Arial" w:eastAsia="Arial" w:hAnsi="Arial"/>
                <w:sz w:val="14"/>
                <w:szCs w:val="14"/>
                <w:b w:val="1"/>
                <w:bCs w:val="1"/>
                <w:color w:val="auto"/>
              </w:rPr>
              <w:t>Property</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77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City / State</w:t>
            </w:r>
          </w:p>
        </w:tc>
        <w:tc>
          <w:tcPr>
            <w:tcW w:w="20" w:type="dxa"/>
            <w:vAlign w:val="bottom"/>
          </w:tcPr>
          <w:p>
            <w:pPr>
              <w:spacing w:after="0"/>
              <w:rPr>
                <w:sz w:val="24"/>
                <w:szCs w:val="24"/>
                <w:color w:val="auto"/>
              </w:rPr>
            </w:pPr>
          </w:p>
        </w:tc>
        <w:tc>
          <w:tcPr>
            <w:tcW w:w="580" w:type="dxa"/>
            <w:vAlign w:val="bottom"/>
          </w:tcPr>
          <w:p>
            <w:pPr>
              <w:jc w:val="right"/>
              <w:ind w:right="59"/>
              <w:spacing w:after="0"/>
              <w:rPr>
                <w:sz w:val="20"/>
                <w:szCs w:val="20"/>
                <w:color w:val="auto"/>
              </w:rPr>
            </w:pPr>
            <w:r>
              <w:rPr>
                <w:rFonts w:ascii="Arial" w:cs="Arial" w:eastAsia="Arial" w:hAnsi="Arial"/>
                <w:sz w:val="14"/>
                <w:szCs w:val="14"/>
                <w:b w:val="1"/>
                <w:bCs w:val="1"/>
                <w:color w:val="auto"/>
              </w:rPr>
              <w:t>GLA</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0"/>
              </w:rPr>
              <w:t>Sales Price</w:t>
            </w:r>
          </w:p>
        </w:tc>
        <w:tc>
          <w:tcPr>
            <w:tcW w:w="0" w:type="dxa"/>
            <w:vAlign w:val="bottom"/>
          </w:tcPr>
          <w:p>
            <w:pPr>
              <w:spacing w:after="0"/>
              <w:rPr>
                <w:sz w:val="1"/>
                <w:szCs w:val="1"/>
                <w:color w:val="auto"/>
              </w:rPr>
            </w:pPr>
          </w:p>
        </w:tc>
      </w:tr>
      <w:tr>
        <w:trPr>
          <w:trHeight w:val="95"/>
        </w:trPr>
        <w:tc>
          <w:tcPr>
            <w:tcW w:w="3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 w:type="dxa"/>
            <w:vAlign w:val="bottom"/>
          </w:tcPr>
          <w:p>
            <w:pPr>
              <w:spacing w:after="0"/>
              <w:rPr>
                <w:sz w:val="8"/>
                <w:szCs w:val="8"/>
                <w:color w:val="auto"/>
              </w:rPr>
            </w:pPr>
          </w:p>
        </w:tc>
        <w:tc>
          <w:tcPr>
            <w:tcW w:w="77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 w:type="dxa"/>
            <w:vAlign w:val="bottom"/>
          </w:tcPr>
          <w:p>
            <w:pPr>
              <w:spacing w:after="0"/>
              <w:rPr>
                <w:sz w:val="21"/>
                <w:szCs w:val="21"/>
                <w:color w:val="auto"/>
              </w:rPr>
            </w:pPr>
          </w:p>
        </w:tc>
        <w:tc>
          <w:tcPr>
            <w:tcW w:w="77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08"/>
        </w:trPr>
        <w:tc>
          <w:tcPr>
            <w:tcW w:w="1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June 3, 2004</w:t>
            </w:r>
          </w:p>
        </w:tc>
        <w:tc>
          <w:tcPr>
            <w:tcW w:w="3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Village at Shirlington (land parcel)</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7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Arlington,</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 w:type="dxa"/>
            <w:vAlign w:val="bottom"/>
            <w:shd w:val="clear" w:color="auto" w:fill="CCEEFF"/>
          </w:tcPr>
          <w:p>
            <w:pPr>
              <w:spacing w:after="0"/>
              <w:rPr>
                <w:sz w:val="19"/>
                <w:szCs w:val="19"/>
                <w:color w:val="auto"/>
              </w:rPr>
            </w:pPr>
          </w:p>
        </w:tc>
        <w:tc>
          <w:tcPr>
            <w:tcW w:w="77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VA</w:t>
            </w: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4,934</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800" w:type="dxa"/>
            <w:vAlign w:val="bottom"/>
            <w:gridSpan w:val="3"/>
          </w:tcPr>
          <w:p>
            <w:pPr>
              <w:spacing w:after="0"/>
              <w:rPr>
                <w:sz w:val="20"/>
                <w:szCs w:val="20"/>
                <w:color w:val="auto"/>
              </w:rPr>
            </w:pPr>
            <w:r>
              <w:rPr>
                <w:rFonts w:ascii="Arial" w:cs="Arial" w:eastAsia="Arial" w:hAnsi="Arial"/>
                <w:sz w:val="18"/>
                <w:szCs w:val="18"/>
                <w:color w:val="auto"/>
              </w:rPr>
              <w:t>June 14, 2004</w:t>
            </w:r>
          </w:p>
        </w:tc>
        <w:tc>
          <w:tcPr>
            <w:tcW w:w="3160" w:type="dxa"/>
            <w:vAlign w:val="bottom"/>
            <w:gridSpan w:val="4"/>
          </w:tcPr>
          <w:p>
            <w:pPr>
              <w:spacing w:after="0"/>
              <w:rPr>
                <w:sz w:val="20"/>
                <w:szCs w:val="20"/>
                <w:color w:val="auto"/>
              </w:rPr>
            </w:pPr>
            <w:r>
              <w:rPr>
                <w:rFonts w:ascii="Arial" w:cs="Arial" w:eastAsia="Arial" w:hAnsi="Arial"/>
                <w:sz w:val="18"/>
                <w:szCs w:val="18"/>
                <w:color w:val="auto"/>
              </w:rPr>
              <w:t>Magruder’s Center</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77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3"/>
          </w:tcPr>
          <w:p>
            <w:pPr>
              <w:ind w:left="320"/>
              <w:spacing w:after="0"/>
              <w:rPr>
                <w:sz w:val="20"/>
                <w:szCs w:val="20"/>
                <w:color w:val="auto"/>
              </w:rPr>
            </w:pPr>
            <w:r>
              <w:rPr>
                <w:rFonts w:ascii="Arial" w:cs="Arial" w:eastAsia="Arial" w:hAnsi="Arial"/>
                <w:sz w:val="18"/>
                <w:szCs w:val="18"/>
                <w:color w:val="auto"/>
              </w:rPr>
              <w:t>Rockville,</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77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gridSpan w:val="3"/>
          </w:tcPr>
          <w:p>
            <w:pPr>
              <w:ind w:left="320"/>
              <w:spacing w:after="0"/>
              <w:rPr>
                <w:sz w:val="20"/>
                <w:szCs w:val="20"/>
                <w:color w:val="auto"/>
              </w:rPr>
            </w:pPr>
            <w:r>
              <w:rPr>
                <w:rFonts w:ascii="Arial" w:cs="Arial" w:eastAsia="Arial" w:hAnsi="Arial"/>
                <w:sz w:val="18"/>
                <w:szCs w:val="18"/>
                <w:color w:val="auto"/>
              </w:rPr>
              <w:t>MD</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109,000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14,350(3)</w:t>
            </w:r>
          </w:p>
        </w:tc>
        <w:tc>
          <w:tcPr>
            <w:tcW w:w="0" w:type="dxa"/>
            <w:vAlign w:val="bottom"/>
          </w:tcPr>
          <w:p>
            <w:pPr>
              <w:spacing w:after="0"/>
              <w:rPr>
                <w:sz w:val="1"/>
                <w:szCs w:val="1"/>
                <w:color w:val="auto"/>
              </w:rPr>
            </w:pPr>
          </w:p>
        </w:tc>
      </w:tr>
      <w:tr>
        <w:trPr>
          <w:trHeight w:val="210"/>
        </w:trPr>
        <w:tc>
          <w:tcPr>
            <w:tcW w:w="1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1, 2004</w:t>
            </w:r>
          </w:p>
        </w:tc>
        <w:tc>
          <w:tcPr>
            <w:tcW w:w="42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Plaza del Mercado (contribution to joint venture)</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7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Silver</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7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Spring,</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 w:type="dxa"/>
            <w:vAlign w:val="bottom"/>
            <w:shd w:val="clear" w:color="auto" w:fill="CCEEFF"/>
          </w:tcPr>
          <w:p>
            <w:pPr>
              <w:spacing w:after="0"/>
              <w:rPr>
                <w:sz w:val="19"/>
                <w:szCs w:val="19"/>
                <w:color w:val="auto"/>
              </w:rPr>
            </w:pPr>
          </w:p>
        </w:tc>
        <w:tc>
          <w:tcPr>
            <w:tcW w:w="77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MD</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96,000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20,578(1)</w:t>
            </w:r>
          </w:p>
        </w:tc>
        <w:tc>
          <w:tcPr>
            <w:tcW w:w="0" w:type="dxa"/>
            <w:vAlign w:val="bottom"/>
          </w:tcPr>
          <w:p>
            <w:pPr>
              <w:spacing w:after="0"/>
              <w:rPr>
                <w:sz w:val="1"/>
                <w:szCs w:val="1"/>
                <w:color w:val="auto"/>
              </w:rPr>
            </w:pPr>
          </w:p>
        </w:tc>
      </w:tr>
      <w:tr>
        <w:trPr>
          <w:trHeight w:val="208"/>
        </w:trPr>
        <w:tc>
          <w:tcPr>
            <w:tcW w:w="1800" w:type="dxa"/>
            <w:vAlign w:val="bottom"/>
            <w:gridSpan w:val="3"/>
          </w:tcPr>
          <w:p>
            <w:pPr>
              <w:spacing w:after="0"/>
              <w:rPr>
                <w:sz w:val="20"/>
                <w:szCs w:val="20"/>
                <w:color w:val="auto"/>
              </w:rPr>
            </w:pPr>
            <w:r>
              <w:rPr>
                <w:rFonts w:ascii="Arial" w:cs="Arial" w:eastAsia="Arial" w:hAnsi="Arial"/>
                <w:sz w:val="18"/>
                <w:szCs w:val="18"/>
                <w:color w:val="auto"/>
              </w:rPr>
              <w:t>September 16, 2004</w:t>
            </w:r>
          </w:p>
        </w:tc>
        <w:tc>
          <w:tcPr>
            <w:tcW w:w="3160" w:type="dxa"/>
            <w:vAlign w:val="bottom"/>
            <w:gridSpan w:val="4"/>
          </w:tcPr>
          <w:p>
            <w:pPr>
              <w:spacing w:after="0"/>
              <w:rPr>
                <w:sz w:val="20"/>
                <w:szCs w:val="20"/>
                <w:color w:val="auto"/>
              </w:rPr>
            </w:pPr>
            <w:r>
              <w:rPr>
                <w:rFonts w:ascii="Arial" w:cs="Arial" w:eastAsia="Arial" w:hAnsi="Arial"/>
                <w:sz w:val="18"/>
                <w:szCs w:val="18"/>
                <w:color w:val="auto"/>
              </w:rPr>
              <w:t>Village at Shirlington (land parcels)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77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3"/>
          </w:tcPr>
          <w:p>
            <w:pPr>
              <w:ind w:left="320"/>
              <w:spacing w:after="0"/>
              <w:rPr>
                <w:sz w:val="20"/>
                <w:szCs w:val="20"/>
                <w:color w:val="auto"/>
              </w:rPr>
            </w:pPr>
            <w:r>
              <w:rPr>
                <w:rFonts w:ascii="Arial" w:cs="Arial" w:eastAsia="Arial" w:hAnsi="Arial"/>
                <w:sz w:val="18"/>
                <w:szCs w:val="18"/>
                <w:color w:val="auto"/>
              </w:rPr>
              <w:t>Arlington,</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77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gridSpan w:val="3"/>
          </w:tcPr>
          <w:p>
            <w:pPr>
              <w:ind w:left="320"/>
              <w:spacing w:after="0"/>
              <w:rPr>
                <w:sz w:val="20"/>
                <w:szCs w:val="20"/>
                <w:color w:val="auto"/>
              </w:rPr>
            </w:pPr>
            <w:r>
              <w:rPr>
                <w:rFonts w:ascii="Arial" w:cs="Arial" w:eastAsia="Arial" w:hAnsi="Arial"/>
                <w:sz w:val="18"/>
                <w:szCs w:val="18"/>
                <w:color w:val="auto"/>
              </w:rPr>
              <w:t>VA</w:t>
            </w:r>
          </w:p>
        </w:tc>
        <w:tc>
          <w:tcPr>
            <w:tcW w:w="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2,796(4)</w:t>
            </w:r>
          </w:p>
        </w:tc>
        <w:tc>
          <w:tcPr>
            <w:tcW w:w="0" w:type="dxa"/>
            <w:vAlign w:val="bottom"/>
          </w:tcPr>
          <w:p>
            <w:pPr>
              <w:spacing w:after="0"/>
              <w:rPr>
                <w:sz w:val="1"/>
                <w:szCs w:val="1"/>
                <w:color w:val="auto"/>
              </w:rPr>
            </w:pPr>
          </w:p>
        </w:tc>
      </w:tr>
      <w:tr>
        <w:trPr>
          <w:trHeight w:val="218"/>
        </w:trPr>
        <w:tc>
          <w:tcPr>
            <w:tcW w:w="1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15, 2004</w:t>
            </w:r>
          </w:p>
        </w:tc>
        <w:tc>
          <w:tcPr>
            <w:tcW w:w="3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314-324 West Main Street</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7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Avon, CT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gridSpan w:val="3"/>
          </w:tcPr>
          <w:p>
            <w:pPr>
              <w:spacing w:after="0"/>
              <w:rPr>
                <w:sz w:val="20"/>
                <w:szCs w:val="20"/>
                <w:color w:val="auto"/>
              </w:rPr>
            </w:pPr>
            <w:r>
              <w:rPr>
                <w:rFonts w:ascii="Arial" w:cs="Arial" w:eastAsia="Arial" w:hAnsi="Arial"/>
                <w:sz w:val="18"/>
                <w:szCs w:val="18"/>
                <w:color w:val="auto"/>
              </w:rPr>
              <w:t>December 15, 2004</w:t>
            </w:r>
          </w:p>
        </w:tc>
        <w:tc>
          <w:tcPr>
            <w:tcW w:w="3160" w:type="dxa"/>
            <w:vAlign w:val="bottom"/>
            <w:gridSpan w:val="4"/>
          </w:tcPr>
          <w:p>
            <w:pPr>
              <w:spacing w:after="0"/>
              <w:rPr>
                <w:sz w:val="20"/>
                <w:szCs w:val="20"/>
                <w:color w:val="auto"/>
              </w:rPr>
            </w:pPr>
            <w:r>
              <w:rPr>
                <w:rFonts w:ascii="Arial" w:cs="Arial" w:eastAsia="Arial" w:hAnsi="Arial"/>
                <w:sz w:val="18"/>
                <w:szCs w:val="18"/>
                <w:color w:val="auto"/>
              </w:rPr>
              <w:t>339 West Main Street</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77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3"/>
          </w:tcPr>
          <w:p>
            <w:pPr>
              <w:ind w:left="320"/>
              <w:spacing w:after="0"/>
              <w:rPr>
                <w:sz w:val="20"/>
                <w:szCs w:val="20"/>
                <w:color w:val="auto"/>
              </w:rPr>
            </w:pPr>
            <w:r>
              <w:rPr>
                <w:rFonts w:ascii="Arial" w:cs="Arial" w:eastAsia="Arial" w:hAnsi="Arial"/>
                <w:sz w:val="18"/>
                <w:szCs w:val="18"/>
                <w:color w:val="auto"/>
              </w:rPr>
              <w:t>Avon, CT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3,270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15, 2004</w:t>
            </w:r>
          </w:p>
        </w:tc>
        <w:tc>
          <w:tcPr>
            <w:tcW w:w="3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135 South Main Street</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7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West</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7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Hartford,</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 w:type="dxa"/>
            <w:vAlign w:val="bottom"/>
            <w:shd w:val="clear" w:color="auto" w:fill="CCEEFF"/>
          </w:tcPr>
          <w:p>
            <w:pPr>
              <w:spacing w:after="0"/>
              <w:rPr>
                <w:sz w:val="19"/>
                <w:szCs w:val="19"/>
                <w:color w:val="auto"/>
              </w:rPr>
            </w:pPr>
          </w:p>
        </w:tc>
        <w:tc>
          <w:tcPr>
            <w:tcW w:w="77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CT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4,012</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800" w:type="dxa"/>
            <w:vAlign w:val="bottom"/>
            <w:gridSpan w:val="3"/>
          </w:tcPr>
          <w:p>
            <w:pPr>
              <w:spacing w:after="0"/>
              <w:rPr>
                <w:sz w:val="20"/>
                <w:szCs w:val="20"/>
                <w:color w:val="auto"/>
              </w:rPr>
            </w:pPr>
            <w:r>
              <w:rPr>
                <w:rFonts w:ascii="Arial" w:cs="Arial" w:eastAsia="Arial" w:hAnsi="Arial"/>
                <w:sz w:val="18"/>
                <w:szCs w:val="18"/>
                <w:color w:val="auto"/>
              </w:rPr>
              <w:t>December 29, 2004</w:t>
            </w:r>
          </w:p>
        </w:tc>
        <w:tc>
          <w:tcPr>
            <w:tcW w:w="3160" w:type="dxa"/>
            <w:vAlign w:val="bottom"/>
            <w:gridSpan w:val="4"/>
          </w:tcPr>
          <w:p>
            <w:pPr>
              <w:spacing w:after="0"/>
              <w:rPr>
                <w:sz w:val="20"/>
                <w:szCs w:val="20"/>
                <w:color w:val="auto"/>
              </w:rPr>
            </w:pPr>
            <w:r>
              <w:rPr>
                <w:rFonts w:ascii="Arial" w:cs="Arial" w:eastAsia="Arial" w:hAnsi="Arial"/>
                <w:sz w:val="18"/>
                <w:szCs w:val="18"/>
                <w:color w:val="auto"/>
              </w:rPr>
              <w:t>1706 Sherman Avenue</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77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3"/>
          </w:tcPr>
          <w:p>
            <w:pPr>
              <w:ind w:left="320"/>
              <w:spacing w:after="0"/>
              <w:rPr>
                <w:sz w:val="20"/>
                <w:szCs w:val="20"/>
                <w:color w:val="auto"/>
              </w:rPr>
            </w:pPr>
            <w:r>
              <w:rPr>
                <w:rFonts w:ascii="Arial" w:cs="Arial" w:eastAsia="Arial" w:hAnsi="Arial"/>
                <w:sz w:val="18"/>
                <w:szCs w:val="18"/>
                <w:color w:val="auto"/>
              </w:rPr>
              <w:t>Evanston,</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77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gridSpan w:val="3"/>
          </w:tcPr>
          <w:p>
            <w:pPr>
              <w:ind w:left="320"/>
              <w:spacing w:after="0"/>
              <w:rPr>
                <w:sz w:val="20"/>
                <w:szCs w:val="20"/>
                <w:color w:val="auto"/>
              </w:rPr>
            </w:pPr>
            <w:r>
              <w:rPr>
                <w:rFonts w:ascii="Arial" w:cs="Arial" w:eastAsia="Arial" w:hAnsi="Arial"/>
                <w:sz w:val="18"/>
                <w:szCs w:val="18"/>
                <w:color w:val="auto"/>
              </w:rPr>
              <w:t>IL</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12,000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gridSpan w:val="2"/>
          </w:tcPr>
          <w:p>
            <w:pPr>
              <w:spacing w:after="0"/>
              <w:rPr>
                <w:sz w:val="9"/>
                <w:szCs w:val="9"/>
                <w:color w:val="auto"/>
              </w:rPr>
            </w:pPr>
          </w:p>
        </w:tc>
        <w:tc>
          <w:tcPr>
            <w:tcW w:w="15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 w:type="dxa"/>
            <w:vAlign w:val="bottom"/>
          </w:tcPr>
          <w:p>
            <w:pPr>
              <w:spacing w:after="0"/>
              <w:rPr>
                <w:sz w:val="9"/>
                <w:szCs w:val="9"/>
                <w:color w:val="auto"/>
              </w:rPr>
            </w:pPr>
          </w:p>
        </w:tc>
        <w:tc>
          <w:tcPr>
            <w:tcW w:w="77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 w:type="dxa"/>
            <w:vAlign w:val="bottom"/>
          </w:tcPr>
          <w:p>
            <w:pPr>
              <w:spacing w:after="0"/>
              <w:rPr>
                <w:sz w:val="8"/>
                <w:szCs w:val="8"/>
                <w:color w:val="auto"/>
              </w:rPr>
            </w:pPr>
          </w:p>
        </w:tc>
        <w:tc>
          <w:tcPr>
            <w:tcW w:w="77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7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280,000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57,863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 w:type="dxa"/>
            <w:vAlign w:val="bottom"/>
          </w:tcPr>
          <w:p>
            <w:pPr>
              <w:spacing w:after="0"/>
              <w:rPr>
                <w:sz w:val="11"/>
                <w:szCs w:val="11"/>
                <w:color w:val="auto"/>
              </w:rPr>
            </w:pPr>
          </w:p>
        </w:tc>
        <w:tc>
          <w:tcPr>
            <w:tcW w:w="77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3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77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4307840</wp:posOffset>
            </wp:positionH>
            <wp:positionV relativeFrom="paragraph">
              <wp:posOffset>-5764530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-5764530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-5764530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-5764530</wp:posOffset>
            </wp:positionV>
            <wp:extent cx="2159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-5764530</wp:posOffset>
            </wp:positionV>
            <wp:extent cx="3873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-3474720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-3474720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-3474720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-3474720</wp:posOffset>
            </wp:positionV>
            <wp:extent cx="2159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-3474720</wp:posOffset>
            </wp:positionV>
            <wp:extent cx="3873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-172720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-172720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-172720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-172720</wp:posOffset>
            </wp:positionV>
            <wp:extent cx="2159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-172720</wp:posOffset>
            </wp:positionV>
            <wp:extent cx="3873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77"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July 1, 2004, we contributed Plaza del Mercado to a newly formed joint venture in which we own 30% of the equity.</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Purchase price includes $725,000 paid on December 22, 2004 for a 1.5 acre vacant land parcel adjacent to the shopping center.</w:t>
      </w:r>
    </w:p>
    <w:p>
      <w:pPr>
        <w:spacing w:after="0" w:line="9"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June 14, 2004 the Magruders Center was conveyed to the City of Rockville in lieu of condemnation in order to facilitate the redevelopment of Rockville Town Square.</w:t>
      </w: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On September 16, 2004, we sold two unimproved parcels of land at the Village at Shirlington in conjunction with the redevelopment of the property.</w:t>
      </w:r>
    </w:p>
    <w:p>
      <w:pPr>
        <w:sectPr>
          <w:pgSz w:w="11900" w:h="16838" w:orient="portrait"/>
          <w:cols w:equalWidth="0" w:num="1">
            <w:col w:w="11420"/>
          </w:cols>
          <w:pgMar w:left="240" w:top="274"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274" w:right="2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Status Report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Mortgage or</w:t>
            </w:r>
          </w:p>
        </w:tc>
        <w:tc>
          <w:tcPr>
            <w:tcW w:w="8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Grocery</w:t>
            </w:r>
          </w:p>
        </w:tc>
        <w:tc>
          <w:tcPr>
            <w:tcW w:w="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Year</w:t>
            </w: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Total</w:t>
            </w: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8"/>
              </w:rPr>
              <w:t>Ownership</w:t>
            </w: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Capital Lease</w:t>
            </w:r>
          </w:p>
        </w:tc>
        <w:tc>
          <w:tcPr>
            <w:tcW w:w="80" w:type="dxa"/>
            <w:vAlign w:val="bottom"/>
          </w:tcPr>
          <w:p>
            <w:pPr>
              <w:spacing w:after="0"/>
              <w:rPr>
                <w:sz w:val="12"/>
                <w:szCs w:val="12"/>
                <w:color w:val="auto"/>
              </w:rPr>
            </w:pPr>
          </w:p>
        </w:tc>
        <w:tc>
          <w:tcPr>
            <w:tcW w:w="1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Anchor</w:t>
            </w:r>
          </w:p>
        </w:tc>
        <w:tc>
          <w:tcPr>
            <w:tcW w:w="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500" w:type="dxa"/>
            <w:vAlign w:val="bottom"/>
            <w:gridSpan w:val="5"/>
          </w:tcPr>
          <w:p>
            <w:pPr>
              <w:spacing w:after="0"/>
              <w:rPr>
                <w:sz w:val="20"/>
                <w:szCs w:val="20"/>
                <w:color w:val="auto"/>
              </w:rPr>
            </w:pPr>
            <w:r>
              <w:rPr>
                <w:rFonts w:ascii="Arial" w:cs="Arial" w:eastAsia="Arial" w:hAnsi="Arial"/>
                <w:sz w:val="14"/>
                <w:szCs w:val="14"/>
                <w:b w:val="1"/>
                <w:bCs w:val="1"/>
                <w:color w:val="auto"/>
              </w:rPr>
              <w:t>Property Name</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MSA Description</w:t>
            </w:r>
          </w:p>
        </w:tc>
        <w:tc>
          <w:tcPr>
            <w:tcW w:w="60" w:type="dxa"/>
            <w:vAlign w:val="bottom"/>
          </w:tcPr>
          <w:p>
            <w:pPr>
              <w:spacing w:after="0"/>
              <w:rPr>
                <w:sz w:val="15"/>
                <w:szCs w:val="15"/>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5"/>
              </w:rPr>
              <w:t>Acquired</w:t>
            </w: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Investment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4"/>
              </w:rPr>
              <w:t>Percentage</w:t>
            </w:r>
          </w:p>
        </w:tc>
        <w:tc>
          <w:tcPr>
            <w:tcW w:w="40" w:type="dxa"/>
            <w:vAlign w:val="bottom"/>
          </w:tcPr>
          <w:p>
            <w:pPr>
              <w:spacing w:after="0"/>
              <w:rPr>
                <w:sz w:val="15"/>
                <w:szCs w:val="15"/>
                <w:color w:val="auto"/>
              </w:rPr>
            </w:pP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GLA (1)</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6"/>
              </w:rPr>
              <w:t>% Leased</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Obligation</w:t>
            </w:r>
          </w:p>
        </w:tc>
        <w:tc>
          <w:tcPr>
            <w:tcW w:w="80" w:type="dxa"/>
            <w:vAlign w:val="bottom"/>
          </w:tcPr>
          <w:p>
            <w:pPr>
              <w:spacing w:after="0"/>
              <w:rPr>
                <w:sz w:val="15"/>
                <w:szCs w:val="15"/>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w w:val="97"/>
              </w:rPr>
              <w:t>GLA (2) Grocery Anchor (2)</w:t>
            </w: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w w:val="89"/>
              </w:rPr>
              <w:t>Other Principal Tenants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4"/>
              </w:rPr>
              <w:t>(in thousands)</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4"/>
              </w:rPr>
              <w:t>East Region</w:t>
            </w:r>
          </w:p>
        </w:tc>
        <w:tc>
          <w:tcPr>
            <w:tcW w:w="580" w:type="dxa"/>
            <w:vAlign w:val="bottom"/>
            <w:tcBorders>
              <w:bottom w:val="single" w:sz="8" w:color="CCEEFF"/>
            </w:tcBorders>
            <w:gridSpan w:val="2"/>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6"/>
          </w:tcPr>
          <w:p>
            <w:pPr>
              <w:spacing w:after="0"/>
              <w:rPr>
                <w:sz w:val="20"/>
                <w:szCs w:val="20"/>
                <w:color w:val="auto"/>
              </w:rPr>
            </w:pPr>
            <w:r>
              <w:rPr>
                <w:rFonts w:ascii="Arial" w:cs="Arial" w:eastAsia="Arial" w:hAnsi="Arial"/>
                <w:sz w:val="18"/>
                <w:szCs w:val="18"/>
                <w:b w:val="1"/>
                <w:bCs w:val="1"/>
                <w:color w:val="auto"/>
                <w:w w:val="95"/>
              </w:rPr>
              <w:t>Washington Metropolitan Area</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1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Bethesda Row</w:t>
            </w: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Washington,</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Giant Food</w:t>
            </w: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Barnes &amp; Noble /</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DC-MD-VA</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1993-98</w:t>
            </w:r>
          </w:p>
        </w:tc>
        <w:tc>
          <w:tcPr>
            <w:tcW w:w="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81,322</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440,000</w:t>
            </w:r>
          </w:p>
        </w:tc>
        <w:tc>
          <w:tcPr>
            <w:tcW w:w="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1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12,576 40,000</w:t>
            </w:r>
          </w:p>
        </w:tc>
        <w:tc>
          <w:tcPr>
            <w:tcW w:w="1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6"/>
              </w:rPr>
              <w:t>Landmark Theater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4"/>
          </w:tcPr>
          <w:p>
            <w:pPr>
              <w:spacing w:after="0"/>
              <w:rPr>
                <w:sz w:val="20"/>
                <w:szCs w:val="20"/>
                <w:color w:val="auto"/>
              </w:rPr>
            </w:pPr>
            <w:r>
              <w:rPr>
                <w:rFonts w:ascii="Arial" w:cs="Arial" w:eastAsia="Arial" w:hAnsi="Arial"/>
                <w:sz w:val="18"/>
                <w:szCs w:val="18"/>
                <w:color w:val="auto"/>
                <w:w w:val="88"/>
              </w:rPr>
              <w:t>Congressional Plaza</w:t>
            </w: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Washington,</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auto"/>
              </w:rPr>
              <w:t>Whole Foods</w:t>
            </w: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Buy Buy Baby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DC-MD-VA</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Container Store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1965</w:t>
            </w:r>
          </w:p>
        </w:tc>
        <w:tc>
          <w:tcPr>
            <w:tcW w:w="6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67,165(4)</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64.1%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337,000</w:t>
            </w:r>
          </w:p>
        </w:tc>
        <w:tc>
          <w:tcPr>
            <w:tcW w:w="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82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8"/>
              </w:rPr>
              <w:t>28,000</w:t>
            </w:r>
          </w:p>
        </w:tc>
        <w:tc>
          <w:tcPr>
            <w:tcW w:w="1260" w:type="dxa"/>
            <w:vAlign w:val="bottom"/>
          </w:tcPr>
          <w:p>
            <w:pPr>
              <w:spacing w:after="0"/>
              <w:rPr>
                <w:sz w:val="19"/>
                <w:szCs w:val="19"/>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Tower Records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5"/>
              </w:rPr>
              <w:t>Courthouse Center</w:t>
            </w: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Washington,</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DC-MD-VA</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7,587</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38,000</w:t>
            </w:r>
          </w:p>
        </w:tc>
        <w:tc>
          <w:tcPr>
            <w:tcW w:w="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4"/>
          </w:tcPr>
          <w:p>
            <w:pPr>
              <w:spacing w:after="0"/>
              <w:rPr>
                <w:sz w:val="20"/>
                <w:szCs w:val="20"/>
                <w:color w:val="auto"/>
              </w:rPr>
            </w:pPr>
            <w:r>
              <w:rPr>
                <w:rFonts w:ascii="Arial" w:cs="Arial" w:eastAsia="Arial" w:hAnsi="Arial"/>
                <w:sz w:val="18"/>
                <w:szCs w:val="18"/>
                <w:color w:val="auto"/>
              </w:rPr>
              <w:t>Falls Plaza</w:t>
            </w: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Washington,</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auto"/>
              </w:rPr>
              <w:t>Giant Food</w:t>
            </w:r>
          </w:p>
        </w:tc>
        <w:tc>
          <w:tcPr>
            <w:tcW w:w="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DC-MD-VA</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1967</w:t>
            </w:r>
          </w:p>
        </w:tc>
        <w:tc>
          <w:tcPr>
            <w:tcW w:w="60" w:type="dxa"/>
            <w:vAlign w:val="bottom"/>
          </w:tcPr>
          <w:p>
            <w:pPr>
              <w:spacing w:after="0"/>
              <w:rPr>
                <w:sz w:val="19"/>
                <w:szCs w:val="19"/>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8,148</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73,000</w:t>
            </w:r>
          </w:p>
        </w:tc>
        <w:tc>
          <w:tcPr>
            <w:tcW w:w="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82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8"/>
              </w:rPr>
              <w:t>51,000</w:t>
            </w: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Falls Plaza-East</w:t>
            </w: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Washington,</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CVS / Staples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DC-MD-VA</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3,356</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71,000</w:t>
            </w:r>
          </w:p>
        </w:tc>
        <w:tc>
          <w:tcPr>
            <w:tcW w:w="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4"/>
          </w:tcPr>
          <w:p>
            <w:pPr>
              <w:spacing w:after="0"/>
              <w:rPr>
                <w:sz w:val="20"/>
                <w:szCs w:val="20"/>
                <w:color w:val="auto"/>
              </w:rPr>
            </w:pPr>
            <w:r>
              <w:rPr>
                <w:rFonts w:ascii="Arial" w:cs="Arial" w:eastAsia="Arial" w:hAnsi="Arial"/>
                <w:sz w:val="18"/>
                <w:szCs w:val="18"/>
                <w:color w:val="auto"/>
              </w:rPr>
              <w:t>Federal Plaza</w:t>
            </w: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Washington,</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TJ Maxx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DC-MD-VA</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1989</w:t>
            </w:r>
          </w:p>
        </w:tc>
        <w:tc>
          <w:tcPr>
            <w:tcW w:w="60" w:type="dxa"/>
            <w:vAlign w:val="bottom"/>
          </w:tcPr>
          <w:p>
            <w:pPr>
              <w:spacing w:after="0"/>
              <w:rPr>
                <w:sz w:val="19"/>
                <w:szCs w:val="19"/>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62,092</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247,000</w:t>
            </w:r>
          </w:p>
        </w:tc>
        <w:tc>
          <w:tcPr>
            <w:tcW w:w="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820" w:type="dxa"/>
            <w:vAlign w:val="bottom"/>
          </w:tcPr>
          <w:p>
            <w:pPr>
              <w:jc w:val="right"/>
              <w:spacing w:after="0"/>
              <w:rPr>
                <w:sz w:val="20"/>
                <w:szCs w:val="20"/>
                <w:color w:val="auto"/>
              </w:rPr>
            </w:pPr>
            <w:r>
              <w:rPr>
                <w:rFonts w:ascii="Arial" w:cs="Arial" w:eastAsia="Arial" w:hAnsi="Arial"/>
                <w:sz w:val="18"/>
                <w:szCs w:val="18"/>
                <w:color w:val="auto"/>
              </w:rPr>
              <w:t>35,127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CompUSA / Ross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Friendship Center</w:t>
            </w: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Washington,</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Borders / Linens ‘n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DC-MD-VA</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Things /</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33,309</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119,000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Maggiano’s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4"/>
          </w:tcPr>
          <w:p>
            <w:pPr>
              <w:spacing w:after="0"/>
              <w:rPr>
                <w:sz w:val="20"/>
                <w:szCs w:val="20"/>
                <w:color w:val="auto"/>
              </w:rPr>
            </w:pPr>
            <w:r>
              <w:rPr>
                <w:rFonts w:ascii="Arial" w:cs="Arial" w:eastAsia="Arial" w:hAnsi="Arial"/>
                <w:sz w:val="18"/>
                <w:szCs w:val="18"/>
                <w:color w:val="auto"/>
                <w:w w:val="87"/>
              </w:rPr>
              <w:t>Gaithersburg Square</w:t>
            </w: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Washington,</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Bed, Bath &amp;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DC-MD-VA</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w w:val="95"/>
              </w:rPr>
              <w:t>Beyond / Borders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1993</w:t>
            </w:r>
          </w:p>
        </w:tc>
        <w:tc>
          <w:tcPr>
            <w:tcW w:w="60" w:type="dxa"/>
            <w:vAlign w:val="bottom"/>
          </w:tcPr>
          <w:p>
            <w:pPr>
              <w:spacing w:after="0"/>
              <w:rPr>
                <w:sz w:val="19"/>
                <w:szCs w:val="19"/>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23,957</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215,000</w:t>
            </w:r>
          </w:p>
        </w:tc>
        <w:tc>
          <w:tcPr>
            <w:tcW w:w="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Ross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Idylwood Plaza</w:t>
            </w: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Washington,</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Whole Foods</w:t>
            </w:r>
          </w:p>
        </w:tc>
        <w:tc>
          <w:tcPr>
            <w:tcW w:w="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DC-MD-VA</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15,025</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73,000</w:t>
            </w:r>
          </w:p>
        </w:tc>
        <w:tc>
          <w:tcPr>
            <w:tcW w:w="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82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30,000</w:t>
            </w:r>
          </w:p>
        </w:tc>
        <w:tc>
          <w:tcPr>
            <w:tcW w:w="1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4"/>
          </w:tcPr>
          <w:p>
            <w:pPr>
              <w:spacing w:after="0"/>
              <w:rPr>
                <w:sz w:val="20"/>
                <w:szCs w:val="20"/>
                <w:color w:val="auto"/>
              </w:rPr>
            </w:pPr>
            <w:r>
              <w:rPr>
                <w:rFonts w:ascii="Arial" w:cs="Arial" w:eastAsia="Arial" w:hAnsi="Arial"/>
                <w:sz w:val="18"/>
                <w:szCs w:val="18"/>
                <w:color w:val="auto"/>
              </w:rPr>
              <w:t>Laurel</w:t>
            </w: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Washington,</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auto"/>
              </w:rPr>
              <w:t>Giant Food</w:t>
            </w:r>
          </w:p>
        </w:tc>
        <w:tc>
          <w:tcPr>
            <w:tcW w:w="1500" w:type="dxa"/>
            <w:vAlign w:val="bottom"/>
            <w:gridSpan w:val="2"/>
          </w:tcPr>
          <w:p>
            <w:pPr>
              <w:ind w:left="60"/>
              <w:spacing w:after="0"/>
              <w:rPr>
                <w:sz w:val="20"/>
                <w:szCs w:val="20"/>
                <w:color w:val="auto"/>
              </w:rPr>
            </w:pPr>
            <w:r>
              <w:rPr>
                <w:rFonts w:ascii="Arial" w:cs="Arial" w:eastAsia="Arial" w:hAnsi="Arial"/>
                <w:sz w:val="18"/>
                <w:szCs w:val="18"/>
                <w:color w:val="auto"/>
                <w:w w:val="95"/>
              </w:rPr>
              <w:t>Marshalls / Toys 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DC-MD-VA</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1986</w:t>
            </w:r>
          </w:p>
        </w:tc>
        <w:tc>
          <w:tcPr>
            <w:tcW w:w="60" w:type="dxa"/>
            <w:vAlign w:val="bottom"/>
          </w:tcPr>
          <w:p>
            <w:pPr>
              <w:spacing w:after="0"/>
              <w:rPr>
                <w:sz w:val="19"/>
                <w:szCs w:val="19"/>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46,241</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99.9%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387,000</w:t>
            </w:r>
          </w:p>
        </w:tc>
        <w:tc>
          <w:tcPr>
            <w:tcW w:w="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98%</w:t>
            </w:r>
          </w:p>
        </w:tc>
        <w:tc>
          <w:tcPr>
            <w:tcW w:w="82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8"/>
              </w:rPr>
              <w:t>61,000</w:t>
            </w:r>
          </w:p>
        </w:tc>
        <w:tc>
          <w:tcPr>
            <w:tcW w:w="1260" w:type="dxa"/>
            <w:vAlign w:val="bottom"/>
          </w:tcPr>
          <w:p>
            <w:pPr>
              <w:spacing w:after="0"/>
              <w:rPr>
                <w:sz w:val="19"/>
                <w:szCs w:val="19"/>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Leesburg Plaza</w:t>
            </w: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Washington,</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Giant Food</w:t>
            </w: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Pier One / Office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DC-MD-VA</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21,676</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231,000</w:t>
            </w:r>
          </w:p>
        </w:tc>
        <w:tc>
          <w:tcPr>
            <w:tcW w:w="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c>
          <w:tcPr>
            <w:tcW w:w="1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9,900 55,000</w:t>
            </w:r>
          </w:p>
        </w:tc>
        <w:tc>
          <w:tcPr>
            <w:tcW w:w="1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Depot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4"/>
          </w:tcPr>
          <w:p>
            <w:pPr>
              <w:spacing w:after="0"/>
              <w:rPr>
                <w:sz w:val="20"/>
                <w:szCs w:val="20"/>
                <w:color w:val="auto"/>
              </w:rPr>
            </w:pPr>
            <w:r>
              <w:rPr>
                <w:rFonts w:ascii="Arial" w:cs="Arial" w:eastAsia="Arial" w:hAnsi="Arial"/>
                <w:sz w:val="18"/>
                <w:szCs w:val="18"/>
                <w:color w:val="auto"/>
                <w:w w:val="98"/>
              </w:rPr>
              <w:t>Loehmann’s Plaza</w:t>
            </w: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Washington,</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Bally’s / Linens ‘n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DC-MD-VA</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Things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1983</w:t>
            </w:r>
          </w:p>
        </w:tc>
        <w:tc>
          <w:tcPr>
            <w:tcW w:w="60" w:type="dxa"/>
            <w:vAlign w:val="bottom"/>
          </w:tcPr>
          <w:p>
            <w:pPr>
              <w:spacing w:after="0"/>
              <w:rPr>
                <w:sz w:val="19"/>
                <w:szCs w:val="19"/>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45,674</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251,000</w:t>
            </w:r>
          </w:p>
        </w:tc>
        <w:tc>
          <w:tcPr>
            <w:tcW w:w="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Loehmann’s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Mid-Pike Plaza</w:t>
            </w: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Washington,</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Linens ‘n Things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DC-MD-VA</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3"/>
              </w:rPr>
              <w:t>Toys R Us / Bally’s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17,245</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312,000</w:t>
            </w:r>
          </w:p>
        </w:tc>
        <w:tc>
          <w:tcPr>
            <w:tcW w:w="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AC Moore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4"/>
          </w:tcPr>
          <w:p>
            <w:pPr>
              <w:spacing w:after="0"/>
              <w:rPr>
                <w:sz w:val="20"/>
                <w:szCs w:val="20"/>
                <w:color w:val="auto"/>
              </w:rPr>
            </w:pPr>
            <w:r>
              <w:rPr>
                <w:rFonts w:ascii="Arial" w:cs="Arial" w:eastAsia="Arial" w:hAnsi="Arial"/>
                <w:sz w:val="18"/>
                <w:szCs w:val="18"/>
                <w:color w:val="auto"/>
              </w:rPr>
              <w:t>Mount Vernon</w:t>
            </w: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Washington,</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auto"/>
              </w:rPr>
              <w:t>Shoppers Food</w:t>
            </w:r>
          </w:p>
        </w:tc>
        <w:tc>
          <w:tcPr>
            <w:tcW w:w="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DC-MD-VA</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60" w:type="dxa"/>
            <w:vAlign w:val="bottom"/>
          </w:tcPr>
          <w:p>
            <w:pPr>
              <w:spacing w:after="0"/>
              <w:rPr>
                <w:sz w:val="19"/>
                <w:szCs w:val="19"/>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22,099</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236,000</w:t>
            </w:r>
          </w:p>
        </w:tc>
        <w:tc>
          <w:tcPr>
            <w:tcW w:w="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c>
          <w:tcPr>
            <w:tcW w:w="2700" w:type="dxa"/>
            <w:vAlign w:val="bottom"/>
            <w:gridSpan w:val="5"/>
          </w:tcPr>
          <w:p>
            <w:pPr>
              <w:ind w:left="340"/>
              <w:spacing w:after="0"/>
              <w:rPr>
                <w:sz w:val="20"/>
                <w:szCs w:val="20"/>
                <w:color w:val="auto"/>
              </w:rPr>
            </w:pPr>
            <w:r>
              <w:rPr>
                <w:rFonts w:ascii="Arial" w:cs="Arial" w:eastAsia="Arial" w:hAnsi="Arial"/>
                <w:sz w:val="18"/>
                <w:szCs w:val="18"/>
                <w:color w:val="auto"/>
              </w:rPr>
              <w:t>12,829 54,000 Warehouse</w:t>
            </w:r>
          </w:p>
        </w:tc>
        <w:tc>
          <w:tcPr>
            <w:tcW w:w="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Old Keene Mill</w:t>
            </w: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Washington,</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Whole Foods</w:t>
            </w:r>
          </w:p>
        </w:tc>
        <w:tc>
          <w:tcPr>
            <w:tcW w:w="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DC-MD-VA</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5,159</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92,000</w:t>
            </w:r>
          </w:p>
        </w:tc>
        <w:tc>
          <w:tcPr>
            <w:tcW w:w="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82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24,000</w:t>
            </w:r>
          </w:p>
        </w:tc>
        <w:tc>
          <w:tcPr>
            <w:tcW w:w="1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4"/>
          </w:tcPr>
          <w:p>
            <w:pPr>
              <w:spacing w:after="0"/>
              <w:rPr>
                <w:sz w:val="20"/>
                <w:szCs w:val="20"/>
                <w:color w:val="auto"/>
              </w:rPr>
            </w:pPr>
            <w:r>
              <w:rPr>
                <w:rFonts w:ascii="Arial" w:cs="Arial" w:eastAsia="Arial" w:hAnsi="Arial"/>
                <w:sz w:val="18"/>
                <w:szCs w:val="18"/>
                <w:color w:val="auto"/>
              </w:rPr>
              <w:t>Pan Am</w:t>
            </w: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Washington,</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auto"/>
              </w:rPr>
              <w:t>Safeway</w:t>
            </w: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Micro Center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DC-MD-VA</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1993</w:t>
            </w:r>
          </w:p>
        </w:tc>
        <w:tc>
          <w:tcPr>
            <w:tcW w:w="60" w:type="dxa"/>
            <w:vAlign w:val="bottom"/>
          </w:tcPr>
          <w:p>
            <w:pPr>
              <w:spacing w:after="0"/>
              <w:rPr>
                <w:sz w:val="19"/>
                <w:szCs w:val="19"/>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26,286</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218,000</w:t>
            </w:r>
          </w:p>
        </w:tc>
        <w:tc>
          <w:tcPr>
            <w:tcW w:w="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82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8"/>
              </w:rPr>
              <w:t>33,000</w:t>
            </w:r>
          </w:p>
        </w:tc>
        <w:tc>
          <w:tcPr>
            <w:tcW w:w="1260" w:type="dxa"/>
            <w:vAlign w:val="bottom"/>
          </w:tcPr>
          <w:p>
            <w:pPr>
              <w:spacing w:after="0"/>
              <w:rPr>
                <w:sz w:val="19"/>
                <w:szCs w:val="19"/>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Michaels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Pentagon Row</w:t>
            </w: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Washington,</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Harris Teeter</w:t>
            </w: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Bally’s / Bed, Bath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DC-MD-VA</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&amp; Beyond / DSW /</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87,335</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296,000</w:t>
            </w:r>
          </w:p>
        </w:tc>
        <w:tc>
          <w:tcPr>
            <w:tcW w:w="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82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45,000</w:t>
            </w:r>
          </w:p>
        </w:tc>
        <w:tc>
          <w:tcPr>
            <w:tcW w:w="1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Cost Plus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4"/>
          </w:tcPr>
          <w:p>
            <w:pPr>
              <w:spacing w:after="0"/>
              <w:rPr>
                <w:sz w:val="20"/>
                <w:szCs w:val="20"/>
                <w:color w:val="auto"/>
              </w:rPr>
            </w:pPr>
            <w:r>
              <w:rPr>
                <w:rFonts w:ascii="Arial" w:cs="Arial" w:eastAsia="Arial" w:hAnsi="Arial"/>
                <w:sz w:val="18"/>
                <w:szCs w:val="18"/>
                <w:color w:val="auto"/>
              </w:rPr>
              <w:t>Pike 7</w:t>
            </w: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Washington,</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w w:val="92"/>
              </w:rPr>
              <w:t>Staples / TJ Maxx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DC-MD-VA</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1997</w:t>
            </w:r>
          </w:p>
        </w:tc>
        <w:tc>
          <w:tcPr>
            <w:tcW w:w="60" w:type="dxa"/>
            <w:vAlign w:val="bottom"/>
          </w:tcPr>
          <w:p>
            <w:pPr>
              <w:spacing w:after="0"/>
              <w:rPr>
                <w:sz w:val="19"/>
                <w:szCs w:val="19"/>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33,605</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164,000</w:t>
            </w:r>
          </w:p>
        </w:tc>
        <w:tc>
          <w:tcPr>
            <w:tcW w:w="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Tower Records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Quince Orchard</w:t>
            </w: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Washington,</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Magruders</w:t>
            </w: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Circuit City /</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DC-MD-VA</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19,798</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252,000</w:t>
            </w:r>
          </w:p>
        </w:tc>
        <w:tc>
          <w:tcPr>
            <w:tcW w:w="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c>
          <w:tcPr>
            <w:tcW w:w="82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24,000</w:t>
            </w:r>
          </w:p>
        </w:tc>
        <w:tc>
          <w:tcPr>
            <w:tcW w:w="1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Staples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4"/>
          </w:tcPr>
          <w:p>
            <w:pPr>
              <w:spacing w:after="0"/>
              <w:rPr>
                <w:sz w:val="20"/>
                <w:szCs w:val="20"/>
                <w:color w:val="auto"/>
              </w:rPr>
            </w:pPr>
            <w:r>
              <w:rPr>
                <w:rFonts w:ascii="Arial" w:cs="Arial" w:eastAsia="Arial" w:hAnsi="Arial"/>
                <w:sz w:val="18"/>
                <w:szCs w:val="18"/>
                <w:color w:val="auto"/>
              </w:rPr>
              <w:t>Rockville Town</w:t>
            </w: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Washington,</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auto"/>
              </w:rPr>
              <w:t>Magruders</w:t>
            </w:r>
          </w:p>
        </w:tc>
        <w:tc>
          <w:tcPr>
            <w:tcW w:w="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auto"/>
              </w:rPr>
              <w:t>Square</w:t>
            </w: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DC-MD-VA</w:t>
            </w:r>
          </w:p>
        </w:tc>
        <w:tc>
          <w:tcPr>
            <w:tcW w:w="60" w:type="dxa"/>
            <w:vAlign w:val="bottom"/>
          </w:tcPr>
          <w:p>
            <w:pPr>
              <w:spacing w:after="0"/>
              <w:rPr>
                <w:sz w:val="19"/>
                <w:szCs w:val="19"/>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N/A</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2,698</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9"/>
                <w:szCs w:val="19"/>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N/A</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auto"/>
              </w:rPr>
              <w:t>(signed)</w:t>
            </w:r>
          </w:p>
        </w:tc>
        <w:tc>
          <w:tcPr>
            <w:tcW w:w="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Rollingwood</w:t>
            </w: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Washington,</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Apartments</w:t>
            </w: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DC-MD-VA</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6,725</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N/A</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4"/>
          </w:tcPr>
          <w:p>
            <w:pPr>
              <w:spacing w:after="0"/>
              <w:rPr>
                <w:sz w:val="20"/>
                <w:szCs w:val="20"/>
                <w:color w:val="auto"/>
              </w:rPr>
            </w:pPr>
            <w:r>
              <w:rPr>
                <w:rFonts w:ascii="Arial" w:cs="Arial" w:eastAsia="Arial" w:hAnsi="Arial"/>
                <w:sz w:val="18"/>
                <w:szCs w:val="18"/>
                <w:color w:val="auto"/>
                <w:w w:val="93"/>
              </w:rPr>
              <w:t>Sam’s Park &amp; Shop</w:t>
            </w: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Washington,</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Petco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DC-MD-VA</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1995</w:t>
            </w:r>
          </w:p>
        </w:tc>
        <w:tc>
          <w:tcPr>
            <w:tcW w:w="60" w:type="dxa"/>
            <w:vAlign w:val="bottom"/>
          </w:tcPr>
          <w:p>
            <w:pPr>
              <w:spacing w:after="0"/>
              <w:rPr>
                <w:sz w:val="19"/>
                <w:szCs w:val="19"/>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12,101</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51,000</w:t>
            </w:r>
          </w:p>
        </w:tc>
        <w:tc>
          <w:tcPr>
            <w:tcW w:w="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South Valley</w:t>
            </w: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Washington,</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Home Depot / TJ</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DC-MD-VA</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14,885</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218,000</w:t>
            </w:r>
          </w:p>
        </w:tc>
        <w:tc>
          <w:tcPr>
            <w:tcW w:w="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Maxx</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4"/>
          </w:tcPr>
          <w:p>
            <w:pPr>
              <w:spacing w:after="0"/>
              <w:rPr>
                <w:sz w:val="20"/>
                <w:szCs w:val="20"/>
                <w:color w:val="auto"/>
              </w:rPr>
            </w:pPr>
            <w:r>
              <w:rPr>
                <w:rFonts w:ascii="Arial" w:cs="Arial" w:eastAsia="Arial" w:hAnsi="Arial"/>
                <w:sz w:val="18"/>
                <w:szCs w:val="18"/>
                <w:color w:val="auto"/>
              </w:rPr>
              <w:t>Tower</w:t>
            </w: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Washington,</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w w:val="97"/>
              </w:rPr>
              <w:t>Virginia Fine Wine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DC-MD-VA</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1998</w:t>
            </w:r>
          </w:p>
        </w:tc>
        <w:tc>
          <w:tcPr>
            <w:tcW w:w="60" w:type="dxa"/>
            <w:vAlign w:val="bottom"/>
          </w:tcPr>
          <w:p>
            <w:pPr>
              <w:spacing w:after="0"/>
              <w:rPr>
                <w:sz w:val="19"/>
                <w:szCs w:val="19"/>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18,780</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109,000</w:t>
            </w:r>
          </w:p>
        </w:tc>
        <w:tc>
          <w:tcPr>
            <w:tcW w:w="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 Talbots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Tyson’s Station</w:t>
            </w: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Washington,</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Trader Joes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DC-MD-VA</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3,357</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4"/>
          </w:tcPr>
          <w:p>
            <w:pPr>
              <w:spacing w:after="0"/>
              <w:rPr>
                <w:sz w:val="20"/>
                <w:szCs w:val="20"/>
                <w:color w:val="auto"/>
              </w:rPr>
            </w:pPr>
            <w:r>
              <w:rPr>
                <w:rFonts w:ascii="Arial" w:cs="Arial" w:eastAsia="Arial" w:hAnsi="Arial"/>
                <w:sz w:val="18"/>
                <w:szCs w:val="18"/>
                <w:color w:val="auto"/>
              </w:rPr>
              <w:t>Village at</w:t>
            </w: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Washington,</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Cineplex Odeon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auto"/>
              </w:rPr>
              <w:t>Shirlington</w:t>
            </w: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DC-MD-VA</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1995</w:t>
            </w:r>
          </w:p>
        </w:tc>
        <w:tc>
          <w:tcPr>
            <w:tcW w:w="60" w:type="dxa"/>
            <w:vAlign w:val="bottom"/>
          </w:tcPr>
          <w:p>
            <w:pPr>
              <w:spacing w:after="0"/>
              <w:rPr>
                <w:sz w:val="19"/>
                <w:szCs w:val="19"/>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29,452</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204,000</w:t>
            </w:r>
          </w:p>
        </w:tc>
        <w:tc>
          <w:tcPr>
            <w:tcW w:w="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w w:val="92"/>
              </w:rPr>
              <w:t>Carlyle Grand Café</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Wildwood</w:t>
            </w: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Washington,</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Balducci’s</w:t>
            </w:r>
          </w:p>
        </w:tc>
        <w:tc>
          <w:tcPr>
            <w:tcW w:w="1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CVS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DC-MD-VA</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17,486</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86,000</w:t>
            </w:r>
          </w:p>
        </w:tc>
        <w:tc>
          <w:tcPr>
            <w:tcW w:w="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c>
          <w:tcPr>
            <w:tcW w:w="1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27,243 20,000</w:t>
            </w:r>
          </w:p>
        </w:tc>
        <w:tc>
          <w:tcPr>
            <w:tcW w:w="1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ind w:left="40"/>
              <w:spacing w:after="0" w:line="201" w:lineRule="exact"/>
              <w:rPr>
                <w:sz w:val="20"/>
                <w:szCs w:val="20"/>
                <w:color w:val="auto"/>
              </w:rPr>
            </w:pPr>
            <w:r>
              <w:rPr>
                <w:rFonts w:ascii="Arial" w:cs="Arial" w:eastAsia="Arial" w:hAnsi="Arial"/>
                <w:sz w:val="18"/>
                <w:szCs w:val="18"/>
                <w:b w:val="1"/>
                <w:bCs w:val="1"/>
                <w:color w:val="auto"/>
              </w:rPr>
              <w:t>Total</w:t>
            </w: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Washington</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Metropolitan</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Area</w:t>
            </w:r>
          </w:p>
        </w:tc>
        <w:tc>
          <w:tcPr>
            <w:tcW w:w="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732,563</w:t>
            </w: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4,770,000</w:t>
            </w:r>
          </w:p>
        </w:tc>
        <w:tc>
          <w:tcPr>
            <w:tcW w:w="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w:t>
            </w: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0" w:gutter="0" w:footer="0" w:header="0"/>
        </w:sectPr>
      </w:pPr>
    </w:p>
    <w:bookmarkStart w:id="24" w:name="page25"/>
    <w:bookmarkEnd w:id="24"/>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b w:val="1"/>
          <w:bCs w:val="1"/>
          <w:u w:val="single" w:color="auto"/>
          <w:color w:val="auto"/>
        </w:rPr>
        <w:t>Philadelphia Metropolitan Area</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Andorra</w:t>
            </w: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Philadelphia,</w:t>
            </w:r>
          </w:p>
        </w:tc>
        <w:tc>
          <w:tcPr>
            <w:tcW w:w="5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Acme Markets</w:t>
            </w: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Kohl’s / Staples /</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PA-NJ</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22,415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267,000</w:t>
            </w:r>
          </w:p>
        </w:tc>
        <w:tc>
          <w:tcPr>
            <w:tcW w:w="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7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24,000</w:t>
            </w:r>
          </w:p>
        </w:tc>
        <w:tc>
          <w:tcPr>
            <w:tcW w:w="1300" w:type="dxa"/>
            <w:vAlign w:val="bottom"/>
            <w:shd w:val="clear" w:color="auto" w:fill="CCEEFF"/>
          </w:tcPr>
          <w:p>
            <w:pPr>
              <w:spacing w:after="0"/>
              <w:rPr>
                <w:sz w:val="19"/>
                <w:szCs w:val="19"/>
                <w:color w:val="auto"/>
              </w:rPr>
            </w:pP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 Fitness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rPr>
              <w:t>Bala Cynwyd</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Philadelphia,</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ind w:left="20"/>
              <w:spacing w:after="0"/>
              <w:rPr>
                <w:sz w:val="20"/>
                <w:szCs w:val="20"/>
                <w:color w:val="auto"/>
              </w:rPr>
            </w:pPr>
            <w:r>
              <w:rPr>
                <w:rFonts w:ascii="Arial" w:cs="Arial" w:eastAsia="Arial" w:hAnsi="Arial"/>
                <w:sz w:val="18"/>
                <w:szCs w:val="18"/>
                <w:color w:val="auto"/>
              </w:rPr>
              <w:t>Acme Markets</w:t>
            </w:r>
          </w:p>
        </w:tc>
        <w:tc>
          <w:tcPr>
            <w:tcW w:w="1480" w:type="dxa"/>
            <w:vAlign w:val="bottom"/>
          </w:tcPr>
          <w:p>
            <w:pPr>
              <w:ind w:left="40"/>
              <w:spacing w:after="0"/>
              <w:rPr>
                <w:sz w:val="20"/>
                <w:szCs w:val="20"/>
                <w:color w:val="auto"/>
              </w:rPr>
            </w:pPr>
            <w:r>
              <w:rPr>
                <w:rFonts w:ascii="Arial" w:cs="Arial" w:eastAsia="Arial" w:hAnsi="Arial"/>
                <w:sz w:val="18"/>
                <w:szCs w:val="18"/>
                <w:color w:val="auto"/>
              </w:rPr>
              <w:t>Lord &amp; Taylor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PA-NJ</w:t>
            </w:r>
          </w:p>
        </w:tc>
        <w:tc>
          <w:tcPr>
            <w:tcW w:w="580" w:type="dxa"/>
            <w:vAlign w:val="bottom"/>
          </w:tcPr>
          <w:p>
            <w:pPr>
              <w:jc w:val="right"/>
              <w:spacing w:after="0"/>
              <w:rPr>
                <w:sz w:val="20"/>
                <w:szCs w:val="20"/>
                <w:color w:val="auto"/>
              </w:rPr>
            </w:pPr>
            <w:r>
              <w:rPr>
                <w:rFonts w:ascii="Arial" w:cs="Arial" w:eastAsia="Arial" w:hAnsi="Arial"/>
                <w:sz w:val="18"/>
                <w:szCs w:val="18"/>
                <w:color w:val="auto"/>
              </w:rPr>
              <w:t>1993</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25,115</w:t>
            </w: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280,000</w:t>
            </w:r>
          </w:p>
        </w:tc>
        <w:tc>
          <w:tcPr>
            <w:tcW w:w="6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7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45,000</w:t>
            </w:r>
          </w:p>
        </w:tc>
        <w:tc>
          <w:tcPr>
            <w:tcW w:w="1300" w:type="dxa"/>
            <w:vAlign w:val="bottom"/>
          </w:tcPr>
          <w:p>
            <w:pPr>
              <w:spacing w:after="0"/>
              <w:rPr>
                <w:sz w:val="19"/>
                <w:szCs w:val="19"/>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L.A. Fitness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Ellisburg Circle</w:t>
            </w: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Philadelphia,</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Genuardi’s</w:t>
            </w: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Bed, Bath &amp;</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PA-NJ</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28,907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267,000</w:t>
            </w:r>
          </w:p>
        </w:tc>
        <w:tc>
          <w:tcPr>
            <w:tcW w:w="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7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47,000</w:t>
            </w:r>
          </w:p>
        </w:tc>
        <w:tc>
          <w:tcPr>
            <w:tcW w:w="1300" w:type="dxa"/>
            <w:vAlign w:val="bottom"/>
            <w:shd w:val="clear" w:color="auto" w:fill="CCEEFF"/>
          </w:tcPr>
          <w:p>
            <w:pPr>
              <w:spacing w:after="0"/>
              <w:rPr>
                <w:sz w:val="19"/>
                <w:szCs w:val="19"/>
                <w:color w:val="auto"/>
              </w:rPr>
            </w:pP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Beyond / Stein Mart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rPr>
              <w:t>Feasterville</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Philadelphia,</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ind w:left="20"/>
              <w:spacing w:after="0"/>
              <w:rPr>
                <w:sz w:val="20"/>
                <w:szCs w:val="20"/>
                <w:color w:val="auto"/>
              </w:rPr>
            </w:pPr>
            <w:r>
              <w:rPr>
                <w:rFonts w:ascii="Arial" w:cs="Arial" w:eastAsia="Arial" w:hAnsi="Arial"/>
                <w:sz w:val="18"/>
                <w:szCs w:val="18"/>
                <w:color w:val="auto"/>
              </w:rPr>
              <w:t>Genuardi’s</w:t>
            </w:r>
          </w:p>
        </w:tc>
        <w:tc>
          <w:tcPr>
            <w:tcW w:w="1480" w:type="dxa"/>
            <w:vAlign w:val="bottom"/>
          </w:tcPr>
          <w:p>
            <w:pPr>
              <w:ind w:left="40"/>
              <w:spacing w:after="0"/>
              <w:rPr>
                <w:sz w:val="20"/>
                <w:szCs w:val="20"/>
                <w:color w:val="auto"/>
              </w:rPr>
            </w:pPr>
            <w:r>
              <w:rPr>
                <w:rFonts w:ascii="Arial" w:cs="Arial" w:eastAsia="Arial" w:hAnsi="Arial"/>
                <w:sz w:val="18"/>
                <w:szCs w:val="18"/>
                <w:color w:val="auto"/>
              </w:rPr>
              <w:t>OfficeMax</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PA-NJ</w:t>
            </w:r>
          </w:p>
        </w:tc>
        <w:tc>
          <w:tcPr>
            <w:tcW w:w="580" w:type="dxa"/>
            <w:vAlign w:val="bottom"/>
          </w:tcPr>
          <w:p>
            <w:pPr>
              <w:jc w:val="right"/>
              <w:spacing w:after="0"/>
              <w:rPr>
                <w:sz w:val="20"/>
                <w:szCs w:val="20"/>
                <w:color w:val="auto"/>
              </w:rPr>
            </w:pPr>
            <w:r>
              <w:rPr>
                <w:rFonts w:ascii="Arial" w:cs="Arial" w:eastAsia="Arial" w:hAnsi="Arial"/>
                <w:sz w:val="18"/>
                <w:szCs w:val="18"/>
                <w:color w:val="auto"/>
              </w:rPr>
              <w:t>1980</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11,659</w:t>
            </w: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111,000</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7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53,000</w:t>
            </w:r>
          </w:p>
        </w:tc>
        <w:tc>
          <w:tcPr>
            <w:tcW w:w="1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Flourtown</w:t>
            </w: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Philadelphia,</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Genuardi’s</w:t>
            </w: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PA-NJ</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9,162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187,000</w:t>
            </w:r>
          </w:p>
        </w:tc>
        <w:tc>
          <w:tcPr>
            <w:tcW w:w="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w:t>
            </w:r>
          </w:p>
        </w:tc>
        <w:tc>
          <w:tcPr>
            <w:tcW w:w="7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42,000</w:t>
            </w:r>
          </w:p>
        </w:tc>
        <w:tc>
          <w:tcPr>
            <w:tcW w:w="13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w w:val="92"/>
              </w:rPr>
              <w:t>Langhorne Square</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Philadelphia,</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ind w:left="20"/>
              <w:spacing w:after="0"/>
              <w:rPr>
                <w:sz w:val="20"/>
                <w:szCs w:val="20"/>
                <w:color w:val="auto"/>
              </w:rPr>
            </w:pPr>
            <w:r>
              <w:rPr>
                <w:rFonts w:ascii="Arial" w:cs="Arial" w:eastAsia="Arial" w:hAnsi="Arial"/>
                <w:sz w:val="18"/>
                <w:szCs w:val="18"/>
                <w:color w:val="auto"/>
              </w:rPr>
              <w:t>Redner’s</w:t>
            </w:r>
          </w:p>
        </w:tc>
        <w:tc>
          <w:tcPr>
            <w:tcW w:w="1480" w:type="dxa"/>
            <w:vAlign w:val="bottom"/>
          </w:tcPr>
          <w:p>
            <w:pPr>
              <w:ind w:left="40"/>
              <w:spacing w:after="0"/>
              <w:rPr>
                <w:sz w:val="20"/>
                <w:szCs w:val="20"/>
                <w:color w:val="auto"/>
              </w:rPr>
            </w:pPr>
            <w:r>
              <w:rPr>
                <w:rFonts w:ascii="Arial" w:cs="Arial" w:eastAsia="Arial" w:hAnsi="Arial"/>
                <w:sz w:val="18"/>
                <w:szCs w:val="18"/>
                <w:color w:val="auto"/>
              </w:rPr>
              <w:t>Marshalls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PA-NJ</w:t>
            </w:r>
          </w:p>
        </w:tc>
        <w:tc>
          <w:tcPr>
            <w:tcW w:w="580" w:type="dxa"/>
            <w:vAlign w:val="bottom"/>
          </w:tcPr>
          <w:p>
            <w:pPr>
              <w:jc w:val="right"/>
              <w:spacing w:after="0"/>
              <w:rPr>
                <w:sz w:val="20"/>
                <w:szCs w:val="20"/>
                <w:color w:val="auto"/>
              </w:rPr>
            </w:pPr>
            <w:r>
              <w:rPr>
                <w:rFonts w:ascii="Arial" w:cs="Arial" w:eastAsia="Arial" w:hAnsi="Arial"/>
                <w:sz w:val="18"/>
                <w:szCs w:val="18"/>
                <w:color w:val="auto"/>
              </w:rPr>
              <w:t>1985</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17,858</w:t>
            </w: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216,000</w:t>
            </w:r>
          </w:p>
        </w:tc>
        <w:tc>
          <w:tcPr>
            <w:tcW w:w="6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88%</w:t>
            </w:r>
          </w:p>
        </w:tc>
        <w:tc>
          <w:tcPr>
            <w:tcW w:w="7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55,000</w:t>
            </w:r>
          </w:p>
        </w:tc>
        <w:tc>
          <w:tcPr>
            <w:tcW w:w="1300" w:type="dxa"/>
            <w:vAlign w:val="bottom"/>
          </w:tcPr>
          <w:p>
            <w:pPr>
              <w:ind w:left="20"/>
              <w:spacing w:after="0"/>
              <w:rPr>
                <w:sz w:val="20"/>
                <w:szCs w:val="20"/>
                <w:color w:val="auto"/>
              </w:rPr>
            </w:pPr>
            <w:r>
              <w:rPr>
                <w:rFonts w:ascii="Arial" w:cs="Arial" w:eastAsia="Arial" w:hAnsi="Arial"/>
                <w:sz w:val="18"/>
                <w:szCs w:val="18"/>
                <w:color w:val="auto"/>
                <w:w w:val="89"/>
              </w:rPr>
              <w:t>Warehouse Mkts.</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Lawrence Park</w:t>
            </w: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Philadelphia,</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Acme Markets</w:t>
            </w: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CHI / TJ Maxx /</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PA-NJ</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26,059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354,000</w:t>
            </w:r>
          </w:p>
        </w:tc>
        <w:tc>
          <w:tcPr>
            <w:tcW w:w="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53,000</w:t>
            </w:r>
          </w:p>
        </w:tc>
        <w:tc>
          <w:tcPr>
            <w:tcW w:w="1300" w:type="dxa"/>
            <w:vAlign w:val="bottom"/>
            <w:shd w:val="clear" w:color="auto" w:fill="CCEEFF"/>
          </w:tcPr>
          <w:p>
            <w:pPr>
              <w:spacing w:after="0"/>
              <w:rPr>
                <w:sz w:val="19"/>
                <w:szCs w:val="19"/>
                <w:color w:val="auto"/>
              </w:rPr>
            </w:pP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CVS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rPr>
              <w:t>Northeast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Philadelphia,</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Burlington Coat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PA-NJ</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w w:val="99"/>
              </w:rPr>
              <w:t>Marshalls / Tower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1983</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21,947</w:t>
            </w: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292,000</w:t>
            </w:r>
          </w:p>
        </w:tc>
        <w:tc>
          <w:tcPr>
            <w:tcW w:w="6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92%</w:t>
            </w: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Records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Willow Grove</w:t>
            </w: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Philadelphia,</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Barnes &amp; Noble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PA-NJ</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Marshalls / Toys 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26,319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215,000</w:t>
            </w:r>
          </w:p>
        </w:tc>
        <w:tc>
          <w:tcPr>
            <w:tcW w:w="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7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rPr>
              <w:t>Wynnewood</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Philadelphia,</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ind w:left="20"/>
              <w:spacing w:after="0"/>
              <w:rPr>
                <w:sz w:val="20"/>
                <w:szCs w:val="20"/>
                <w:color w:val="auto"/>
              </w:rPr>
            </w:pPr>
            <w:r>
              <w:rPr>
                <w:rFonts w:ascii="Arial" w:cs="Arial" w:eastAsia="Arial" w:hAnsi="Arial"/>
                <w:sz w:val="18"/>
                <w:szCs w:val="18"/>
                <w:color w:val="auto"/>
              </w:rPr>
              <w:t>Genuardi’s</w:t>
            </w:r>
          </w:p>
        </w:tc>
        <w:tc>
          <w:tcPr>
            <w:tcW w:w="1480" w:type="dxa"/>
            <w:vAlign w:val="bottom"/>
          </w:tcPr>
          <w:p>
            <w:pPr>
              <w:ind w:left="40"/>
              <w:spacing w:after="0"/>
              <w:rPr>
                <w:sz w:val="20"/>
                <w:szCs w:val="20"/>
                <w:color w:val="auto"/>
              </w:rPr>
            </w:pPr>
            <w:r>
              <w:rPr>
                <w:rFonts w:ascii="Arial" w:cs="Arial" w:eastAsia="Arial" w:hAnsi="Arial"/>
                <w:sz w:val="18"/>
                <w:szCs w:val="18"/>
                <w:color w:val="auto"/>
              </w:rPr>
              <w:t>Bed, Bath &amp;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PA-NJ</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w w:val="95"/>
              </w:rPr>
              <w:t>Beyond / Borders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1996</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35,313</w:t>
            </w: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255,000</w:t>
            </w:r>
          </w:p>
        </w:tc>
        <w:tc>
          <w:tcPr>
            <w:tcW w:w="6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99%</w:t>
            </w:r>
          </w:p>
        </w:tc>
        <w:tc>
          <w:tcPr>
            <w:tcW w:w="720" w:type="dxa"/>
            <w:vAlign w:val="bottom"/>
          </w:tcPr>
          <w:p>
            <w:pPr>
              <w:jc w:val="right"/>
              <w:spacing w:after="0"/>
              <w:rPr>
                <w:sz w:val="20"/>
                <w:szCs w:val="20"/>
                <w:color w:val="auto"/>
              </w:rPr>
            </w:pPr>
            <w:r>
              <w:rPr>
                <w:rFonts w:ascii="Arial" w:cs="Arial" w:eastAsia="Arial" w:hAnsi="Arial"/>
                <w:sz w:val="18"/>
                <w:szCs w:val="18"/>
                <w:color w:val="auto"/>
              </w:rPr>
              <w:t>31,586</w:t>
            </w:r>
          </w:p>
        </w:tc>
        <w:tc>
          <w:tcPr>
            <w:tcW w:w="560" w:type="dxa"/>
            <w:vAlign w:val="bottom"/>
          </w:tcPr>
          <w:p>
            <w:pPr>
              <w:jc w:val="right"/>
              <w:spacing w:after="0"/>
              <w:rPr>
                <w:sz w:val="20"/>
                <w:szCs w:val="20"/>
                <w:color w:val="auto"/>
              </w:rPr>
            </w:pPr>
            <w:r>
              <w:rPr>
                <w:rFonts w:ascii="Arial" w:cs="Arial" w:eastAsia="Arial" w:hAnsi="Arial"/>
                <w:sz w:val="18"/>
                <w:szCs w:val="18"/>
                <w:color w:val="auto"/>
                <w:w w:val="90"/>
              </w:rPr>
              <w:t>98,000</w:t>
            </w:r>
          </w:p>
        </w:tc>
        <w:tc>
          <w:tcPr>
            <w:tcW w:w="1300" w:type="dxa"/>
            <w:vAlign w:val="bottom"/>
          </w:tcPr>
          <w:p>
            <w:pPr>
              <w:spacing w:after="0"/>
              <w:rPr>
                <w:sz w:val="19"/>
                <w:szCs w:val="19"/>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Old Navy</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b w:val="1"/>
                <w:bCs w:val="1"/>
                <w:color w:val="auto"/>
              </w:rPr>
              <w:t>Total</w:t>
            </w:r>
          </w:p>
        </w:tc>
        <w:tc>
          <w:tcPr>
            <w:tcW w:w="5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Philadelphia</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Metropolitan</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Area</w:t>
            </w:r>
          </w:p>
        </w:tc>
        <w:tc>
          <w:tcPr>
            <w:tcW w:w="5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224,754</w:t>
            </w:r>
          </w:p>
        </w:tc>
        <w:tc>
          <w:tcPr>
            <w:tcW w:w="9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2,444,000</w:t>
            </w:r>
          </w:p>
        </w:tc>
        <w:tc>
          <w:tcPr>
            <w:tcW w:w="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w:t>
            </w:r>
          </w:p>
        </w:tc>
        <w:tc>
          <w:tcPr>
            <w:tcW w:w="7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8"/>
                <w:szCs w:val="18"/>
                <w:b w:val="1"/>
                <w:bCs w:val="1"/>
                <w:color w:val="auto"/>
              </w:rPr>
              <w:t>New York / New Jersey</w:t>
            </w: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1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Allwood</w:t>
            </w: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Bergen-Passaic,</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Stop &amp; Shop</w:t>
            </w: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Mandee Shop</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NJ</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4,297</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52,000</w:t>
            </w:r>
          </w:p>
        </w:tc>
        <w:tc>
          <w:tcPr>
            <w:tcW w:w="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25,000</w:t>
            </w:r>
          </w:p>
        </w:tc>
        <w:tc>
          <w:tcPr>
            <w:tcW w:w="13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rPr>
              <w:t>Clifton</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w w:val="99"/>
              </w:rPr>
              <w:t>Bergen-Passaic,</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Drug Fair / Dollar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NJ</w:t>
            </w:r>
          </w:p>
        </w:tc>
        <w:tc>
          <w:tcPr>
            <w:tcW w:w="580" w:type="dxa"/>
            <w:vAlign w:val="bottom"/>
          </w:tcPr>
          <w:p>
            <w:pPr>
              <w:jc w:val="right"/>
              <w:spacing w:after="0"/>
              <w:rPr>
                <w:sz w:val="20"/>
                <w:szCs w:val="20"/>
                <w:color w:val="auto"/>
              </w:rPr>
            </w:pPr>
            <w:r>
              <w:rPr>
                <w:rFonts w:ascii="Arial" w:cs="Arial" w:eastAsia="Arial" w:hAnsi="Arial"/>
                <w:sz w:val="18"/>
                <w:szCs w:val="18"/>
                <w:color w:val="auto"/>
              </w:rPr>
              <w:t>1988</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5,050</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80,000</w:t>
            </w:r>
          </w:p>
        </w:tc>
        <w:tc>
          <w:tcPr>
            <w:tcW w:w="6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96%</w:t>
            </w:r>
          </w:p>
        </w:tc>
        <w:tc>
          <w:tcPr>
            <w:tcW w:w="720" w:type="dxa"/>
            <w:vAlign w:val="bottom"/>
          </w:tcPr>
          <w:p>
            <w:pPr>
              <w:jc w:val="right"/>
              <w:spacing w:after="0"/>
              <w:rPr>
                <w:sz w:val="20"/>
                <w:szCs w:val="20"/>
                <w:color w:val="auto"/>
              </w:rPr>
            </w:pPr>
            <w:r>
              <w:rPr>
                <w:rFonts w:ascii="Arial" w:cs="Arial" w:eastAsia="Arial" w:hAnsi="Arial"/>
                <w:sz w:val="18"/>
                <w:szCs w:val="18"/>
                <w:color w:val="auto"/>
              </w:rPr>
              <w:t>3,244</w:t>
            </w:r>
          </w:p>
        </w:tc>
        <w:tc>
          <w:tcPr>
            <w:tcW w:w="5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Express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Blue Star</w:t>
            </w: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Middlesex-</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Shop Rite</w:t>
            </w: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Kohl’s / Michaels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Somerset-</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Toys R Us /</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Hunterdon, NJ</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39,855</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407,000</w:t>
            </w:r>
          </w:p>
        </w:tc>
        <w:tc>
          <w:tcPr>
            <w:tcW w:w="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43,000</w:t>
            </w:r>
          </w:p>
        </w:tc>
        <w:tc>
          <w:tcPr>
            <w:tcW w:w="1300" w:type="dxa"/>
            <w:vAlign w:val="bottom"/>
            <w:shd w:val="clear" w:color="auto" w:fill="CCEEFF"/>
          </w:tcPr>
          <w:p>
            <w:pPr>
              <w:spacing w:after="0"/>
              <w:rPr>
                <w:sz w:val="19"/>
                <w:szCs w:val="19"/>
                <w:color w:val="auto"/>
              </w:rPr>
            </w:pP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Marshalls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rPr>
              <w:t>Brunswick</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Middlesex-</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ind w:left="20"/>
              <w:spacing w:after="0"/>
              <w:rPr>
                <w:sz w:val="20"/>
                <w:szCs w:val="20"/>
                <w:color w:val="auto"/>
              </w:rPr>
            </w:pPr>
            <w:r>
              <w:rPr>
                <w:rFonts w:ascii="Arial" w:cs="Arial" w:eastAsia="Arial" w:hAnsi="Arial"/>
                <w:sz w:val="18"/>
                <w:szCs w:val="18"/>
                <w:color w:val="auto"/>
              </w:rPr>
              <w:t>A&amp;P</w:t>
            </w:r>
          </w:p>
        </w:tc>
        <w:tc>
          <w:tcPr>
            <w:tcW w:w="1480" w:type="dxa"/>
            <w:vAlign w:val="bottom"/>
          </w:tcPr>
          <w:p>
            <w:pPr>
              <w:ind w:left="40"/>
              <w:spacing w:after="0"/>
              <w:rPr>
                <w:sz w:val="20"/>
                <w:szCs w:val="20"/>
                <w:color w:val="auto"/>
              </w:rPr>
            </w:pPr>
            <w:r>
              <w:rPr>
                <w:rFonts w:ascii="Arial" w:cs="Arial" w:eastAsia="Arial" w:hAnsi="Arial"/>
                <w:sz w:val="18"/>
                <w:szCs w:val="18"/>
                <w:color w:val="auto"/>
              </w:rPr>
              <w:t>A.J. Wright / L.A.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Somerset-</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Fitness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Hunterdon, NJ</w:t>
            </w:r>
          </w:p>
        </w:tc>
        <w:tc>
          <w:tcPr>
            <w:tcW w:w="580" w:type="dxa"/>
            <w:vAlign w:val="bottom"/>
          </w:tcPr>
          <w:p>
            <w:pPr>
              <w:jc w:val="right"/>
              <w:spacing w:after="0"/>
              <w:rPr>
                <w:sz w:val="20"/>
                <w:szCs w:val="20"/>
                <w:color w:val="auto"/>
              </w:rPr>
            </w:pPr>
            <w:r>
              <w:rPr>
                <w:rFonts w:ascii="Arial" w:cs="Arial" w:eastAsia="Arial" w:hAnsi="Arial"/>
                <w:sz w:val="18"/>
                <w:szCs w:val="18"/>
                <w:color w:val="auto"/>
              </w:rPr>
              <w:t>1988</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23,670</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303,000</w:t>
            </w:r>
          </w:p>
        </w:tc>
        <w:tc>
          <w:tcPr>
            <w:tcW w:w="6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97%</w:t>
            </w:r>
          </w:p>
        </w:tc>
        <w:tc>
          <w:tcPr>
            <w:tcW w:w="720" w:type="dxa"/>
            <w:vAlign w:val="bottom"/>
          </w:tcPr>
          <w:p>
            <w:pPr>
              <w:jc w:val="right"/>
              <w:spacing w:after="0"/>
              <w:rPr>
                <w:sz w:val="20"/>
                <w:szCs w:val="20"/>
                <w:color w:val="auto"/>
              </w:rPr>
            </w:pPr>
            <w:r>
              <w:rPr>
                <w:rFonts w:ascii="Arial" w:cs="Arial" w:eastAsia="Arial" w:hAnsi="Arial"/>
                <w:sz w:val="18"/>
                <w:szCs w:val="18"/>
                <w:color w:val="auto"/>
              </w:rPr>
              <w:t>11,084</w:t>
            </w:r>
          </w:p>
        </w:tc>
        <w:tc>
          <w:tcPr>
            <w:tcW w:w="560" w:type="dxa"/>
            <w:vAlign w:val="bottom"/>
          </w:tcPr>
          <w:p>
            <w:pPr>
              <w:jc w:val="right"/>
              <w:spacing w:after="0"/>
              <w:rPr>
                <w:sz w:val="20"/>
                <w:szCs w:val="20"/>
                <w:color w:val="auto"/>
              </w:rPr>
            </w:pPr>
            <w:r>
              <w:rPr>
                <w:rFonts w:ascii="Arial" w:cs="Arial" w:eastAsia="Arial" w:hAnsi="Arial"/>
                <w:sz w:val="18"/>
                <w:szCs w:val="18"/>
                <w:color w:val="auto"/>
                <w:w w:val="90"/>
              </w:rPr>
              <w:t>55,000</w:t>
            </w:r>
          </w:p>
        </w:tc>
        <w:tc>
          <w:tcPr>
            <w:tcW w:w="1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Rutgers</w:t>
            </w: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Middlesex-</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Stop &amp; Shop</w:t>
            </w: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Kmart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Somerset-</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Hunterdon, NJ</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15,985</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267,000</w:t>
            </w:r>
          </w:p>
        </w:tc>
        <w:tc>
          <w:tcPr>
            <w:tcW w:w="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44,000</w:t>
            </w:r>
          </w:p>
        </w:tc>
        <w:tc>
          <w:tcPr>
            <w:tcW w:w="13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rPr>
              <w:t>Brick Plaza</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Monmouth-</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ind w:left="20"/>
              <w:spacing w:after="0"/>
              <w:rPr>
                <w:sz w:val="20"/>
                <w:szCs w:val="20"/>
                <w:color w:val="auto"/>
              </w:rPr>
            </w:pPr>
            <w:r>
              <w:rPr>
                <w:rFonts w:ascii="Arial" w:cs="Arial" w:eastAsia="Arial" w:hAnsi="Arial"/>
                <w:sz w:val="18"/>
                <w:szCs w:val="18"/>
                <w:color w:val="auto"/>
              </w:rPr>
              <w:t>A&amp;P</w:t>
            </w:r>
          </w:p>
        </w:tc>
        <w:tc>
          <w:tcPr>
            <w:tcW w:w="1480" w:type="dxa"/>
            <w:vAlign w:val="bottom"/>
          </w:tcPr>
          <w:p>
            <w:pPr>
              <w:ind w:left="40"/>
              <w:spacing w:after="0"/>
              <w:rPr>
                <w:sz w:val="20"/>
                <w:szCs w:val="20"/>
                <w:color w:val="auto"/>
              </w:rPr>
            </w:pPr>
            <w:r>
              <w:rPr>
                <w:rFonts w:ascii="Arial" w:cs="Arial" w:eastAsia="Arial" w:hAnsi="Arial"/>
                <w:sz w:val="18"/>
                <w:szCs w:val="18"/>
                <w:color w:val="auto"/>
              </w:rPr>
              <w:t>Loews Theatre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Ocean, NJ</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Barnes &amp; Noble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1989</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55,272</w:t>
            </w: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409,000</w:t>
            </w:r>
          </w:p>
        </w:tc>
        <w:tc>
          <w:tcPr>
            <w:tcW w:w="6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98%</w:t>
            </w:r>
          </w:p>
        </w:tc>
        <w:tc>
          <w:tcPr>
            <w:tcW w:w="720" w:type="dxa"/>
            <w:vAlign w:val="bottom"/>
          </w:tcPr>
          <w:p>
            <w:pPr>
              <w:jc w:val="right"/>
              <w:spacing w:after="0"/>
              <w:rPr>
                <w:sz w:val="20"/>
                <w:szCs w:val="20"/>
                <w:color w:val="auto"/>
              </w:rPr>
            </w:pPr>
            <w:r>
              <w:rPr>
                <w:rFonts w:ascii="Arial" w:cs="Arial" w:eastAsia="Arial" w:hAnsi="Arial"/>
                <w:sz w:val="18"/>
                <w:szCs w:val="18"/>
                <w:color w:val="auto"/>
              </w:rPr>
              <w:t>32,533</w:t>
            </w:r>
          </w:p>
        </w:tc>
        <w:tc>
          <w:tcPr>
            <w:tcW w:w="560" w:type="dxa"/>
            <w:vAlign w:val="bottom"/>
          </w:tcPr>
          <w:p>
            <w:pPr>
              <w:jc w:val="right"/>
              <w:spacing w:after="0"/>
              <w:rPr>
                <w:sz w:val="20"/>
                <w:szCs w:val="20"/>
                <w:color w:val="auto"/>
              </w:rPr>
            </w:pPr>
            <w:r>
              <w:rPr>
                <w:rFonts w:ascii="Arial" w:cs="Arial" w:eastAsia="Arial" w:hAnsi="Arial"/>
                <w:sz w:val="18"/>
                <w:szCs w:val="18"/>
                <w:color w:val="auto"/>
                <w:w w:val="90"/>
              </w:rPr>
              <w:t>66,000</w:t>
            </w:r>
          </w:p>
        </w:tc>
        <w:tc>
          <w:tcPr>
            <w:tcW w:w="1300" w:type="dxa"/>
            <w:vAlign w:val="bottom"/>
          </w:tcPr>
          <w:p>
            <w:pPr>
              <w:spacing w:after="0"/>
              <w:rPr>
                <w:sz w:val="19"/>
                <w:szCs w:val="19"/>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Sports Authority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Greenlawn Plaza</w:t>
            </w: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Nassau-Suffolk,</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Waldbaum’s</w:t>
            </w: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NY</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11,967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102,000</w:t>
            </w:r>
          </w:p>
        </w:tc>
        <w:tc>
          <w:tcPr>
            <w:tcW w:w="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7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46,000</w:t>
            </w:r>
          </w:p>
        </w:tc>
        <w:tc>
          <w:tcPr>
            <w:tcW w:w="13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rPr>
              <w:t>Hauppauge</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Nassau-Suffolk,</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ind w:left="20"/>
              <w:spacing w:after="0"/>
              <w:rPr>
                <w:sz w:val="20"/>
                <w:szCs w:val="20"/>
                <w:color w:val="auto"/>
              </w:rPr>
            </w:pPr>
            <w:r>
              <w:rPr>
                <w:rFonts w:ascii="Arial" w:cs="Arial" w:eastAsia="Arial" w:hAnsi="Arial"/>
                <w:sz w:val="18"/>
                <w:szCs w:val="18"/>
                <w:color w:val="auto"/>
              </w:rPr>
              <w:t>Shop Rite</w:t>
            </w:r>
          </w:p>
        </w:tc>
        <w:tc>
          <w:tcPr>
            <w:tcW w:w="1480" w:type="dxa"/>
            <w:vAlign w:val="bottom"/>
          </w:tcPr>
          <w:p>
            <w:pPr>
              <w:ind w:left="40"/>
              <w:spacing w:after="0"/>
              <w:rPr>
                <w:sz w:val="20"/>
                <w:szCs w:val="20"/>
                <w:color w:val="auto"/>
              </w:rPr>
            </w:pPr>
            <w:r>
              <w:rPr>
                <w:rFonts w:ascii="Arial" w:cs="Arial" w:eastAsia="Arial" w:hAnsi="Arial"/>
                <w:sz w:val="18"/>
                <w:szCs w:val="18"/>
                <w:color w:val="auto"/>
              </w:rPr>
              <w:t>AC Moore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NY</w:t>
            </w:r>
          </w:p>
        </w:tc>
        <w:tc>
          <w:tcPr>
            <w:tcW w:w="580" w:type="dxa"/>
            <w:vAlign w:val="bottom"/>
          </w:tcPr>
          <w:p>
            <w:pPr>
              <w:jc w:val="right"/>
              <w:spacing w:after="0"/>
              <w:rPr>
                <w:sz w:val="20"/>
                <w:szCs w:val="20"/>
                <w:color w:val="auto"/>
              </w:rPr>
            </w:pPr>
            <w:r>
              <w:rPr>
                <w:rFonts w:ascii="Arial" w:cs="Arial" w:eastAsia="Arial" w:hAnsi="Arial"/>
                <w:sz w:val="18"/>
                <w:szCs w:val="18"/>
                <w:color w:val="auto"/>
              </w:rPr>
              <w:t>1998</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26,602</w:t>
            </w: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131,000</w:t>
            </w:r>
          </w:p>
        </w:tc>
        <w:tc>
          <w:tcPr>
            <w:tcW w:w="6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720" w:type="dxa"/>
            <w:vAlign w:val="bottom"/>
          </w:tcPr>
          <w:p>
            <w:pPr>
              <w:jc w:val="right"/>
              <w:spacing w:after="0"/>
              <w:rPr>
                <w:sz w:val="20"/>
                <w:szCs w:val="20"/>
                <w:color w:val="auto"/>
              </w:rPr>
            </w:pPr>
            <w:r>
              <w:rPr>
                <w:rFonts w:ascii="Arial" w:cs="Arial" w:eastAsia="Arial" w:hAnsi="Arial"/>
                <w:sz w:val="18"/>
                <w:szCs w:val="18"/>
                <w:color w:val="auto"/>
              </w:rPr>
              <w:t>16,484</w:t>
            </w:r>
          </w:p>
        </w:tc>
        <w:tc>
          <w:tcPr>
            <w:tcW w:w="560" w:type="dxa"/>
            <w:vAlign w:val="bottom"/>
          </w:tcPr>
          <w:p>
            <w:pPr>
              <w:jc w:val="right"/>
              <w:spacing w:after="0"/>
              <w:rPr>
                <w:sz w:val="20"/>
                <w:szCs w:val="20"/>
                <w:color w:val="auto"/>
              </w:rPr>
            </w:pPr>
            <w:r>
              <w:rPr>
                <w:rFonts w:ascii="Arial" w:cs="Arial" w:eastAsia="Arial" w:hAnsi="Arial"/>
                <w:sz w:val="18"/>
                <w:szCs w:val="18"/>
                <w:color w:val="auto"/>
                <w:w w:val="90"/>
              </w:rPr>
              <w:t>61,000</w:t>
            </w:r>
          </w:p>
        </w:tc>
        <w:tc>
          <w:tcPr>
            <w:tcW w:w="1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Huntington</w:t>
            </w: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Nassau-Suffolk,</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Buy Buy Baby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NY</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Toys R Us / Bed,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Bath &amp; Beyond /</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22,683</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279,000</w:t>
            </w:r>
          </w:p>
        </w:tc>
        <w:tc>
          <w:tcPr>
            <w:tcW w:w="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14,244</w:t>
            </w:r>
          </w:p>
        </w:tc>
        <w:tc>
          <w:tcPr>
            <w:tcW w:w="5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Barnes &amp; Noble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rPr>
              <w:t>Forest Hills</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New York, NY</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Midway Theatre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1997</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23,980</w:t>
            </w: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86,000</w:t>
            </w:r>
          </w:p>
        </w:tc>
        <w:tc>
          <w:tcPr>
            <w:tcW w:w="6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w w:val="88"/>
              </w:rPr>
              <w:t>Duane Reade / Gap</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Fresh Meadows</w:t>
            </w: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New York, NY</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Filene’s Basement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Kohl’s / Cineplex</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65,183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403,000</w:t>
            </w:r>
          </w:p>
        </w:tc>
        <w:tc>
          <w:tcPr>
            <w:tcW w:w="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w:t>
            </w:r>
          </w:p>
        </w:tc>
        <w:tc>
          <w:tcPr>
            <w:tcW w:w="7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Odeon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rPr>
              <w:t>Troy</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Newark, NJ</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ind w:left="20"/>
              <w:spacing w:after="0"/>
              <w:rPr>
                <w:sz w:val="20"/>
                <w:szCs w:val="20"/>
                <w:color w:val="auto"/>
              </w:rPr>
            </w:pPr>
            <w:r>
              <w:rPr>
                <w:rFonts w:ascii="Arial" w:cs="Arial" w:eastAsia="Arial" w:hAnsi="Arial"/>
                <w:sz w:val="18"/>
                <w:szCs w:val="18"/>
                <w:color w:val="auto"/>
              </w:rPr>
              <w:t>Pathmark</w:t>
            </w:r>
          </w:p>
        </w:tc>
        <w:tc>
          <w:tcPr>
            <w:tcW w:w="1480" w:type="dxa"/>
            <w:vAlign w:val="bottom"/>
          </w:tcPr>
          <w:p>
            <w:pPr>
              <w:ind w:left="40"/>
              <w:spacing w:after="0"/>
              <w:rPr>
                <w:sz w:val="20"/>
                <w:szCs w:val="20"/>
                <w:color w:val="auto"/>
              </w:rPr>
            </w:pPr>
            <w:r>
              <w:rPr>
                <w:rFonts w:ascii="Arial" w:cs="Arial" w:eastAsia="Arial" w:hAnsi="Arial"/>
                <w:sz w:val="18"/>
                <w:szCs w:val="18"/>
                <w:color w:val="auto"/>
                <w:w w:val="98"/>
              </w:rPr>
              <w:t>AC Moore / Comp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1980</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20,545</w:t>
            </w: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202,000</w:t>
            </w:r>
          </w:p>
        </w:tc>
        <w:tc>
          <w:tcPr>
            <w:tcW w:w="6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99%</w:t>
            </w:r>
          </w:p>
        </w:tc>
        <w:tc>
          <w:tcPr>
            <w:tcW w:w="7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64,000</w:t>
            </w:r>
          </w:p>
        </w:tc>
        <w:tc>
          <w:tcPr>
            <w:tcW w:w="1300" w:type="dxa"/>
            <w:vAlign w:val="bottom"/>
          </w:tcPr>
          <w:p>
            <w:pPr>
              <w:spacing w:after="0"/>
              <w:rPr>
                <w:sz w:val="19"/>
                <w:szCs w:val="19"/>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USA / Toys R Us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Hamilton</w:t>
            </w: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Trenton, NJ</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Shop Rite</w:t>
            </w: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 Moore /</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8,395</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190,000</w:t>
            </w:r>
          </w:p>
        </w:tc>
        <w:tc>
          <w:tcPr>
            <w:tcW w:w="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53,000</w:t>
            </w:r>
          </w:p>
        </w:tc>
        <w:tc>
          <w:tcPr>
            <w:tcW w:w="1300" w:type="dxa"/>
            <w:vAlign w:val="bottom"/>
            <w:shd w:val="clear" w:color="auto" w:fill="CCEEFF"/>
          </w:tcPr>
          <w:p>
            <w:pPr>
              <w:spacing w:after="0"/>
              <w:rPr>
                <w:sz w:val="19"/>
                <w:szCs w:val="19"/>
                <w:color w:val="auto"/>
              </w:rPr>
            </w:pP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Stevens Furniture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rPr>
              <w:t>Mercer Mall</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Trenton, NJ</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ind w:left="20"/>
              <w:spacing w:after="0"/>
              <w:rPr>
                <w:sz w:val="20"/>
                <w:szCs w:val="20"/>
                <w:color w:val="auto"/>
              </w:rPr>
            </w:pPr>
            <w:r>
              <w:rPr>
                <w:rFonts w:ascii="Arial" w:cs="Arial" w:eastAsia="Arial" w:hAnsi="Arial"/>
                <w:sz w:val="18"/>
                <w:szCs w:val="18"/>
                <w:color w:val="auto"/>
              </w:rPr>
              <w:t>Shop Rite</w:t>
            </w:r>
          </w:p>
        </w:tc>
        <w:tc>
          <w:tcPr>
            <w:tcW w:w="1480" w:type="dxa"/>
            <w:vAlign w:val="bottom"/>
          </w:tcPr>
          <w:p>
            <w:pPr>
              <w:ind w:left="40"/>
              <w:spacing w:after="0"/>
              <w:rPr>
                <w:sz w:val="20"/>
                <w:szCs w:val="20"/>
                <w:color w:val="auto"/>
              </w:rPr>
            </w:pPr>
            <w:r>
              <w:rPr>
                <w:rFonts w:ascii="Arial" w:cs="Arial" w:eastAsia="Arial" w:hAnsi="Arial"/>
                <w:sz w:val="18"/>
                <w:szCs w:val="18"/>
                <w:color w:val="auto"/>
              </w:rPr>
              <w:t>Bed, Bath &amp;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w w:val="92"/>
              </w:rPr>
              <w:t>Beyond / DSW / TJ</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w w:val="95"/>
              </w:rPr>
              <w:t>Maxx / Raymour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2003</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87,240</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493,000</w:t>
            </w:r>
          </w:p>
        </w:tc>
        <w:tc>
          <w:tcPr>
            <w:tcW w:w="6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96%</w:t>
            </w:r>
          </w:p>
        </w:tc>
        <w:tc>
          <w:tcPr>
            <w:tcW w:w="720" w:type="dxa"/>
            <w:vAlign w:val="bottom"/>
          </w:tcPr>
          <w:p>
            <w:pPr>
              <w:jc w:val="right"/>
              <w:spacing w:after="0"/>
              <w:rPr>
                <w:sz w:val="20"/>
                <w:szCs w:val="20"/>
                <w:color w:val="auto"/>
              </w:rPr>
            </w:pPr>
            <w:r>
              <w:rPr>
                <w:rFonts w:ascii="Arial" w:cs="Arial" w:eastAsia="Arial" w:hAnsi="Arial"/>
                <w:sz w:val="18"/>
                <w:szCs w:val="18"/>
                <w:color w:val="auto"/>
              </w:rPr>
              <w:t>59,780</w:t>
            </w:r>
          </w:p>
        </w:tc>
        <w:tc>
          <w:tcPr>
            <w:tcW w:w="560" w:type="dxa"/>
            <w:vAlign w:val="bottom"/>
          </w:tcPr>
          <w:p>
            <w:pPr>
              <w:jc w:val="right"/>
              <w:spacing w:after="0"/>
              <w:rPr>
                <w:sz w:val="20"/>
                <w:szCs w:val="20"/>
                <w:color w:val="auto"/>
              </w:rPr>
            </w:pPr>
            <w:r>
              <w:rPr>
                <w:rFonts w:ascii="Arial" w:cs="Arial" w:eastAsia="Arial" w:hAnsi="Arial"/>
                <w:sz w:val="18"/>
                <w:szCs w:val="18"/>
                <w:color w:val="auto"/>
                <w:w w:val="90"/>
              </w:rPr>
              <w:t>75,000</w:t>
            </w:r>
          </w:p>
        </w:tc>
        <w:tc>
          <w:tcPr>
            <w:tcW w:w="1300" w:type="dxa"/>
            <w:vAlign w:val="bottom"/>
          </w:tcPr>
          <w:p>
            <w:pPr>
              <w:spacing w:after="0"/>
              <w:rPr>
                <w:sz w:val="19"/>
                <w:szCs w:val="19"/>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Flanigan</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b w:val="1"/>
                <w:bCs w:val="1"/>
                <w:color w:val="auto"/>
              </w:rPr>
              <w:t>Total New York</w:t>
            </w:r>
          </w:p>
        </w:tc>
        <w:tc>
          <w:tcPr>
            <w:tcW w:w="5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 New Jersey</w:t>
            </w:r>
          </w:p>
        </w:tc>
        <w:tc>
          <w:tcPr>
            <w:tcW w:w="5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410,724</w:t>
            </w:r>
          </w:p>
        </w:tc>
        <w:tc>
          <w:tcPr>
            <w:tcW w:w="9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3,404,000</w:t>
            </w:r>
          </w:p>
        </w:tc>
        <w:tc>
          <w:tcPr>
            <w:tcW w:w="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w:t>
            </w:r>
          </w:p>
        </w:tc>
        <w:tc>
          <w:tcPr>
            <w:tcW w:w="7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Boston</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1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Dedham Plaza</w:t>
            </w: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Boston-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29,727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243,000</w:t>
            </w: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w:t>
            </w: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80,000</w:t>
            </w:r>
          </w:p>
        </w:tc>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Star Market</w:t>
            </w: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Pier 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Worcester-</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Lawrence-</w:t>
            </w: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25" w:name="page26"/>
    <w:bookmarkEnd w:id="25"/>
    <w:p>
      <w:pPr>
        <w:ind w:left="1540"/>
        <w:spacing w:after="0"/>
        <w:rPr>
          <w:sz w:val="20"/>
          <w:szCs w:val="20"/>
          <w:color w:val="auto"/>
        </w:rPr>
      </w:pPr>
      <w:r>
        <w:rPr>
          <w:rFonts w:ascii="Arial" w:cs="Arial" w:eastAsia="Arial" w:hAnsi="Arial"/>
          <w:sz w:val="18"/>
          <w:szCs w:val="18"/>
          <w:color w:val="auto"/>
        </w:rPr>
        <w:t>Lowell-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2743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1540"/>
        <w:spacing w:after="0"/>
        <w:rPr>
          <w:sz w:val="20"/>
          <w:szCs w:val="20"/>
          <w:color w:val="auto"/>
        </w:rPr>
      </w:pPr>
      <w:r>
        <w:rPr>
          <w:rFonts w:ascii="Arial" w:cs="Arial" w:eastAsia="Arial" w:hAnsi="Arial"/>
          <w:sz w:val="18"/>
          <w:szCs w:val="18"/>
          <w:color w:val="auto"/>
        </w:rPr>
        <w:t>Brockton, MA</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440" w:type="dxa"/>
            <w:vAlign w:val="bottom"/>
          </w:tcPr>
          <w:p>
            <w:pPr>
              <w:spacing w:after="0"/>
              <w:rPr>
                <w:sz w:val="20"/>
                <w:szCs w:val="20"/>
                <w:color w:val="auto"/>
              </w:rPr>
            </w:pPr>
            <w:r>
              <w:rPr>
                <w:rFonts w:ascii="Arial" w:cs="Arial" w:eastAsia="Arial" w:hAnsi="Arial"/>
                <w:sz w:val="18"/>
                <w:szCs w:val="18"/>
                <w:color w:val="auto"/>
                <w:w w:val="93"/>
              </w:rPr>
              <w:t>Queen Anne Plaza</w:t>
            </w:r>
          </w:p>
        </w:tc>
        <w:tc>
          <w:tcPr>
            <w:tcW w:w="1360" w:type="dxa"/>
            <w:vAlign w:val="bottom"/>
          </w:tcPr>
          <w:p>
            <w:pPr>
              <w:ind w:left="100"/>
              <w:spacing w:after="0"/>
              <w:rPr>
                <w:sz w:val="20"/>
                <w:szCs w:val="20"/>
                <w:color w:val="auto"/>
              </w:rPr>
            </w:pPr>
            <w:r>
              <w:rPr>
                <w:rFonts w:ascii="Arial" w:cs="Arial" w:eastAsia="Arial" w:hAnsi="Arial"/>
                <w:sz w:val="18"/>
                <w:szCs w:val="18"/>
                <w:color w:val="auto"/>
              </w:rPr>
              <w:t>Boston-</w:t>
            </w: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60" w:type="dxa"/>
            <w:vAlign w:val="bottom"/>
          </w:tcPr>
          <w:p>
            <w:pPr>
              <w:ind w:left="1020"/>
              <w:spacing w:after="0"/>
              <w:rPr>
                <w:sz w:val="20"/>
                <w:szCs w:val="20"/>
                <w:color w:val="auto"/>
              </w:rPr>
            </w:pPr>
            <w:r>
              <w:rPr>
                <w:rFonts w:ascii="Arial" w:cs="Arial" w:eastAsia="Arial" w:hAnsi="Arial"/>
                <w:sz w:val="18"/>
                <w:szCs w:val="18"/>
                <w:color w:val="auto"/>
              </w:rPr>
              <w:t>Victory</w:t>
            </w:r>
          </w:p>
        </w:tc>
        <w:tc>
          <w:tcPr>
            <w:tcW w:w="1620" w:type="dxa"/>
            <w:vAlign w:val="bottom"/>
          </w:tcPr>
          <w:p>
            <w:pPr>
              <w:ind w:left="180"/>
              <w:spacing w:after="0"/>
              <w:rPr>
                <w:sz w:val="20"/>
                <w:szCs w:val="20"/>
                <w:color w:val="auto"/>
              </w:rPr>
            </w:pPr>
            <w:r>
              <w:rPr>
                <w:rFonts w:ascii="Arial" w:cs="Arial" w:eastAsia="Arial" w:hAnsi="Arial"/>
                <w:sz w:val="18"/>
                <w:szCs w:val="18"/>
                <w:color w:val="auto"/>
              </w:rPr>
              <w:t>TJ Maxx</w:t>
            </w:r>
          </w:p>
        </w:tc>
      </w:tr>
      <w:tr>
        <w:trPr>
          <w:trHeight w:val="216"/>
        </w:trPr>
        <w:tc>
          <w:tcPr>
            <w:tcW w:w="144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Worcester-</w:t>
            </w: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60" w:type="dxa"/>
            <w:vAlign w:val="bottom"/>
          </w:tcPr>
          <w:p>
            <w:pPr>
              <w:ind w:left="1020"/>
              <w:spacing w:after="0"/>
              <w:rPr>
                <w:sz w:val="20"/>
                <w:szCs w:val="20"/>
                <w:color w:val="auto"/>
              </w:rPr>
            </w:pPr>
            <w:r>
              <w:rPr>
                <w:rFonts w:ascii="Arial" w:cs="Arial" w:eastAsia="Arial" w:hAnsi="Arial"/>
                <w:sz w:val="18"/>
                <w:szCs w:val="18"/>
                <w:color w:val="auto"/>
              </w:rPr>
              <w:t>Supermarket</w:t>
            </w:r>
          </w:p>
        </w:tc>
        <w:tc>
          <w:tcPr>
            <w:tcW w:w="162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Lawrence-</w:t>
            </w: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Lowell-</w:t>
            </w: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22"/>
        </w:trPr>
        <w:tc>
          <w:tcPr>
            <w:tcW w:w="1440" w:type="dxa"/>
            <w:vAlign w:val="bottom"/>
          </w:tcPr>
          <w:p>
            <w:pPr>
              <w:spacing w:after="0"/>
              <w:rPr>
                <w:sz w:val="19"/>
                <w:szCs w:val="19"/>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Brockton, MA</w:t>
            </w:r>
          </w:p>
        </w:tc>
        <w:tc>
          <w:tcPr>
            <w:tcW w:w="660" w:type="dxa"/>
            <w:vAlign w:val="bottom"/>
          </w:tcPr>
          <w:p>
            <w:pPr>
              <w:jc w:val="right"/>
              <w:spacing w:after="0"/>
              <w:rPr>
                <w:sz w:val="20"/>
                <w:szCs w:val="20"/>
                <w:color w:val="auto"/>
              </w:rPr>
            </w:pPr>
            <w:r>
              <w:rPr>
                <w:rFonts w:ascii="Arial" w:cs="Arial" w:eastAsia="Arial" w:hAnsi="Arial"/>
                <w:sz w:val="18"/>
                <w:szCs w:val="18"/>
                <w:color w:val="auto"/>
              </w:rPr>
              <w:t>1994</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14,805</w:t>
            </w:r>
          </w:p>
        </w:tc>
        <w:tc>
          <w:tcPr>
            <w:tcW w:w="940" w:type="dxa"/>
            <w:vAlign w:val="bottom"/>
          </w:tcPr>
          <w:p>
            <w:pPr>
              <w:jc w:val="right"/>
              <w:spacing w:after="0"/>
              <w:rPr>
                <w:sz w:val="20"/>
                <w:szCs w:val="20"/>
                <w:color w:val="auto"/>
              </w:rPr>
            </w:pPr>
            <w:r>
              <w:rPr>
                <w:rFonts w:ascii="Arial" w:cs="Arial" w:eastAsia="Arial" w:hAnsi="Arial"/>
                <w:sz w:val="18"/>
                <w:szCs w:val="18"/>
                <w:color w:val="auto"/>
              </w:rPr>
              <w:t>100.0%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149,000</w:t>
            </w:r>
          </w:p>
        </w:tc>
        <w:tc>
          <w:tcPr>
            <w:tcW w:w="1280" w:type="dxa"/>
            <w:vAlign w:val="bottom"/>
            <w:gridSpan w:val="3"/>
          </w:tcPr>
          <w:p>
            <w:pPr>
              <w:jc w:val="right"/>
              <w:ind w:right="480"/>
              <w:spacing w:after="0"/>
              <w:rPr>
                <w:sz w:val="20"/>
                <w:szCs w:val="20"/>
                <w:color w:val="auto"/>
              </w:rPr>
            </w:pPr>
            <w:r>
              <w:rPr>
                <w:rFonts w:ascii="Arial" w:cs="Arial" w:eastAsia="Arial" w:hAnsi="Arial"/>
                <w:sz w:val="18"/>
                <w:szCs w:val="18"/>
                <w:color w:val="auto"/>
              </w:rPr>
              <w:t>100%</w:t>
            </w:r>
          </w:p>
        </w:tc>
        <w:tc>
          <w:tcPr>
            <w:tcW w:w="2160" w:type="dxa"/>
            <w:vAlign w:val="bottom"/>
          </w:tcPr>
          <w:p>
            <w:pPr>
              <w:ind w:left="480"/>
              <w:spacing w:after="0"/>
              <w:rPr>
                <w:sz w:val="20"/>
                <w:szCs w:val="20"/>
                <w:color w:val="auto"/>
              </w:rPr>
            </w:pPr>
            <w:r>
              <w:rPr>
                <w:rFonts w:ascii="Arial" w:cs="Arial" w:eastAsia="Arial" w:hAnsi="Arial"/>
                <w:sz w:val="18"/>
                <w:szCs w:val="18"/>
                <w:color w:val="auto"/>
              </w:rPr>
              <w:t>50,000</w:t>
            </w:r>
          </w:p>
        </w:tc>
        <w:tc>
          <w:tcPr>
            <w:tcW w:w="1620" w:type="dxa"/>
            <w:vAlign w:val="bottom"/>
          </w:tcPr>
          <w:p>
            <w:pPr>
              <w:spacing w:after="0"/>
              <w:rPr>
                <w:sz w:val="19"/>
                <w:szCs w:val="19"/>
                <w:color w:val="auto"/>
              </w:rPr>
            </w:pPr>
          </w:p>
        </w:tc>
      </w:tr>
      <w:tr>
        <w:trPr>
          <w:trHeight w:val="210"/>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Saugus Plaza</w:t>
            </w:r>
          </w:p>
        </w:tc>
        <w:tc>
          <w:tcPr>
            <w:tcW w:w="1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Boston-</w:t>
            </w: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16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Super Stop &amp;</w:t>
            </w:r>
          </w:p>
        </w:tc>
        <w:tc>
          <w:tcPr>
            <w:tcW w:w="1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Kmart</w:t>
            </w:r>
          </w:p>
        </w:tc>
      </w:tr>
      <w:tr>
        <w:trPr>
          <w:trHeight w:val="216"/>
        </w:trPr>
        <w:tc>
          <w:tcPr>
            <w:tcW w:w="1440" w:type="dxa"/>
            <w:vAlign w:val="bottom"/>
            <w:shd w:val="clear" w:color="auto" w:fill="CCEEFF"/>
          </w:tcPr>
          <w:p>
            <w:pPr>
              <w:spacing w:after="0"/>
              <w:rPr>
                <w:sz w:val="18"/>
                <w:szCs w:val="18"/>
                <w:color w:val="auto"/>
              </w:rPr>
            </w:pPr>
          </w:p>
        </w:tc>
        <w:tc>
          <w:tcPr>
            <w:tcW w:w="1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Worcester-</w:t>
            </w: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16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Shop</w:t>
            </w:r>
          </w:p>
        </w:tc>
        <w:tc>
          <w:tcPr>
            <w:tcW w:w="1620" w:type="dxa"/>
            <w:vAlign w:val="bottom"/>
            <w:shd w:val="clear" w:color="auto" w:fill="CCEEFF"/>
          </w:tcPr>
          <w:p>
            <w:pPr>
              <w:spacing w:after="0"/>
              <w:rPr>
                <w:sz w:val="18"/>
                <w:szCs w:val="18"/>
                <w:color w:val="auto"/>
              </w:rPr>
            </w:pPr>
          </w:p>
        </w:tc>
      </w:tr>
      <w:tr>
        <w:trPr>
          <w:trHeight w:val="216"/>
        </w:trPr>
        <w:tc>
          <w:tcPr>
            <w:tcW w:w="1440" w:type="dxa"/>
            <w:vAlign w:val="bottom"/>
            <w:shd w:val="clear" w:color="auto" w:fill="CCEEFF"/>
          </w:tcPr>
          <w:p>
            <w:pPr>
              <w:spacing w:after="0"/>
              <w:rPr>
                <w:sz w:val="18"/>
                <w:szCs w:val="18"/>
                <w:color w:val="auto"/>
              </w:rPr>
            </w:pPr>
          </w:p>
        </w:tc>
        <w:tc>
          <w:tcPr>
            <w:tcW w:w="1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Lawrence-</w:t>
            </w: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1440" w:type="dxa"/>
            <w:vAlign w:val="bottom"/>
            <w:shd w:val="clear" w:color="auto" w:fill="CCEEFF"/>
          </w:tcPr>
          <w:p>
            <w:pPr>
              <w:spacing w:after="0"/>
              <w:rPr>
                <w:sz w:val="18"/>
                <w:szCs w:val="18"/>
                <w:color w:val="auto"/>
              </w:rPr>
            </w:pPr>
          </w:p>
        </w:tc>
        <w:tc>
          <w:tcPr>
            <w:tcW w:w="1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Lowell-</w:t>
            </w: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24"/>
        </w:trPr>
        <w:tc>
          <w:tcPr>
            <w:tcW w:w="1440" w:type="dxa"/>
            <w:vAlign w:val="bottom"/>
            <w:shd w:val="clear" w:color="auto" w:fill="CCEEFF"/>
          </w:tcPr>
          <w:p>
            <w:pPr>
              <w:spacing w:after="0"/>
              <w:rPr>
                <w:sz w:val="19"/>
                <w:szCs w:val="19"/>
                <w:color w:val="auto"/>
              </w:rPr>
            </w:pPr>
          </w:p>
        </w:tc>
        <w:tc>
          <w:tcPr>
            <w:tcW w:w="1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Brockton, MA</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13,429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171,000</w:t>
            </w:r>
          </w:p>
        </w:tc>
        <w:tc>
          <w:tcPr>
            <w:tcW w:w="12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100%</w:t>
            </w:r>
          </w:p>
        </w:tc>
        <w:tc>
          <w:tcPr>
            <w:tcW w:w="2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55,000</w:t>
            </w:r>
          </w:p>
        </w:tc>
        <w:tc>
          <w:tcPr>
            <w:tcW w:w="1620" w:type="dxa"/>
            <w:vAlign w:val="bottom"/>
            <w:shd w:val="clear" w:color="auto" w:fill="CCEEFF"/>
          </w:tcPr>
          <w:p>
            <w:pPr>
              <w:spacing w:after="0"/>
              <w:rPr>
                <w:sz w:val="19"/>
                <w:szCs w:val="19"/>
                <w:color w:val="auto"/>
              </w:rPr>
            </w:pPr>
          </w:p>
        </w:tc>
      </w:tr>
      <w:tr>
        <w:trPr>
          <w:trHeight w:val="208"/>
        </w:trPr>
        <w:tc>
          <w:tcPr>
            <w:tcW w:w="1440" w:type="dxa"/>
            <w:vAlign w:val="bottom"/>
          </w:tcPr>
          <w:p>
            <w:pPr>
              <w:spacing w:after="0"/>
              <w:rPr>
                <w:sz w:val="20"/>
                <w:szCs w:val="20"/>
                <w:color w:val="auto"/>
              </w:rPr>
            </w:pPr>
            <w:r>
              <w:rPr>
                <w:rFonts w:ascii="Arial" w:cs="Arial" w:eastAsia="Arial" w:hAnsi="Arial"/>
                <w:sz w:val="18"/>
                <w:szCs w:val="18"/>
                <w:color w:val="auto"/>
              </w:rPr>
              <w:t>Shaw’s Plaza</w:t>
            </w:r>
          </w:p>
        </w:tc>
        <w:tc>
          <w:tcPr>
            <w:tcW w:w="1360" w:type="dxa"/>
            <w:vAlign w:val="bottom"/>
          </w:tcPr>
          <w:p>
            <w:pPr>
              <w:ind w:left="100"/>
              <w:spacing w:after="0"/>
              <w:rPr>
                <w:sz w:val="20"/>
                <w:szCs w:val="20"/>
                <w:color w:val="auto"/>
              </w:rPr>
            </w:pPr>
            <w:r>
              <w:rPr>
                <w:rFonts w:ascii="Arial" w:cs="Arial" w:eastAsia="Arial" w:hAnsi="Arial"/>
                <w:sz w:val="18"/>
                <w:szCs w:val="18"/>
                <w:color w:val="auto"/>
              </w:rPr>
              <w:t>Boston-</w:t>
            </w: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60" w:type="dxa"/>
            <w:vAlign w:val="bottom"/>
          </w:tcPr>
          <w:p>
            <w:pPr>
              <w:ind w:left="1020"/>
              <w:spacing w:after="0"/>
              <w:rPr>
                <w:sz w:val="20"/>
                <w:szCs w:val="20"/>
                <w:color w:val="auto"/>
              </w:rPr>
            </w:pPr>
            <w:r>
              <w:rPr>
                <w:rFonts w:ascii="Arial" w:cs="Arial" w:eastAsia="Arial" w:hAnsi="Arial"/>
                <w:sz w:val="18"/>
                <w:szCs w:val="18"/>
                <w:color w:val="auto"/>
              </w:rPr>
              <w:t>Shaw’s</w:t>
            </w:r>
          </w:p>
        </w:tc>
        <w:tc>
          <w:tcPr>
            <w:tcW w:w="162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Worcester-</w:t>
            </w: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60" w:type="dxa"/>
            <w:vAlign w:val="bottom"/>
          </w:tcPr>
          <w:p>
            <w:pPr>
              <w:ind w:left="1020"/>
              <w:spacing w:after="0"/>
              <w:rPr>
                <w:sz w:val="20"/>
                <w:szCs w:val="20"/>
                <w:color w:val="auto"/>
              </w:rPr>
            </w:pPr>
            <w:r>
              <w:rPr>
                <w:rFonts w:ascii="Arial" w:cs="Arial" w:eastAsia="Arial" w:hAnsi="Arial"/>
                <w:sz w:val="18"/>
                <w:szCs w:val="18"/>
                <w:color w:val="auto"/>
              </w:rPr>
              <w:t>Supermarket</w:t>
            </w:r>
          </w:p>
        </w:tc>
        <w:tc>
          <w:tcPr>
            <w:tcW w:w="162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Lawrence-</w:t>
            </w: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Lowell-</w:t>
            </w: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22"/>
        </w:trPr>
        <w:tc>
          <w:tcPr>
            <w:tcW w:w="1440" w:type="dxa"/>
            <w:vAlign w:val="bottom"/>
          </w:tcPr>
          <w:p>
            <w:pPr>
              <w:spacing w:after="0"/>
              <w:rPr>
                <w:sz w:val="19"/>
                <w:szCs w:val="19"/>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Brockton, MA</w:t>
            </w:r>
          </w:p>
        </w:tc>
        <w:tc>
          <w:tcPr>
            <w:tcW w:w="660" w:type="dxa"/>
            <w:vAlign w:val="bottom"/>
          </w:tcPr>
          <w:p>
            <w:pPr>
              <w:jc w:val="right"/>
              <w:spacing w:after="0"/>
              <w:rPr>
                <w:sz w:val="20"/>
                <w:szCs w:val="20"/>
                <w:color w:val="auto"/>
              </w:rPr>
            </w:pPr>
            <w:r>
              <w:rPr>
                <w:rFonts w:ascii="Arial" w:cs="Arial" w:eastAsia="Arial" w:hAnsi="Arial"/>
                <w:sz w:val="18"/>
                <w:szCs w:val="18"/>
                <w:color w:val="auto"/>
              </w:rPr>
              <w:t>2004</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4,023</w:t>
            </w:r>
          </w:p>
        </w:tc>
        <w:tc>
          <w:tcPr>
            <w:tcW w:w="940" w:type="dxa"/>
            <w:vAlign w:val="bottom"/>
          </w:tcPr>
          <w:p>
            <w:pPr>
              <w:jc w:val="right"/>
              <w:spacing w:after="0"/>
              <w:rPr>
                <w:sz w:val="20"/>
                <w:szCs w:val="20"/>
                <w:color w:val="auto"/>
              </w:rPr>
            </w:pPr>
            <w:r>
              <w:rPr>
                <w:rFonts w:ascii="Arial" w:cs="Arial" w:eastAsia="Arial" w:hAnsi="Arial"/>
                <w:sz w:val="18"/>
                <w:szCs w:val="18"/>
                <w:color w:val="auto"/>
              </w:rPr>
              <w:t>100.0%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75,000</w:t>
            </w:r>
          </w:p>
        </w:tc>
        <w:tc>
          <w:tcPr>
            <w:tcW w:w="1280" w:type="dxa"/>
            <w:vAlign w:val="bottom"/>
            <w:gridSpan w:val="3"/>
          </w:tcPr>
          <w:p>
            <w:pPr>
              <w:jc w:val="right"/>
              <w:ind w:right="480"/>
              <w:spacing w:after="0"/>
              <w:rPr>
                <w:sz w:val="20"/>
                <w:szCs w:val="20"/>
                <w:color w:val="auto"/>
              </w:rPr>
            </w:pPr>
            <w:r>
              <w:rPr>
                <w:rFonts w:ascii="Arial" w:cs="Arial" w:eastAsia="Arial" w:hAnsi="Arial"/>
                <w:sz w:val="18"/>
                <w:szCs w:val="18"/>
                <w:color w:val="auto"/>
              </w:rPr>
              <w:t>93%</w:t>
            </w:r>
          </w:p>
        </w:tc>
        <w:tc>
          <w:tcPr>
            <w:tcW w:w="2160" w:type="dxa"/>
            <w:vAlign w:val="bottom"/>
          </w:tcPr>
          <w:p>
            <w:pPr>
              <w:ind w:left="480"/>
              <w:spacing w:after="0"/>
              <w:rPr>
                <w:sz w:val="20"/>
                <w:szCs w:val="20"/>
                <w:color w:val="auto"/>
              </w:rPr>
            </w:pPr>
            <w:r>
              <w:rPr>
                <w:rFonts w:ascii="Arial" w:cs="Arial" w:eastAsia="Arial" w:hAnsi="Arial"/>
                <w:sz w:val="18"/>
                <w:szCs w:val="18"/>
                <w:color w:val="auto"/>
              </w:rPr>
              <w:t>43,000</w:t>
            </w:r>
          </w:p>
        </w:tc>
        <w:tc>
          <w:tcPr>
            <w:tcW w:w="1620" w:type="dxa"/>
            <w:vAlign w:val="bottom"/>
          </w:tcPr>
          <w:p>
            <w:pPr>
              <w:spacing w:after="0"/>
              <w:rPr>
                <w:sz w:val="19"/>
                <w:szCs w:val="19"/>
                <w:color w:val="auto"/>
              </w:rPr>
            </w:pPr>
          </w:p>
        </w:tc>
      </w:tr>
      <w:tr>
        <w:trPr>
          <w:trHeight w:val="110"/>
        </w:trPr>
        <w:tc>
          <w:tcPr>
            <w:tcW w:w="14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620" w:type="dxa"/>
            <w:vAlign w:val="bottom"/>
          </w:tcPr>
          <w:p>
            <w:pPr>
              <w:spacing w:after="0"/>
              <w:rPr>
                <w:sz w:val="9"/>
                <w:szCs w:val="9"/>
                <w:color w:val="auto"/>
              </w:rPr>
            </w:pPr>
          </w:p>
        </w:tc>
      </w:tr>
      <w:tr>
        <w:trPr>
          <w:trHeight w:val="102"/>
        </w:trPr>
        <w:tc>
          <w:tcPr>
            <w:tcW w:w="14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620" w:type="dxa"/>
            <w:vAlign w:val="bottom"/>
          </w:tcPr>
          <w:p>
            <w:pPr>
              <w:spacing w:after="0"/>
              <w:rPr>
                <w:sz w:val="8"/>
                <w:szCs w:val="8"/>
                <w:color w:val="auto"/>
              </w:rPr>
            </w:pPr>
          </w:p>
        </w:tc>
      </w:tr>
      <w:tr>
        <w:trPr>
          <w:trHeight w:val="216"/>
        </w:trPr>
        <w:tc>
          <w:tcPr>
            <w:tcW w:w="1440" w:type="dxa"/>
            <w:vAlign w:val="bottom"/>
            <w:shd w:val="clear" w:color="auto" w:fill="CCEEFF"/>
          </w:tcPr>
          <w:p>
            <w:pPr>
              <w:spacing w:after="0"/>
              <w:rPr>
                <w:sz w:val="18"/>
                <w:szCs w:val="18"/>
                <w:color w:val="auto"/>
              </w:rPr>
            </w:pPr>
          </w:p>
        </w:tc>
        <w:tc>
          <w:tcPr>
            <w:tcW w:w="13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Total Boston</w:t>
            </w:r>
          </w:p>
        </w:tc>
        <w:tc>
          <w:tcPr>
            <w:tcW w:w="6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61,984</w:t>
            </w:r>
          </w:p>
        </w:tc>
        <w:tc>
          <w:tcPr>
            <w:tcW w:w="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638,000</w:t>
            </w:r>
          </w:p>
        </w:tc>
        <w:tc>
          <w:tcPr>
            <w:tcW w:w="12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98%</w:t>
            </w:r>
          </w:p>
        </w:tc>
        <w:tc>
          <w:tcPr>
            <w:tcW w:w="2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363"/>
        </w:trPr>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gridSpan w:val="2"/>
          </w:tcPr>
          <w:p>
            <w:pPr>
              <w:jc w:val="right"/>
              <w:ind w:right="560"/>
              <w:spacing w:after="0"/>
              <w:rPr>
                <w:sz w:val="20"/>
                <w:szCs w:val="20"/>
                <w:color w:val="auto"/>
              </w:rPr>
            </w:pPr>
            <w:r>
              <w:rPr>
                <w:rFonts w:ascii="Arial" w:cs="Arial" w:eastAsia="Arial" w:hAnsi="Arial"/>
                <w:sz w:val="18"/>
                <w:szCs w:val="18"/>
                <w:color w:val="auto"/>
                <w:w w:val="89"/>
              </w:rPr>
              <w:t>17</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1420"/>
          </w:cols>
          <w:pgMar w:left="240" w:top="131" w:right="239" w:bottom="1440" w:gutter="0" w:footer="0" w:header="0"/>
        </w:sectPr>
      </w:pPr>
    </w:p>
    <w:bookmarkStart w:id="26" w:name="page27"/>
    <w:bookmarkEnd w:id="26"/>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Status Report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Mortgage or</w:t>
            </w:r>
          </w:p>
        </w:tc>
        <w:tc>
          <w:tcPr>
            <w:tcW w:w="6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4"/>
                <w:szCs w:val="14"/>
                <w:b w:val="1"/>
                <w:bCs w:val="1"/>
                <w:color w:val="auto"/>
                <w:w w:val="85"/>
              </w:rPr>
              <w:t>Grocery</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Year</w:t>
            </w:r>
          </w:p>
        </w:tc>
        <w:tc>
          <w:tcPr>
            <w:tcW w:w="8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Total</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5"/>
              </w:rPr>
              <w:t>Ownership</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Capital Lease</w:t>
            </w:r>
          </w:p>
        </w:tc>
        <w:tc>
          <w:tcPr>
            <w:tcW w:w="60" w:type="dxa"/>
            <w:vAlign w:val="bottom"/>
          </w:tcPr>
          <w:p>
            <w:pPr>
              <w:spacing w:after="0"/>
              <w:rPr>
                <w:sz w:val="12"/>
                <w:szCs w:val="12"/>
                <w:color w:val="auto"/>
              </w:rPr>
            </w:pPr>
          </w:p>
        </w:tc>
        <w:tc>
          <w:tcPr>
            <w:tcW w:w="48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89"/>
              </w:rPr>
              <w:t>Anchor</w:t>
            </w:r>
          </w:p>
        </w:tc>
        <w:tc>
          <w:tcPr>
            <w:tcW w:w="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Grocery</w:t>
            </w: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00" w:type="dxa"/>
            <w:vAlign w:val="bottom"/>
            <w:gridSpan w:val="8"/>
          </w:tcPr>
          <w:p>
            <w:pPr>
              <w:spacing w:after="0"/>
              <w:rPr>
                <w:sz w:val="20"/>
                <w:szCs w:val="20"/>
                <w:color w:val="auto"/>
              </w:rPr>
            </w:pPr>
            <w:r>
              <w:rPr>
                <w:rFonts w:ascii="Arial" w:cs="Arial" w:eastAsia="Arial" w:hAnsi="Arial"/>
                <w:sz w:val="14"/>
                <w:szCs w:val="14"/>
                <w:b w:val="1"/>
                <w:bCs w:val="1"/>
                <w:color w:val="auto"/>
              </w:rPr>
              <w:t>Property Name</w:t>
            </w:r>
          </w:p>
        </w:tc>
        <w:tc>
          <w:tcPr>
            <w:tcW w:w="1560" w:type="dxa"/>
            <w:vAlign w:val="bottom"/>
            <w:gridSpan w:val="2"/>
          </w:tcPr>
          <w:p>
            <w:pPr>
              <w:ind w:left="380"/>
              <w:spacing w:after="0"/>
              <w:rPr>
                <w:sz w:val="20"/>
                <w:szCs w:val="20"/>
                <w:color w:val="auto"/>
              </w:rPr>
            </w:pPr>
            <w:r>
              <w:rPr>
                <w:rFonts w:ascii="Arial" w:cs="Arial" w:eastAsia="Arial" w:hAnsi="Arial"/>
                <w:sz w:val="14"/>
                <w:szCs w:val="14"/>
                <w:b w:val="1"/>
                <w:bCs w:val="1"/>
                <w:color w:val="auto"/>
              </w:rPr>
              <w:t>MSA Description</w:t>
            </w:r>
          </w:p>
        </w:tc>
        <w:tc>
          <w:tcPr>
            <w:tcW w:w="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5"/>
              </w:rPr>
              <w:t>Acquired</w:t>
            </w:r>
          </w:p>
        </w:tc>
        <w:tc>
          <w:tcPr>
            <w:tcW w:w="80" w:type="dxa"/>
            <w:vAlign w:val="bottom"/>
          </w:tcPr>
          <w:p>
            <w:pPr>
              <w:spacing w:after="0"/>
              <w:rPr>
                <w:sz w:val="15"/>
                <w:szCs w:val="15"/>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Investment</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2"/>
              </w:rPr>
              <w:t>Percentage</w:t>
            </w:r>
          </w:p>
        </w:tc>
        <w:tc>
          <w:tcPr>
            <w:tcW w:w="780" w:type="dxa"/>
            <w:vAlign w:val="bottom"/>
          </w:tcPr>
          <w:p>
            <w:pPr>
              <w:jc w:val="right"/>
              <w:ind w:right="53"/>
              <w:spacing w:after="0"/>
              <w:rPr>
                <w:sz w:val="20"/>
                <w:szCs w:val="20"/>
                <w:color w:val="auto"/>
              </w:rPr>
            </w:pPr>
            <w:r>
              <w:rPr>
                <w:rFonts w:ascii="Arial" w:cs="Arial" w:eastAsia="Arial" w:hAnsi="Arial"/>
                <w:sz w:val="14"/>
                <w:szCs w:val="14"/>
                <w:b w:val="1"/>
                <w:bCs w:val="1"/>
                <w:color w:val="auto"/>
              </w:rPr>
              <w:t>GLA (1)</w:t>
            </w:r>
          </w:p>
        </w:tc>
        <w:tc>
          <w:tcPr>
            <w:tcW w:w="8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6"/>
              </w:rPr>
              <w:t>% Leased</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Obligation</w:t>
            </w:r>
          </w:p>
        </w:tc>
        <w:tc>
          <w:tcPr>
            <w:tcW w:w="60" w:type="dxa"/>
            <w:vAlign w:val="bottom"/>
          </w:tcPr>
          <w:p>
            <w:pPr>
              <w:spacing w:after="0"/>
              <w:rPr>
                <w:sz w:val="15"/>
                <w:szCs w:val="15"/>
                <w:color w:val="auto"/>
              </w:rPr>
            </w:pPr>
          </w:p>
        </w:tc>
        <w:tc>
          <w:tcPr>
            <w:tcW w:w="480" w:type="dxa"/>
            <w:vAlign w:val="bottom"/>
          </w:tcPr>
          <w:p>
            <w:pPr>
              <w:spacing w:after="0"/>
              <w:rPr>
                <w:sz w:val="20"/>
                <w:szCs w:val="20"/>
                <w:color w:val="auto"/>
              </w:rPr>
            </w:pPr>
            <w:r>
              <w:rPr>
                <w:rFonts w:ascii="Arial" w:cs="Arial" w:eastAsia="Arial" w:hAnsi="Arial"/>
                <w:sz w:val="14"/>
                <w:szCs w:val="14"/>
                <w:b w:val="1"/>
                <w:bCs w:val="1"/>
                <w:color w:val="auto"/>
                <w:w w:val="90"/>
              </w:rPr>
              <w:t>GLA (2)</w:t>
            </w:r>
          </w:p>
        </w:tc>
        <w:tc>
          <w:tcPr>
            <w:tcW w:w="8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Anchor (2)</w:t>
            </w:r>
          </w:p>
        </w:tc>
        <w:tc>
          <w:tcPr>
            <w:tcW w:w="80" w:type="dxa"/>
            <w:vAlign w:val="bottom"/>
          </w:tcPr>
          <w:p>
            <w:pPr>
              <w:spacing w:after="0"/>
              <w:rPr>
                <w:sz w:val="15"/>
                <w:szCs w:val="15"/>
                <w:color w:val="auto"/>
              </w:rPr>
            </w:pPr>
          </w:p>
        </w:tc>
        <w:tc>
          <w:tcPr>
            <w:tcW w:w="1400" w:type="dxa"/>
            <w:vAlign w:val="bottom"/>
          </w:tcPr>
          <w:p>
            <w:pPr>
              <w:spacing w:after="0"/>
              <w:rPr>
                <w:sz w:val="20"/>
                <w:szCs w:val="20"/>
                <w:color w:val="auto"/>
              </w:rPr>
            </w:pPr>
            <w:r>
              <w:rPr>
                <w:rFonts w:ascii="Arial" w:cs="Arial" w:eastAsia="Arial" w:hAnsi="Arial"/>
                <w:sz w:val="14"/>
                <w:szCs w:val="14"/>
                <w:b w:val="1"/>
                <w:bCs w:val="1"/>
                <w:color w:val="auto"/>
                <w:w w:val="87"/>
              </w:rPr>
              <w:t>Other Principal Tenants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4"/>
              </w:rPr>
              <w:t>(in thousands)</w:t>
            </w: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8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Chicago</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1980" w:type="dxa"/>
            <w:vAlign w:val="bottom"/>
            <w:gridSpan w:val="7"/>
          </w:tcPr>
          <w:p>
            <w:pPr>
              <w:spacing w:after="0"/>
              <w:rPr>
                <w:sz w:val="20"/>
                <w:szCs w:val="20"/>
                <w:color w:val="auto"/>
              </w:rPr>
            </w:pPr>
            <w:r>
              <w:rPr>
                <w:rFonts w:ascii="Arial" w:cs="Arial" w:eastAsia="Arial" w:hAnsi="Arial"/>
                <w:sz w:val="18"/>
                <w:szCs w:val="18"/>
                <w:color w:val="auto"/>
              </w:rPr>
              <w:t>Crossroads</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Comp USA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w w:val="95"/>
              </w:rPr>
              <w:t>/Golfsmith / Guitar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gridSpan w:val="2"/>
          </w:tcPr>
          <w:p>
            <w:pPr>
              <w:ind w:left="380"/>
              <w:spacing w:after="0"/>
              <w:rPr>
                <w:sz w:val="20"/>
                <w:szCs w:val="20"/>
                <w:color w:val="auto"/>
              </w:rPr>
            </w:pPr>
            <w:r>
              <w:rPr>
                <w:rFonts w:ascii="Arial" w:cs="Arial" w:eastAsia="Arial" w:hAnsi="Arial"/>
                <w:sz w:val="18"/>
                <w:szCs w:val="18"/>
                <w:color w:val="auto"/>
              </w:rPr>
              <w:t>Chicago, IL</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1993</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22,285</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780" w:type="dxa"/>
            <w:vAlign w:val="bottom"/>
          </w:tcPr>
          <w:p>
            <w:pPr>
              <w:jc w:val="right"/>
              <w:spacing w:after="0"/>
              <w:rPr>
                <w:sz w:val="20"/>
                <w:szCs w:val="20"/>
                <w:color w:val="auto"/>
              </w:rPr>
            </w:pPr>
            <w:r>
              <w:rPr>
                <w:rFonts w:ascii="Arial" w:cs="Arial" w:eastAsia="Arial" w:hAnsi="Arial"/>
                <w:sz w:val="18"/>
                <w:szCs w:val="18"/>
                <w:color w:val="auto"/>
              </w:rPr>
              <w:t>173,000</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97%</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Center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Finley Square</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Bed, Bath &amp;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Beyond / Sports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Chicago, IL</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28,886</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313,000</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Authority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7"/>
          </w:tcPr>
          <w:p>
            <w:pPr>
              <w:spacing w:after="0"/>
              <w:rPr>
                <w:sz w:val="20"/>
                <w:szCs w:val="20"/>
                <w:color w:val="auto"/>
              </w:rPr>
            </w:pPr>
            <w:r>
              <w:rPr>
                <w:rFonts w:ascii="Arial" w:cs="Arial" w:eastAsia="Arial" w:hAnsi="Arial"/>
                <w:sz w:val="18"/>
                <w:szCs w:val="18"/>
                <w:color w:val="auto"/>
              </w:rPr>
              <w:t>Garden Market</w:t>
            </w:r>
          </w:p>
        </w:tc>
        <w:tc>
          <w:tcPr>
            <w:tcW w:w="1560" w:type="dxa"/>
            <w:vAlign w:val="bottom"/>
            <w:gridSpan w:val="2"/>
          </w:tcPr>
          <w:p>
            <w:pPr>
              <w:ind w:left="380"/>
              <w:spacing w:after="0"/>
              <w:rPr>
                <w:sz w:val="20"/>
                <w:szCs w:val="20"/>
                <w:color w:val="auto"/>
              </w:rPr>
            </w:pPr>
            <w:r>
              <w:rPr>
                <w:rFonts w:ascii="Arial" w:cs="Arial" w:eastAsia="Arial" w:hAnsi="Arial"/>
                <w:sz w:val="18"/>
                <w:szCs w:val="18"/>
                <w:color w:val="auto"/>
              </w:rPr>
              <w:t>Chicago, IL</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1994</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11,164</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780" w:type="dxa"/>
            <w:vAlign w:val="bottom"/>
          </w:tcPr>
          <w:p>
            <w:pPr>
              <w:jc w:val="right"/>
              <w:spacing w:after="0"/>
              <w:rPr>
                <w:sz w:val="20"/>
                <w:szCs w:val="20"/>
                <w:color w:val="auto"/>
              </w:rPr>
            </w:pPr>
            <w:r>
              <w:rPr>
                <w:rFonts w:ascii="Arial" w:cs="Arial" w:eastAsia="Arial" w:hAnsi="Arial"/>
                <w:sz w:val="18"/>
                <w:szCs w:val="18"/>
                <w:color w:val="auto"/>
              </w:rPr>
              <w:t>140,000</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100%</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w w:val="93"/>
              </w:rPr>
              <w:t>63,000 Dominick’s</w:t>
            </w: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Walgreens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North Lake Commons</w:t>
            </w: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Chicago, IL</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13,042</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129,000</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93%</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77,000 Dominick’s</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w w:val="97"/>
              </w:rPr>
              <w:t>Total Chicago</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75,377</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755,000</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98%</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000" w:type="dxa"/>
            <w:vAlign w:val="bottom"/>
            <w:gridSpan w:val="8"/>
          </w:tcPr>
          <w:p>
            <w:pPr>
              <w:spacing w:after="0"/>
              <w:rPr>
                <w:sz w:val="20"/>
                <w:szCs w:val="20"/>
                <w:color w:val="auto"/>
              </w:rPr>
            </w:pPr>
            <w:r>
              <w:rPr>
                <w:rFonts w:ascii="Arial" w:cs="Arial" w:eastAsia="Arial" w:hAnsi="Arial"/>
                <w:sz w:val="18"/>
                <w:szCs w:val="18"/>
                <w:b w:val="1"/>
                <w:bCs w:val="1"/>
                <w:color w:val="auto"/>
              </w:rPr>
              <w:t>East Region - Other</w:t>
            </w: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198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Governor Plaza</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Bally’s / Comp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USA / Office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Baltimore, MD</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18,913</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269,000</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80%</w:t>
            </w: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Depot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80" w:type="dxa"/>
            <w:vAlign w:val="bottom"/>
            <w:gridSpan w:val="7"/>
          </w:tcPr>
          <w:p>
            <w:pPr>
              <w:spacing w:after="0"/>
              <w:rPr>
                <w:sz w:val="20"/>
                <w:szCs w:val="20"/>
                <w:color w:val="auto"/>
              </w:rPr>
            </w:pPr>
            <w:r>
              <w:rPr>
                <w:rFonts w:ascii="Arial" w:cs="Arial" w:eastAsia="Arial" w:hAnsi="Arial"/>
                <w:sz w:val="18"/>
                <w:szCs w:val="18"/>
                <w:color w:val="auto"/>
              </w:rPr>
              <w:t>Perring Plaza</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Home Depot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color w:val="auto"/>
              </w:rPr>
              <w:t>Shoppers</w:t>
            </w: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Burlington Coat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color w:val="auto"/>
              </w:rPr>
              <w:t>Food</w:t>
            </w: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Factory / Jo-Ann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gridSpan w:val="2"/>
          </w:tcPr>
          <w:p>
            <w:pPr>
              <w:ind w:left="380"/>
              <w:spacing w:after="0"/>
              <w:rPr>
                <w:sz w:val="20"/>
                <w:szCs w:val="20"/>
                <w:color w:val="auto"/>
              </w:rPr>
            </w:pPr>
            <w:r>
              <w:rPr>
                <w:rFonts w:ascii="Arial" w:cs="Arial" w:eastAsia="Arial" w:hAnsi="Arial"/>
                <w:sz w:val="18"/>
                <w:szCs w:val="18"/>
                <w:color w:val="auto"/>
              </w:rPr>
              <w:t>Baltimore, MD</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1985</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26,075</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99.9%</w:t>
            </w:r>
          </w:p>
        </w:tc>
        <w:tc>
          <w:tcPr>
            <w:tcW w:w="780" w:type="dxa"/>
            <w:vAlign w:val="bottom"/>
          </w:tcPr>
          <w:p>
            <w:pPr>
              <w:jc w:val="right"/>
              <w:spacing w:after="0"/>
              <w:rPr>
                <w:sz w:val="20"/>
                <w:szCs w:val="20"/>
                <w:color w:val="auto"/>
              </w:rPr>
            </w:pPr>
            <w:r>
              <w:rPr>
                <w:rFonts w:ascii="Arial" w:cs="Arial" w:eastAsia="Arial" w:hAnsi="Arial"/>
                <w:sz w:val="18"/>
                <w:szCs w:val="18"/>
                <w:color w:val="auto"/>
              </w:rPr>
              <w:t>401,000</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97%</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w w:val="90"/>
              </w:rPr>
              <w:t>58,000 Warehouse</w:t>
            </w: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Stores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Barracks Road</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Harris</w:t>
            </w: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Bed, Bath &amp;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8"/>
              </w:rPr>
              <w:t>Charlottesville,</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Teeter</w:t>
            </w: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1"/>
              </w:rPr>
              <w:t>Beyond / Barnes &amp;</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VA</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40,221</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483,000</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99%</w:t>
            </w:r>
          </w:p>
        </w:tc>
        <w:tc>
          <w:tcPr>
            <w:tcW w:w="228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43,727 91,000 /Kroger</w:t>
            </w: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Noble / Old Navy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80" w:type="dxa"/>
            <w:vAlign w:val="bottom"/>
            <w:gridSpan w:val="7"/>
          </w:tcPr>
          <w:p>
            <w:pPr>
              <w:spacing w:after="0"/>
              <w:rPr>
                <w:sz w:val="20"/>
                <w:szCs w:val="20"/>
                <w:color w:val="auto"/>
              </w:rPr>
            </w:pPr>
            <w:r>
              <w:rPr>
                <w:rFonts w:ascii="Arial" w:cs="Arial" w:eastAsia="Arial" w:hAnsi="Arial"/>
                <w:sz w:val="18"/>
                <w:szCs w:val="18"/>
                <w:color w:val="auto"/>
              </w:rPr>
              <w:t>Gratiot Plaza</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Bed, Bath &amp;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color w:val="auto"/>
              </w:rPr>
              <w:t>Farmer</w:t>
            </w:r>
          </w:p>
        </w:tc>
        <w:tc>
          <w:tcPr>
            <w:tcW w:w="1480" w:type="dxa"/>
            <w:vAlign w:val="bottom"/>
            <w:gridSpan w:val="2"/>
          </w:tcPr>
          <w:p>
            <w:pPr>
              <w:ind w:left="80"/>
              <w:spacing w:after="0"/>
              <w:rPr>
                <w:sz w:val="20"/>
                <w:szCs w:val="20"/>
                <w:color w:val="auto"/>
              </w:rPr>
            </w:pPr>
            <w:r>
              <w:rPr>
                <w:rFonts w:ascii="Arial" w:cs="Arial" w:eastAsia="Arial" w:hAnsi="Arial"/>
                <w:sz w:val="18"/>
                <w:szCs w:val="18"/>
                <w:color w:val="auto"/>
                <w:w w:val="93"/>
              </w:rPr>
              <w:t>Beyond / Best Buy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gridSpan w:val="2"/>
          </w:tcPr>
          <w:p>
            <w:pPr>
              <w:ind w:left="380"/>
              <w:spacing w:after="0"/>
              <w:rPr>
                <w:sz w:val="20"/>
                <w:szCs w:val="20"/>
                <w:color w:val="auto"/>
              </w:rPr>
            </w:pPr>
            <w:r>
              <w:rPr>
                <w:rFonts w:ascii="Arial" w:cs="Arial" w:eastAsia="Arial" w:hAnsi="Arial"/>
                <w:sz w:val="18"/>
                <w:szCs w:val="18"/>
                <w:color w:val="auto"/>
              </w:rPr>
              <w:t>Detroit, MI</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1973</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18,016</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780" w:type="dxa"/>
            <w:vAlign w:val="bottom"/>
          </w:tcPr>
          <w:p>
            <w:pPr>
              <w:jc w:val="right"/>
              <w:spacing w:after="0"/>
              <w:rPr>
                <w:sz w:val="20"/>
                <w:szCs w:val="20"/>
                <w:color w:val="auto"/>
              </w:rPr>
            </w:pPr>
            <w:r>
              <w:rPr>
                <w:rFonts w:ascii="Arial" w:cs="Arial" w:eastAsia="Arial" w:hAnsi="Arial"/>
                <w:sz w:val="18"/>
                <w:szCs w:val="18"/>
                <w:color w:val="auto"/>
              </w:rPr>
              <w:t>217,000</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100%</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rPr>
              <w:t>69,000 Jack’s</w:t>
            </w: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 DSW</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Bristol Plaza</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Stop &amp;</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Hartford, CT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22,155</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277,000</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95%</w:t>
            </w: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74,000 Shop</w:t>
            </w: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TJ Maxx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7"/>
          </w:tcPr>
          <w:p>
            <w:pPr>
              <w:spacing w:after="0"/>
              <w:rPr>
                <w:sz w:val="20"/>
                <w:szCs w:val="20"/>
                <w:color w:val="auto"/>
              </w:rPr>
            </w:pPr>
            <w:r>
              <w:rPr>
                <w:rFonts w:ascii="Arial" w:cs="Arial" w:eastAsia="Arial" w:hAnsi="Arial"/>
                <w:sz w:val="18"/>
                <w:szCs w:val="18"/>
                <w:color w:val="auto"/>
              </w:rPr>
              <w:t>Lancaster</w:t>
            </w:r>
          </w:p>
        </w:tc>
        <w:tc>
          <w:tcPr>
            <w:tcW w:w="1560" w:type="dxa"/>
            <w:vAlign w:val="bottom"/>
            <w:gridSpan w:val="2"/>
          </w:tcPr>
          <w:p>
            <w:pPr>
              <w:ind w:left="380"/>
              <w:spacing w:after="0"/>
              <w:rPr>
                <w:sz w:val="20"/>
                <w:szCs w:val="20"/>
                <w:color w:val="auto"/>
              </w:rPr>
            </w:pPr>
            <w:r>
              <w:rPr>
                <w:rFonts w:ascii="Arial" w:cs="Arial" w:eastAsia="Arial" w:hAnsi="Arial"/>
                <w:sz w:val="18"/>
                <w:szCs w:val="18"/>
                <w:color w:val="auto"/>
              </w:rPr>
              <w:t>Lancaster, PA</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1980</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10,752</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780" w:type="dxa"/>
            <w:vAlign w:val="bottom"/>
          </w:tcPr>
          <w:p>
            <w:pPr>
              <w:jc w:val="right"/>
              <w:spacing w:after="0"/>
              <w:rPr>
                <w:sz w:val="20"/>
                <w:szCs w:val="20"/>
                <w:color w:val="auto"/>
              </w:rPr>
            </w:pPr>
            <w:r>
              <w:rPr>
                <w:rFonts w:ascii="Arial" w:cs="Arial" w:eastAsia="Arial" w:hAnsi="Arial"/>
                <w:sz w:val="18"/>
                <w:szCs w:val="18"/>
                <w:color w:val="auto"/>
              </w:rPr>
              <w:t>107,000</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100%</w:t>
            </w:r>
          </w:p>
        </w:tc>
        <w:tc>
          <w:tcPr>
            <w:tcW w:w="2280" w:type="dxa"/>
            <w:vAlign w:val="bottom"/>
            <w:gridSpan w:val="5"/>
          </w:tcPr>
          <w:p>
            <w:pPr>
              <w:ind w:left="420"/>
              <w:spacing w:after="0"/>
              <w:rPr>
                <w:sz w:val="20"/>
                <w:szCs w:val="20"/>
                <w:color w:val="auto"/>
              </w:rPr>
            </w:pPr>
            <w:r>
              <w:rPr>
                <w:rFonts w:ascii="Arial" w:cs="Arial" w:eastAsia="Arial" w:hAnsi="Arial"/>
                <w:sz w:val="18"/>
                <w:szCs w:val="18"/>
                <w:color w:val="auto"/>
                <w:w w:val="92"/>
              </w:rPr>
              <w:t>4,907 39,000 Giant Food</w:t>
            </w: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Michaels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8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Greenwich Avenue</w:t>
            </w: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New Haven-</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Bridgeport-</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Stamford-</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Waterbury</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15,996</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4"/>
              </w:rPr>
              <w:t>Saks Fifth Avenue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7"/>
          </w:tcPr>
          <w:p>
            <w:pPr>
              <w:spacing w:after="0"/>
              <w:rPr>
                <w:sz w:val="20"/>
                <w:szCs w:val="20"/>
                <w:color w:val="auto"/>
              </w:rPr>
            </w:pPr>
            <w:r>
              <w:rPr>
                <w:rFonts w:ascii="Arial" w:cs="Arial" w:eastAsia="Arial" w:hAnsi="Arial"/>
                <w:sz w:val="18"/>
                <w:szCs w:val="18"/>
                <w:color w:val="auto"/>
              </w:rPr>
              <w:t>Winter Park</w:t>
            </w:r>
          </w:p>
        </w:tc>
        <w:tc>
          <w:tcPr>
            <w:tcW w:w="1560" w:type="dxa"/>
            <w:vAlign w:val="bottom"/>
            <w:gridSpan w:val="2"/>
          </w:tcPr>
          <w:p>
            <w:pPr>
              <w:ind w:left="380"/>
              <w:spacing w:after="0"/>
              <w:rPr>
                <w:sz w:val="20"/>
                <w:szCs w:val="20"/>
                <w:color w:val="auto"/>
              </w:rPr>
            </w:pPr>
            <w:r>
              <w:rPr>
                <w:rFonts w:ascii="Arial" w:cs="Arial" w:eastAsia="Arial" w:hAnsi="Arial"/>
                <w:sz w:val="18"/>
                <w:szCs w:val="18"/>
                <w:color w:val="auto"/>
              </w:rPr>
              <w:t>Orlando, FL</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1996</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7,169</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780" w:type="dxa"/>
            <w:vAlign w:val="bottom"/>
          </w:tcPr>
          <w:p>
            <w:pPr>
              <w:jc w:val="right"/>
              <w:spacing w:after="0"/>
              <w:rPr>
                <w:sz w:val="20"/>
                <w:szCs w:val="20"/>
                <w:color w:val="auto"/>
              </w:rPr>
            </w:pPr>
            <w:r>
              <w:rPr>
                <w:rFonts w:ascii="Arial" w:cs="Arial" w:eastAsia="Arial" w:hAnsi="Arial"/>
                <w:sz w:val="18"/>
                <w:szCs w:val="18"/>
                <w:color w:val="auto"/>
              </w:rPr>
              <w:t>28,000</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100%</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8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Eastgate</w:t>
            </w: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Raleigh-</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1"/>
              </w:rPr>
              <w:t>Durham-Chapel</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Hill, NC</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16,714</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159,000</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86%</w:t>
            </w: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23,000 Earth Fare</w:t>
            </w: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Stein Mart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80" w:type="dxa"/>
            <w:vAlign w:val="bottom"/>
            <w:gridSpan w:val="7"/>
          </w:tcPr>
          <w:p>
            <w:pPr>
              <w:spacing w:after="0"/>
              <w:rPr>
                <w:sz w:val="20"/>
                <w:szCs w:val="20"/>
                <w:color w:val="auto"/>
              </w:rPr>
            </w:pPr>
            <w:r>
              <w:rPr>
                <w:rFonts w:ascii="Arial" w:cs="Arial" w:eastAsia="Arial" w:hAnsi="Arial"/>
                <w:sz w:val="18"/>
                <w:szCs w:val="18"/>
                <w:color w:val="auto"/>
              </w:rPr>
              <w:t>Shops at Willow Lawn</w:t>
            </w:r>
          </w:p>
        </w:tc>
        <w:tc>
          <w:tcPr>
            <w:tcW w:w="1560" w:type="dxa"/>
            <w:vAlign w:val="bottom"/>
            <w:gridSpan w:val="2"/>
          </w:tcPr>
          <w:p>
            <w:pPr>
              <w:ind w:left="380"/>
              <w:spacing w:after="0"/>
              <w:rPr>
                <w:sz w:val="20"/>
                <w:szCs w:val="20"/>
                <w:color w:val="auto"/>
              </w:rPr>
            </w:pPr>
            <w:r>
              <w:rPr>
                <w:rFonts w:ascii="Arial" w:cs="Arial" w:eastAsia="Arial" w:hAnsi="Arial"/>
                <w:sz w:val="18"/>
                <w:szCs w:val="18"/>
                <w:color w:val="auto"/>
              </w:rPr>
              <w:t>Richmond-</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w w:val="99"/>
              </w:rPr>
              <w:t>Old Navy / Tower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gridSpan w:val="2"/>
          </w:tcPr>
          <w:p>
            <w:pPr>
              <w:ind w:left="380"/>
              <w:spacing w:after="0"/>
              <w:rPr>
                <w:sz w:val="20"/>
                <w:szCs w:val="20"/>
                <w:color w:val="auto"/>
              </w:rPr>
            </w:pPr>
            <w:r>
              <w:rPr>
                <w:rFonts w:ascii="Arial" w:cs="Arial" w:eastAsia="Arial" w:hAnsi="Arial"/>
                <w:sz w:val="18"/>
                <w:szCs w:val="18"/>
                <w:color w:val="auto"/>
                <w:w w:val="94"/>
              </w:rPr>
              <w:t>Petersburg, VA</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1983</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61,265</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99.9%</w:t>
            </w:r>
          </w:p>
        </w:tc>
        <w:tc>
          <w:tcPr>
            <w:tcW w:w="780" w:type="dxa"/>
            <w:vAlign w:val="bottom"/>
          </w:tcPr>
          <w:p>
            <w:pPr>
              <w:jc w:val="right"/>
              <w:spacing w:after="0"/>
              <w:rPr>
                <w:sz w:val="20"/>
                <w:szCs w:val="20"/>
                <w:color w:val="auto"/>
              </w:rPr>
            </w:pPr>
            <w:r>
              <w:rPr>
                <w:rFonts w:ascii="Arial" w:cs="Arial" w:eastAsia="Arial" w:hAnsi="Arial"/>
                <w:sz w:val="18"/>
                <w:szCs w:val="18"/>
                <w:color w:val="auto"/>
              </w:rPr>
              <w:t>488,000</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71%</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rPr>
              <w:t>60,000 Kroger</w:t>
            </w:r>
          </w:p>
        </w:tc>
        <w:tc>
          <w:tcPr>
            <w:tcW w:w="1480" w:type="dxa"/>
            <w:vAlign w:val="bottom"/>
            <w:gridSpan w:val="2"/>
          </w:tcPr>
          <w:p>
            <w:pPr>
              <w:ind w:left="80"/>
              <w:spacing w:after="0"/>
              <w:rPr>
                <w:sz w:val="20"/>
                <w:szCs w:val="20"/>
                <w:color w:val="auto"/>
              </w:rPr>
            </w:pPr>
            <w:r>
              <w:rPr>
                <w:rFonts w:ascii="Arial" w:cs="Arial" w:eastAsia="Arial" w:hAnsi="Arial"/>
                <w:sz w:val="18"/>
                <w:szCs w:val="18"/>
                <w:color w:val="auto"/>
                <w:w w:val="97"/>
              </w:rPr>
              <w:t>Records / Staples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380"/>
              <w:spacing w:after="0" w:line="201" w:lineRule="exact"/>
              <w:rPr>
                <w:sz w:val="20"/>
                <w:szCs w:val="20"/>
                <w:color w:val="auto"/>
              </w:rPr>
            </w:pPr>
            <w:r>
              <w:rPr>
                <w:rFonts w:ascii="Arial" w:cs="Arial" w:eastAsia="Arial" w:hAnsi="Arial"/>
                <w:sz w:val="18"/>
                <w:szCs w:val="18"/>
                <w:b w:val="1"/>
                <w:bCs w:val="1"/>
                <w:color w:val="auto"/>
              </w:rPr>
              <w:t>Total East</w:t>
            </w: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w w:val="92"/>
              </w:rPr>
              <w:t>Region - Other</w:t>
            </w:r>
          </w:p>
        </w:tc>
        <w:tc>
          <w:tcPr>
            <w:tcW w:w="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237,276</w:t>
            </w: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2,471,000</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90%</w:t>
            </w: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gridSpan w:val="2"/>
          </w:tcPr>
          <w:p>
            <w:pPr>
              <w:ind w:left="380"/>
              <w:spacing w:after="0"/>
              <w:rPr>
                <w:sz w:val="20"/>
                <w:szCs w:val="20"/>
                <w:color w:val="auto"/>
              </w:rPr>
            </w:pPr>
            <w:r>
              <w:rPr>
                <w:rFonts w:ascii="Arial" w:cs="Arial" w:eastAsia="Arial" w:hAnsi="Arial"/>
                <w:sz w:val="18"/>
                <w:szCs w:val="18"/>
                <w:b w:val="1"/>
                <w:bCs w:val="1"/>
                <w:color w:val="auto"/>
              </w:rPr>
              <w:t>Total East</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gridSpan w:val="2"/>
          </w:tcPr>
          <w:p>
            <w:pPr>
              <w:ind w:left="380"/>
              <w:spacing w:after="0"/>
              <w:rPr>
                <w:sz w:val="20"/>
                <w:szCs w:val="20"/>
                <w:color w:val="auto"/>
              </w:rPr>
            </w:pPr>
            <w:r>
              <w:rPr>
                <w:rFonts w:ascii="Arial" w:cs="Arial" w:eastAsia="Arial" w:hAnsi="Arial"/>
                <w:sz w:val="18"/>
                <w:szCs w:val="18"/>
                <w:b w:val="1"/>
                <w:bCs w:val="1"/>
                <w:color w:val="auto"/>
              </w:rPr>
              <w:t>Region</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1,742,678</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14,482,000</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96%</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98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West Region</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0" w:type="dxa"/>
            <w:vAlign w:val="bottom"/>
          </w:tcPr>
          <w:p>
            <w:pPr>
              <w:spacing w:after="0"/>
              <w:rPr>
                <w:sz w:val="24"/>
                <w:szCs w:val="24"/>
                <w:color w:val="auto"/>
              </w:rPr>
            </w:pPr>
          </w:p>
        </w:tc>
        <w:tc>
          <w:tcPr>
            <w:tcW w:w="1980" w:type="dxa"/>
            <w:vAlign w:val="bottom"/>
            <w:gridSpan w:val="7"/>
          </w:tcPr>
          <w:p>
            <w:pPr>
              <w:ind w:left="420"/>
              <w:spacing w:after="0"/>
              <w:rPr>
                <w:sz w:val="20"/>
                <w:szCs w:val="20"/>
                <w:color w:val="auto"/>
              </w:rPr>
            </w:pPr>
            <w:r>
              <w:rPr>
                <w:rFonts w:ascii="Arial" w:cs="Arial" w:eastAsia="Arial" w:hAnsi="Arial"/>
                <w:sz w:val="18"/>
                <w:szCs w:val="18"/>
                <w:b w:val="1"/>
                <w:bCs w:val="1"/>
                <w:color w:val="auto"/>
              </w:rPr>
              <w:t>California</w:t>
            </w: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198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Colorado Blvd</w:t>
            </w: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Los Angeles-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Pottery Barn /</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8"/>
              </w:rPr>
              <w:t>Long Beach, CA</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16,582</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69,000</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97%</w:t>
            </w: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Banana Republic</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80" w:type="dxa"/>
            <w:vAlign w:val="bottom"/>
            <w:gridSpan w:val="7"/>
          </w:tcPr>
          <w:p>
            <w:pPr>
              <w:spacing w:after="0"/>
              <w:rPr>
                <w:sz w:val="20"/>
                <w:szCs w:val="20"/>
                <w:color w:val="auto"/>
              </w:rPr>
            </w:pPr>
            <w:r>
              <w:rPr>
                <w:rFonts w:ascii="Arial" w:cs="Arial" w:eastAsia="Arial" w:hAnsi="Arial"/>
                <w:sz w:val="18"/>
                <w:szCs w:val="18"/>
                <w:color w:val="auto"/>
              </w:rPr>
              <w:t>Hermosa Ave</w:t>
            </w:r>
          </w:p>
        </w:tc>
        <w:tc>
          <w:tcPr>
            <w:tcW w:w="1560" w:type="dxa"/>
            <w:vAlign w:val="bottom"/>
            <w:gridSpan w:val="2"/>
          </w:tcPr>
          <w:p>
            <w:pPr>
              <w:ind w:left="380"/>
              <w:spacing w:after="0"/>
              <w:rPr>
                <w:sz w:val="20"/>
                <w:szCs w:val="20"/>
                <w:color w:val="auto"/>
              </w:rPr>
            </w:pPr>
            <w:r>
              <w:rPr>
                <w:rFonts w:ascii="Arial" w:cs="Arial" w:eastAsia="Arial" w:hAnsi="Arial"/>
                <w:sz w:val="18"/>
                <w:szCs w:val="18"/>
                <w:color w:val="auto"/>
              </w:rPr>
              <w:t>Los Angeles-</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gridSpan w:val="2"/>
          </w:tcPr>
          <w:p>
            <w:pPr>
              <w:ind w:left="380"/>
              <w:spacing w:after="0"/>
              <w:rPr>
                <w:sz w:val="20"/>
                <w:szCs w:val="20"/>
                <w:color w:val="auto"/>
              </w:rPr>
            </w:pPr>
            <w:r>
              <w:rPr>
                <w:rFonts w:ascii="Arial" w:cs="Arial" w:eastAsia="Arial" w:hAnsi="Arial"/>
                <w:sz w:val="18"/>
                <w:szCs w:val="18"/>
                <w:color w:val="auto"/>
                <w:w w:val="88"/>
              </w:rPr>
              <w:t>Long Beach, CA</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1997</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4,722</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90.0%</w:t>
            </w:r>
          </w:p>
        </w:tc>
        <w:tc>
          <w:tcPr>
            <w:tcW w:w="780" w:type="dxa"/>
            <w:vAlign w:val="bottom"/>
          </w:tcPr>
          <w:p>
            <w:pPr>
              <w:jc w:val="right"/>
              <w:spacing w:after="0"/>
              <w:rPr>
                <w:sz w:val="20"/>
                <w:szCs w:val="20"/>
                <w:color w:val="auto"/>
              </w:rPr>
            </w:pPr>
            <w:r>
              <w:rPr>
                <w:rFonts w:ascii="Arial" w:cs="Arial" w:eastAsia="Arial" w:hAnsi="Arial"/>
                <w:sz w:val="18"/>
                <w:szCs w:val="18"/>
                <w:color w:val="auto"/>
              </w:rPr>
              <w:t>23,000</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100%</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Hollywood Blvd</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Hollywood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Los Angeles-</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Entertainment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8"/>
              </w:rPr>
              <w:t>Long Beach, CA</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24,896</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78%</w:t>
            </w: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Museum</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80" w:type="dxa"/>
            <w:vAlign w:val="bottom"/>
            <w:gridSpan w:val="7"/>
          </w:tcPr>
          <w:p>
            <w:pPr>
              <w:spacing w:after="0"/>
              <w:rPr>
                <w:sz w:val="20"/>
                <w:szCs w:val="20"/>
                <w:color w:val="auto"/>
              </w:rPr>
            </w:pPr>
            <w:r>
              <w:rPr>
                <w:rFonts w:ascii="Arial" w:cs="Arial" w:eastAsia="Arial" w:hAnsi="Arial"/>
                <w:sz w:val="18"/>
                <w:szCs w:val="18"/>
                <w:color w:val="auto"/>
              </w:rPr>
              <w:t>Third St Promenade</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w w:val="99"/>
              </w:rPr>
              <w:t>J. Crew / Banana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Republic /Old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gridSpan w:val="2"/>
          </w:tcPr>
          <w:p>
            <w:pPr>
              <w:ind w:left="380"/>
              <w:spacing w:after="0"/>
              <w:rPr>
                <w:sz w:val="20"/>
                <w:szCs w:val="20"/>
                <w:color w:val="auto"/>
              </w:rPr>
            </w:pPr>
            <w:r>
              <w:rPr>
                <w:rFonts w:ascii="Arial" w:cs="Arial" w:eastAsia="Arial" w:hAnsi="Arial"/>
                <w:sz w:val="18"/>
                <w:szCs w:val="18"/>
                <w:color w:val="auto"/>
              </w:rPr>
              <w:t>Los Angeles-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1996-</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w w:val="90"/>
              </w:rPr>
              <w:t>Navy /Abercrombie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gridSpan w:val="2"/>
          </w:tcPr>
          <w:p>
            <w:pPr>
              <w:ind w:left="380"/>
              <w:spacing w:after="0"/>
              <w:rPr>
                <w:sz w:val="20"/>
                <w:szCs w:val="20"/>
                <w:color w:val="auto"/>
              </w:rPr>
            </w:pPr>
            <w:r>
              <w:rPr>
                <w:rFonts w:ascii="Arial" w:cs="Arial" w:eastAsia="Arial" w:hAnsi="Arial"/>
                <w:sz w:val="18"/>
                <w:szCs w:val="18"/>
                <w:color w:val="auto"/>
                <w:w w:val="88"/>
              </w:rPr>
              <w:t>Long Beach, CA</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75,141</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780" w:type="dxa"/>
            <w:vAlign w:val="bottom"/>
          </w:tcPr>
          <w:p>
            <w:pPr>
              <w:jc w:val="right"/>
              <w:spacing w:after="0"/>
              <w:rPr>
                <w:sz w:val="20"/>
                <w:szCs w:val="20"/>
                <w:color w:val="auto"/>
              </w:rPr>
            </w:pPr>
            <w:r>
              <w:rPr>
                <w:rFonts w:ascii="Arial" w:cs="Arial" w:eastAsia="Arial" w:hAnsi="Arial"/>
                <w:sz w:val="18"/>
                <w:szCs w:val="18"/>
                <w:color w:val="auto"/>
              </w:rPr>
              <w:t>209,000</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99%</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&amp; Fitch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Escondido</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Cost Plus / TJ</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7"/>
              </w:rPr>
              <w:t>San Diego, CA</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25,094</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222,000</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97%</w:t>
            </w: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7"/>
              </w:rPr>
              <w:t>Maxx / Toys R Us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80" w:type="dxa"/>
            <w:vAlign w:val="bottom"/>
            <w:gridSpan w:val="7"/>
          </w:tcPr>
          <w:p>
            <w:pPr>
              <w:spacing w:after="0"/>
              <w:rPr>
                <w:sz w:val="20"/>
                <w:szCs w:val="20"/>
                <w:color w:val="auto"/>
              </w:rPr>
            </w:pPr>
            <w:r>
              <w:rPr>
                <w:rFonts w:ascii="Arial" w:cs="Arial" w:eastAsia="Arial" w:hAnsi="Arial"/>
                <w:sz w:val="18"/>
                <w:szCs w:val="18"/>
                <w:color w:val="auto"/>
              </w:rPr>
              <w:t>Fifth Ave</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1996-</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gridSpan w:val="2"/>
          </w:tcPr>
          <w:p>
            <w:pPr>
              <w:ind w:left="380"/>
              <w:spacing w:after="0"/>
              <w:rPr>
                <w:sz w:val="20"/>
                <w:szCs w:val="20"/>
                <w:color w:val="auto"/>
              </w:rPr>
            </w:pPr>
            <w:r>
              <w:rPr>
                <w:rFonts w:ascii="Arial" w:cs="Arial" w:eastAsia="Arial" w:hAnsi="Arial"/>
                <w:sz w:val="18"/>
                <w:szCs w:val="18"/>
                <w:color w:val="auto"/>
                <w:w w:val="97"/>
              </w:rPr>
              <w:t>San Diego, CA</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1997</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12,346</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780" w:type="dxa"/>
            <w:vAlign w:val="bottom"/>
          </w:tcPr>
          <w:p>
            <w:pPr>
              <w:jc w:val="right"/>
              <w:spacing w:after="0"/>
              <w:rPr>
                <w:sz w:val="20"/>
                <w:szCs w:val="20"/>
                <w:color w:val="auto"/>
              </w:rPr>
            </w:pPr>
            <w:r>
              <w:rPr>
                <w:rFonts w:ascii="Arial" w:cs="Arial" w:eastAsia="Arial" w:hAnsi="Arial"/>
                <w:sz w:val="18"/>
                <w:szCs w:val="18"/>
                <w:color w:val="auto"/>
              </w:rPr>
              <w:t>51,000</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86%</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Urban Outfitters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150 Post Street</w:t>
            </w: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6"/>
              </w:rPr>
              <w:t>San Francisco,</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CA</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33,412</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102,000</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65%</w:t>
            </w: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Brooks Brothers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80" w:type="dxa"/>
            <w:vAlign w:val="bottom"/>
            <w:gridSpan w:val="7"/>
          </w:tcPr>
          <w:p>
            <w:pPr>
              <w:spacing w:after="0"/>
              <w:rPr>
                <w:sz w:val="20"/>
                <w:szCs w:val="20"/>
                <w:color w:val="auto"/>
              </w:rPr>
            </w:pPr>
            <w:r>
              <w:rPr>
                <w:rFonts w:ascii="Arial" w:cs="Arial" w:eastAsia="Arial" w:hAnsi="Arial"/>
                <w:sz w:val="18"/>
                <w:szCs w:val="18"/>
                <w:color w:val="auto"/>
              </w:rPr>
              <w:t>Kings Court</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color w:val="auto"/>
              </w:rPr>
              <w:t>Lunardi’s</w:t>
            </w: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color w:val="auto"/>
              </w:rPr>
              <w:t>Super</w:t>
            </w: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gridSpan w:val="2"/>
          </w:tcPr>
          <w:p>
            <w:pPr>
              <w:ind w:left="380"/>
              <w:spacing w:after="0"/>
              <w:rPr>
                <w:sz w:val="20"/>
                <w:szCs w:val="20"/>
                <w:color w:val="auto"/>
              </w:rPr>
            </w:pPr>
            <w:r>
              <w:rPr>
                <w:rFonts w:ascii="Arial" w:cs="Arial" w:eastAsia="Arial" w:hAnsi="Arial"/>
                <w:sz w:val="18"/>
                <w:szCs w:val="18"/>
                <w:color w:val="auto"/>
              </w:rPr>
              <w:t>San Jose, CA</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1998</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11,718</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780" w:type="dxa"/>
            <w:vAlign w:val="bottom"/>
          </w:tcPr>
          <w:p>
            <w:pPr>
              <w:jc w:val="right"/>
              <w:spacing w:after="0"/>
              <w:rPr>
                <w:sz w:val="20"/>
                <w:szCs w:val="20"/>
                <w:color w:val="auto"/>
              </w:rPr>
            </w:pPr>
            <w:r>
              <w:rPr>
                <w:rFonts w:ascii="Arial" w:cs="Arial" w:eastAsia="Arial" w:hAnsi="Arial"/>
                <w:sz w:val="18"/>
                <w:szCs w:val="18"/>
                <w:color w:val="auto"/>
              </w:rPr>
              <w:t>79,000</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98%</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rPr>
              <w:t>25,000 Market</w:t>
            </w:r>
          </w:p>
        </w:tc>
        <w:tc>
          <w:tcPr>
            <w:tcW w:w="1480" w:type="dxa"/>
            <w:vAlign w:val="bottom"/>
            <w:gridSpan w:val="2"/>
          </w:tcPr>
          <w:p>
            <w:pPr>
              <w:ind w:left="80"/>
              <w:spacing w:after="0"/>
              <w:rPr>
                <w:sz w:val="20"/>
                <w:szCs w:val="20"/>
                <w:color w:val="auto"/>
              </w:rPr>
            </w:pPr>
            <w:r>
              <w:rPr>
                <w:rFonts w:ascii="Arial" w:cs="Arial" w:eastAsia="Arial" w:hAnsi="Arial"/>
                <w:sz w:val="18"/>
                <w:szCs w:val="18"/>
                <w:color w:val="auto"/>
                <w:w w:val="97"/>
              </w:rPr>
              <w:t>Longs Drug Store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98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Old Town Center</w:t>
            </w: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San Jose, CA</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33,787</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98%</w:t>
            </w: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0"/>
              </w:rPr>
              <w:t>Borders / Gap Kids</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274" w:right="239" w:bottom="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 Banana Republic</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80" w:type="dxa"/>
            <w:vAlign w:val="bottom"/>
            <w:gridSpan w:val="3"/>
          </w:tcPr>
          <w:p>
            <w:pPr>
              <w:spacing w:after="0"/>
              <w:rPr>
                <w:sz w:val="20"/>
                <w:szCs w:val="20"/>
                <w:color w:val="auto"/>
              </w:rPr>
            </w:pPr>
            <w:r>
              <w:rPr>
                <w:rFonts w:ascii="Arial" w:cs="Arial" w:eastAsia="Arial" w:hAnsi="Arial"/>
                <w:sz w:val="18"/>
                <w:szCs w:val="18"/>
                <w:color w:val="auto"/>
              </w:rPr>
              <w:t>Westgate</w:t>
            </w:r>
          </w:p>
        </w:tc>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w w:val="93"/>
              </w:rPr>
              <w:t>Target / Burlington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Coat Factory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Barnes &amp; Noble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ind w:left="80"/>
              <w:spacing w:after="0"/>
              <w:rPr>
                <w:sz w:val="20"/>
                <w:szCs w:val="20"/>
                <w:color w:val="auto"/>
              </w:rPr>
            </w:pPr>
            <w:r>
              <w:rPr>
                <w:rFonts w:ascii="Arial" w:cs="Arial" w:eastAsia="Arial" w:hAnsi="Arial"/>
                <w:sz w:val="18"/>
                <w:szCs w:val="18"/>
                <w:color w:val="auto"/>
              </w:rPr>
              <w:t>San Jose, CA</w:t>
            </w:r>
          </w:p>
        </w:tc>
        <w:tc>
          <w:tcPr>
            <w:tcW w:w="580" w:type="dxa"/>
            <w:vAlign w:val="bottom"/>
          </w:tcPr>
          <w:p>
            <w:pPr>
              <w:jc w:val="right"/>
              <w:spacing w:after="0"/>
              <w:rPr>
                <w:sz w:val="20"/>
                <w:szCs w:val="20"/>
                <w:color w:val="auto"/>
              </w:rPr>
            </w:pPr>
            <w:r>
              <w:rPr>
                <w:rFonts w:ascii="Arial" w:cs="Arial" w:eastAsia="Arial" w:hAnsi="Arial"/>
                <w:sz w:val="18"/>
                <w:szCs w:val="18"/>
                <w:color w:val="auto"/>
              </w:rPr>
              <w:t>2004</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113,748</w:t>
            </w:r>
          </w:p>
        </w:tc>
        <w:tc>
          <w:tcPr>
            <w:tcW w:w="780" w:type="dxa"/>
            <w:vAlign w:val="bottom"/>
          </w:tcPr>
          <w:p>
            <w:pPr>
              <w:jc w:val="right"/>
              <w:spacing w:after="0"/>
              <w:rPr>
                <w:sz w:val="20"/>
                <w:szCs w:val="20"/>
                <w:color w:val="auto"/>
              </w:rPr>
            </w:pPr>
            <w:r>
              <w:rPr>
                <w:rFonts w:ascii="Arial" w:cs="Arial" w:eastAsia="Arial" w:hAnsi="Arial"/>
                <w:sz w:val="18"/>
                <w:szCs w:val="18"/>
                <w:color w:val="auto"/>
              </w:rPr>
              <w:t>100.0%</w:t>
            </w:r>
          </w:p>
        </w:tc>
        <w:tc>
          <w:tcPr>
            <w:tcW w:w="780" w:type="dxa"/>
            <w:vAlign w:val="bottom"/>
          </w:tcPr>
          <w:p>
            <w:pPr>
              <w:jc w:val="right"/>
              <w:spacing w:after="0"/>
              <w:rPr>
                <w:sz w:val="20"/>
                <w:szCs w:val="20"/>
                <w:color w:val="auto"/>
              </w:rPr>
            </w:pPr>
            <w:r>
              <w:rPr>
                <w:rFonts w:ascii="Arial" w:cs="Arial" w:eastAsia="Arial" w:hAnsi="Arial"/>
                <w:sz w:val="18"/>
                <w:szCs w:val="18"/>
                <w:color w:val="auto"/>
              </w:rPr>
              <w:t>640,000</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97%</w:t>
            </w:r>
          </w:p>
        </w:tc>
        <w:tc>
          <w:tcPr>
            <w:tcW w:w="820" w:type="dxa"/>
            <w:vAlign w:val="bottom"/>
          </w:tcPr>
          <w:p>
            <w:pPr>
              <w:spacing w:after="0"/>
              <w:rPr>
                <w:sz w:val="19"/>
                <w:szCs w:val="19"/>
                <w:color w:val="auto"/>
              </w:rPr>
            </w:pPr>
          </w:p>
        </w:tc>
        <w:tc>
          <w:tcPr>
            <w:tcW w:w="1380" w:type="dxa"/>
            <w:vAlign w:val="bottom"/>
          </w:tcPr>
          <w:p>
            <w:pPr>
              <w:ind w:left="60"/>
              <w:spacing w:after="0"/>
              <w:rPr>
                <w:sz w:val="20"/>
                <w:szCs w:val="20"/>
                <w:color w:val="auto"/>
              </w:rPr>
            </w:pPr>
            <w:r>
              <w:rPr>
                <w:rFonts w:ascii="Arial" w:cs="Arial" w:eastAsia="Arial" w:hAnsi="Arial"/>
                <w:sz w:val="18"/>
                <w:szCs w:val="18"/>
                <w:color w:val="auto"/>
              </w:rPr>
              <w:t>38,000 Safeway</w:t>
            </w:r>
          </w:p>
        </w:tc>
        <w:tc>
          <w:tcPr>
            <w:tcW w:w="1560" w:type="dxa"/>
            <w:vAlign w:val="bottom"/>
          </w:tcPr>
          <w:p>
            <w:pPr>
              <w:ind w:left="160"/>
              <w:spacing w:after="0"/>
              <w:rPr>
                <w:sz w:val="20"/>
                <w:szCs w:val="20"/>
                <w:color w:val="auto"/>
              </w:rPr>
            </w:pPr>
            <w:r>
              <w:rPr>
                <w:rFonts w:ascii="Arial" w:cs="Arial" w:eastAsia="Arial" w:hAnsi="Arial"/>
                <w:sz w:val="18"/>
                <w:szCs w:val="18"/>
                <w:color w:val="auto"/>
              </w:rPr>
              <w:t>Ross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Santana Row (Phase I, II &amp; III)</w:t>
            </w:r>
          </w:p>
        </w:tc>
        <w:tc>
          <w:tcPr>
            <w:tcW w:w="1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Crate &amp; Barrel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Container Store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Best Buy / Borders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San Jose, CA</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503,054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558,000</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94%</w:t>
            </w:r>
          </w:p>
        </w:tc>
        <w:tc>
          <w:tcPr>
            <w:tcW w:w="8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 CineArts Theatre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6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b w:val="1"/>
                <w:bCs w:val="1"/>
                <w:color w:val="auto"/>
              </w:rPr>
              <w:t>Total</w:t>
            </w:r>
          </w:p>
        </w:tc>
        <w:tc>
          <w:tcPr>
            <w:tcW w:w="5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California</w:t>
            </w:r>
          </w:p>
        </w:tc>
        <w:tc>
          <w:tcPr>
            <w:tcW w:w="5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854,500</w:t>
            </w:r>
          </w:p>
        </w:tc>
        <w:tc>
          <w:tcPr>
            <w:tcW w:w="7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2,198,000</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93%</w:t>
            </w:r>
          </w:p>
        </w:tc>
        <w:tc>
          <w:tcPr>
            <w:tcW w:w="8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80" w:type="dxa"/>
            <w:vAlign w:val="bottom"/>
            <w:gridSpan w:val="3"/>
          </w:tcPr>
          <w:p>
            <w:pPr>
              <w:ind w:left="420"/>
              <w:spacing w:after="0" w:line="176" w:lineRule="exact"/>
              <w:rPr>
                <w:sz w:val="20"/>
                <w:szCs w:val="20"/>
                <w:color w:val="auto"/>
              </w:rPr>
            </w:pPr>
            <w:r>
              <w:rPr>
                <w:rFonts w:ascii="Arial" w:cs="Arial" w:eastAsia="Arial" w:hAnsi="Arial"/>
                <w:sz w:val="18"/>
                <w:szCs w:val="18"/>
                <w:b w:val="1"/>
                <w:bCs w:val="1"/>
                <w:color w:val="auto"/>
              </w:rPr>
              <w:t>West Region - Other</w:t>
            </w:r>
          </w:p>
        </w:tc>
        <w:tc>
          <w:tcPr>
            <w:tcW w:w="1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2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Mill Avenue (10)</w:t>
            </w:r>
          </w:p>
        </w:tc>
        <w:tc>
          <w:tcPr>
            <w:tcW w:w="1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Phoenix-Mesa,</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AZ</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11,064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39,000</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8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Gordon Biersch</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80" w:type="dxa"/>
            <w:vAlign w:val="bottom"/>
            <w:gridSpan w:val="3"/>
          </w:tcPr>
          <w:p>
            <w:pPr>
              <w:spacing w:after="0"/>
              <w:rPr>
                <w:sz w:val="20"/>
                <w:szCs w:val="20"/>
                <w:color w:val="auto"/>
              </w:rPr>
            </w:pPr>
            <w:r>
              <w:rPr>
                <w:rFonts w:ascii="Arial" w:cs="Arial" w:eastAsia="Arial" w:hAnsi="Arial"/>
                <w:sz w:val="18"/>
                <w:szCs w:val="18"/>
                <w:color w:val="auto"/>
              </w:rPr>
              <w:t>Houston St</w:t>
            </w:r>
          </w:p>
        </w:tc>
        <w:tc>
          <w:tcPr>
            <w:tcW w:w="1360" w:type="dxa"/>
            <w:vAlign w:val="bottom"/>
          </w:tcPr>
          <w:p>
            <w:pPr>
              <w:ind w:left="80"/>
              <w:spacing w:after="0"/>
              <w:rPr>
                <w:sz w:val="20"/>
                <w:szCs w:val="20"/>
                <w:color w:val="auto"/>
              </w:rPr>
            </w:pPr>
            <w:r>
              <w:rPr>
                <w:rFonts w:ascii="Arial" w:cs="Arial" w:eastAsia="Arial" w:hAnsi="Arial"/>
                <w:sz w:val="18"/>
                <w:szCs w:val="18"/>
                <w:color w:val="auto"/>
              </w:rPr>
              <w:t>San Antonio,</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Houston Street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ind w:left="80"/>
              <w:spacing w:after="0"/>
              <w:rPr>
                <w:sz w:val="20"/>
                <w:szCs w:val="20"/>
                <w:color w:val="auto"/>
              </w:rPr>
            </w:pPr>
            <w:r>
              <w:rPr>
                <w:rFonts w:ascii="Arial" w:cs="Arial" w:eastAsia="Arial" w:hAnsi="Arial"/>
                <w:sz w:val="18"/>
                <w:szCs w:val="18"/>
                <w:color w:val="auto"/>
              </w:rPr>
              <w:t>TX</w:t>
            </w:r>
          </w:p>
        </w:tc>
        <w:tc>
          <w:tcPr>
            <w:tcW w:w="580" w:type="dxa"/>
            <w:vAlign w:val="bottom"/>
          </w:tcPr>
          <w:p>
            <w:pPr>
              <w:jc w:val="right"/>
              <w:spacing w:after="0"/>
              <w:rPr>
                <w:sz w:val="20"/>
                <w:szCs w:val="20"/>
                <w:color w:val="auto"/>
              </w:rPr>
            </w:pPr>
            <w:r>
              <w:rPr>
                <w:rFonts w:ascii="Arial" w:cs="Arial" w:eastAsia="Arial" w:hAnsi="Arial"/>
                <w:sz w:val="18"/>
                <w:szCs w:val="18"/>
                <w:color w:val="auto"/>
              </w:rPr>
              <w:t>1998</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63,217</w:t>
            </w:r>
          </w:p>
        </w:tc>
        <w:tc>
          <w:tcPr>
            <w:tcW w:w="780" w:type="dxa"/>
            <w:vAlign w:val="bottom"/>
          </w:tcPr>
          <w:p>
            <w:pPr>
              <w:jc w:val="right"/>
              <w:spacing w:after="0"/>
              <w:rPr>
                <w:sz w:val="20"/>
                <w:szCs w:val="20"/>
                <w:color w:val="auto"/>
              </w:rPr>
            </w:pPr>
            <w:r>
              <w:rPr>
                <w:rFonts w:ascii="Arial" w:cs="Arial" w:eastAsia="Arial" w:hAnsi="Arial"/>
                <w:sz w:val="18"/>
                <w:szCs w:val="18"/>
                <w:color w:val="auto"/>
              </w:rPr>
              <w:t>100.0%</w:t>
            </w:r>
          </w:p>
        </w:tc>
        <w:tc>
          <w:tcPr>
            <w:tcW w:w="780" w:type="dxa"/>
            <w:vAlign w:val="bottom"/>
          </w:tcPr>
          <w:p>
            <w:pPr>
              <w:jc w:val="right"/>
              <w:spacing w:after="0"/>
              <w:rPr>
                <w:sz w:val="20"/>
                <w:szCs w:val="20"/>
                <w:color w:val="auto"/>
              </w:rPr>
            </w:pPr>
            <w:r>
              <w:rPr>
                <w:rFonts w:ascii="Arial" w:cs="Arial" w:eastAsia="Arial" w:hAnsi="Arial"/>
                <w:sz w:val="18"/>
                <w:szCs w:val="18"/>
                <w:color w:val="auto"/>
              </w:rPr>
              <w:t>171,000</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80%</w:t>
            </w:r>
          </w:p>
        </w:tc>
        <w:tc>
          <w:tcPr>
            <w:tcW w:w="820" w:type="dxa"/>
            <w:vAlign w:val="bottom"/>
          </w:tcPr>
          <w:p>
            <w:pPr>
              <w:jc w:val="right"/>
              <w:spacing w:after="0"/>
              <w:rPr>
                <w:sz w:val="20"/>
                <w:szCs w:val="20"/>
                <w:color w:val="auto"/>
              </w:rPr>
            </w:pPr>
            <w:r>
              <w:rPr>
                <w:rFonts w:ascii="Arial" w:cs="Arial" w:eastAsia="Arial" w:hAnsi="Arial"/>
                <w:sz w:val="18"/>
                <w:szCs w:val="18"/>
                <w:color w:val="auto"/>
              </w:rPr>
              <w:t>189</w:t>
            </w:r>
          </w:p>
        </w:tc>
        <w:tc>
          <w:tcPr>
            <w:tcW w:w="1380" w:type="dxa"/>
            <w:vAlign w:val="bottom"/>
          </w:tcPr>
          <w:p>
            <w:pPr>
              <w:spacing w:after="0"/>
              <w:rPr>
                <w:sz w:val="19"/>
                <w:szCs w:val="19"/>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Station</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6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b w:val="1"/>
                <w:bCs w:val="1"/>
                <w:color w:val="auto"/>
              </w:rPr>
              <w:t>Total West</w:t>
            </w:r>
          </w:p>
        </w:tc>
        <w:tc>
          <w:tcPr>
            <w:tcW w:w="5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Region - Other</w:t>
            </w:r>
          </w:p>
        </w:tc>
        <w:tc>
          <w:tcPr>
            <w:tcW w:w="5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74,281</w:t>
            </w:r>
          </w:p>
        </w:tc>
        <w:tc>
          <w:tcPr>
            <w:tcW w:w="7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84%</w:t>
            </w:r>
          </w:p>
        </w:tc>
        <w:tc>
          <w:tcPr>
            <w:tcW w:w="8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ind w:left="80"/>
              <w:spacing w:after="0" w:line="201" w:lineRule="exact"/>
              <w:rPr>
                <w:sz w:val="20"/>
                <w:szCs w:val="20"/>
                <w:color w:val="auto"/>
              </w:rPr>
            </w:pPr>
            <w:r>
              <w:rPr>
                <w:rFonts w:ascii="Arial" w:cs="Arial" w:eastAsia="Arial" w:hAnsi="Arial"/>
                <w:sz w:val="18"/>
                <w:szCs w:val="18"/>
                <w:b w:val="1"/>
                <w:bCs w:val="1"/>
                <w:color w:val="auto"/>
              </w:rPr>
              <w:t>Total West</w:t>
            </w: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ind w:left="80"/>
              <w:spacing w:after="0"/>
              <w:rPr>
                <w:sz w:val="20"/>
                <w:szCs w:val="20"/>
                <w:color w:val="auto"/>
              </w:rPr>
            </w:pPr>
            <w:r>
              <w:rPr>
                <w:rFonts w:ascii="Arial" w:cs="Arial" w:eastAsia="Arial" w:hAnsi="Arial"/>
                <w:sz w:val="18"/>
                <w:szCs w:val="18"/>
                <w:b w:val="1"/>
                <w:bCs w:val="1"/>
                <w:color w:val="auto"/>
              </w:rPr>
              <w:t>Region</w:t>
            </w:r>
          </w:p>
        </w:tc>
        <w:tc>
          <w:tcPr>
            <w:tcW w:w="5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928,781</w:t>
            </w:r>
          </w:p>
        </w:tc>
        <w:tc>
          <w:tcPr>
            <w:tcW w:w="7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2,408,000</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93%</w:t>
            </w:r>
          </w:p>
        </w:tc>
        <w:tc>
          <w:tcPr>
            <w:tcW w:w="8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3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2,671,459</w:t>
            </w: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16,890,000</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410,885</w:t>
            </w:r>
          </w:p>
        </w:tc>
        <w:tc>
          <w:tcPr>
            <w:tcW w:w="1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Notes:</w:t>
      </w:r>
    </w:p>
    <w:p>
      <w:pPr>
        <w:spacing w:after="0" w:line="77" w:lineRule="exact"/>
        <w:rPr>
          <w:sz w:val="20"/>
          <w:szCs w:val="20"/>
          <w:color w:val="auto"/>
        </w:rPr>
      </w:pPr>
    </w:p>
    <w:p>
      <w:pPr>
        <w:ind w:left="460" w:right="740" w:hanging="364"/>
        <w:spacing w:after="0" w:line="25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Excludes redevelopment square footage not yet in service, Santana Row residential, future phases of Santana Row, Rollingwood and The Crest at Congressional Apartments.</w:t>
      </w:r>
    </w:p>
    <w:p>
      <w:pPr>
        <w:ind w:left="460" w:hanging="364"/>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Grocery anchor is defined as a grocery tenant leasing 15,000 square feet or more.</w:t>
      </w:r>
    </w:p>
    <w:p>
      <w:pPr>
        <w:spacing w:after="0" w:line="9" w:lineRule="exact"/>
        <w:rPr>
          <w:rFonts w:ascii="Arial" w:cs="Arial" w:eastAsia="Arial" w:hAnsi="Arial"/>
          <w:sz w:val="18"/>
          <w:szCs w:val="18"/>
          <w:color w:val="auto"/>
        </w:rPr>
      </w:pPr>
    </w:p>
    <w:p>
      <w:pPr>
        <w:ind w:left="460" w:hanging="364"/>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Portion of property subject to capital lease obligation.</w:t>
      </w:r>
    </w:p>
    <w:p>
      <w:pPr>
        <w:spacing w:after="0" w:line="9" w:lineRule="exact"/>
        <w:rPr>
          <w:rFonts w:ascii="Arial" w:cs="Arial" w:eastAsia="Arial" w:hAnsi="Arial"/>
          <w:sz w:val="18"/>
          <w:szCs w:val="18"/>
          <w:color w:val="auto"/>
        </w:rPr>
      </w:pPr>
    </w:p>
    <w:p>
      <w:pPr>
        <w:ind w:left="460" w:hanging="364"/>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investment includes dollars associated with the 146 units of The Crest at Congressional.</w:t>
      </w:r>
    </w:p>
    <w:p>
      <w:pPr>
        <w:spacing w:after="0" w:line="9" w:lineRule="exact"/>
        <w:rPr>
          <w:rFonts w:ascii="Arial" w:cs="Arial" w:eastAsia="Arial" w:hAnsi="Arial"/>
          <w:sz w:val="18"/>
          <w:szCs w:val="18"/>
          <w:color w:val="auto"/>
        </w:rPr>
      </w:pPr>
    </w:p>
    <w:p>
      <w:pPr>
        <w:ind w:left="460" w:right="180" w:hanging="364"/>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Property owned in a “downreit” partnership, of which a wholly owned subsidiary of the Trust is the sole general partner, with third party partners holding operating partnership units.</w:t>
      </w:r>
    </w:p>
    <w:p>
      <w:pPr>
        <w:ind w:left="460" w:hanging="364"/>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Property subject to capital lease obligation.</w:t>
      </w:r>
    </w:p>
    <w:p>
      <w:pPr>
        <w:spacing w:after="0" w:line="9" w:lineRule="exact"/>
        <w:rPr>
          <w:rFonts w:ascii="Arial" w:cs="Arial" w:eastAsia="Arial" w:hAnsi="Arial"/>
          <w:sz w:val="18"/>
          <w:szCs w:val="18"/>
          <w:color w:val="auto"/>
        </w:rPr>
      </w:pPr>
    </w:p>
    <w:p>
      <w:pPr>
        <w:ind w:left="460" w:hanging="364"/>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Currently under contract to acquire the retail square footage upon completion of development.</w:t>
      </w:r>
    </w:p>
    <w:p>
      <w:pPr>
        <w:spacing w:after="0" w:line="9" w:lineRule="exact"/>
        <w:rPr>
          <w:rFonts w:ascii="Arial" w:cs="Arial" w:eastAsia="Arial" w:hAnsi="Arial"/>
          <w:sz w:val="18"/>
          <w:szCs w:val="18"/>
          <w:color w:val="auto"/>
        </w:rPr>
      </w:pPr>
    </w:p>
    <w:p>
      <w:pPr>
        <w:ind w:left="460" w:hanging="364"/>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Consists of nine properties, eight at 100% and one at 90%.</w:t>
      </w:r>
    </w:p>
    <w:p>
      <w:pPr>
        <w:spacing w:after="0" w:line="9" w:lineRule="exact"/>
        <w:rPr>
          <w:rFonts w:ascii="Arial" w:cs="Arial" w:eastAsia="Arial" w:hAnsi="Arial"/>
          <w:sz w:val="18"/>
          <w:szCs w:val="18"/>
          <w:color w:val="auto"/>
        </w:rPr>
      </w:pPr>
    </w:p>
    <w:p>
      <w:pPr>
        <w:ind w:left="460" w:hanging="364"/>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Consists of four properties, three at 100% and one at 90%.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February 15, 2005, the Trust sold the two Mill Avenue properties.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4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 by Metropolitan Area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2004</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thousands)</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w w:val="91"/>
              </w:rPr>
              <w:t>For the 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103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970" w:type="dxa"/>
            <w:vAlign w:val="bottom"/>
          </w:tcPr>
          <w:p>
            <w:pPr>
              <w:jc w:val="right"/>
              <w:ind w:right="335"/>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97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Pr>
          <w:p>
            <w:pPr>
              <w:spacing w:after="0"/>
              <w:rPr>
                <w:sz w:val="8"/>
                <w:szCs w:val="8"/>
                <w:color w:val="auto"/>
              </w:rPr>
            </w:pPr>
          </w:p>
        </w:tc>
        <w:tc>
          <w:tcPr>
            <w:tcW w:w="97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Washington Metro</w:t>
            </w:r>
          </w:p>
        </w:tc>
        <w:tc>
          <w:tcPr>
            <w:tcW w:w="2750" w:type="dxa"/>
            <w:vAlign w:val="bottom"/>
            <w:gridSpan w:val="3"/>
            <w:shd w:val="clear" w:color="auto" w:fill="CCEEFF"/>
          </w:tcPr>
          <w:p>
            <w:pPr>
              <w:ind w:left="2600"/>
              <w:spacing w:after="0"/>
              <w:rPr>
                <w:sz w:val="20"/>
                <w:szCs w:val="20"/>
                <w:color w:val="auto"/>
              </w:rPr>
            </w:pPr>
            <w:r>
              <w:rPr>
                <w:rFonts w:ascii="Arial" w:cs="Arial" w:eastAsia="Arial" w:hAnsi="Arial"/>
                <w:sz w:val="18"/>
                <w:szCs w:val="18"/>
                <w:color w:val="auto"/>
              </w:rPr>
              <w:t>$</w:t>
            </w:r>
          </w:p>
        </w:tc>
        <w:tc>
          <w:tcPr>
            <w:tcW w:w="9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California (2)</w:t>
            </w: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970" w:type="dxa"/>
            <w:vAlign w:val="bottom"/>
          </w:tcPr>
          <w:p>
            <w:pPr>
              <w:jc w:val="right"/>
              <w:spacing w:after="0"/>
              <w:rPr>
                <w:sz w:val="20"/>
                <w:szCs w:val="20"/>
                <w:color w:val="auto"/>
              </w:rPr>
            </w:pPr>
            <w:r>
              <w:rPr>
                <w:rFonts w:ascii="Arial" w:cs="Arial" w:eastAsia="Arial" w:hAnsi="Arial"/>
                <w:sz w:val="18"/>
                <w:szCs w:val="18"/>
                <w:color w:val="auto"/>
              </w:rPr>
              <w:t>51,231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New York / New Jersey</w:t>
            </w:r>
          </w:p>
        </w:tc>
        <w:tc>
          <w:tcPr>
            <w:tcW w:w="2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9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Philadelphia</w:t>
            </w: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970" w:type="dxa"/>
            <w:vAlign w:val="bottom"/>
          </w:tcPr>
          <w:p>
            <w:pPr>
              <w:jc w:val="right"/>
              <w:spacing w:after="0"/>
              <w:rPr>
                <w:sz w:val="20"/>
                <w:szCs w:val="20"/>
                <w:color w:val="auto"/>
              </w:rPr>
            </w:pPr>
            <w:r>
              <w:rPr>
                <w:rFonts w:ascii="Arial" w:cs="Arial" w:eastAsia="Arial" w:hAnsi="Arial"/>
                <w:sz w:val="18"/>
                <w:szCs w:val="18"/>
                <w:color w:val="auto"/>
              </w:rPr>
              <w:t>29,640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Other (3)</w:t>
            </w:r>
          </w:p>
        </w:tc>
        <w:tc>
          <w:tcPr>
            <w:tcW w:w="2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9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97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Pr>
          <w:p>
            <w:pPr>
              <w:spacing w:after="0"/>
              <w:rPr>
                <w:sz w:val="8"/>
                <w:szCs w:val="8"/>
                <w:color w:val="auto"/>
              </w:rPr>
            </w:pPr>
          </w:p>
        </w:tc>
        <w:tc>
          <w:tcPr>
            <w:tcW w:w="97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Operating Income</w:t>
            </w:r>
          </w:p>
        </w:tc>
        <w:tc>
          <w:tcPr>
            <w:tcW w:w="2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9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36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970" w:type="dxa"/>
            <w:vAlign w:val="bottom"/>
          </w:tcPr>
          <w:p>
            <w:pPr>
              <w:jc w:val="right"/>
              <w:spacing w:after="0"/>
              <w:rPr>
                <w:sz w:val="20"/>
                <w:szCs w:val="20"/>
                <w:color w:val="auto"/>
              </w:rPr>
            </w:pPr>
            <w:r>
              <w:rPr>
                <w:rFonts w:ascii="Arial" w:cs="Arial" w:eastAsia="Arial" w:hAnsi="Arial"/>
                <w:sz w:val="18"/>
                <w:szCs w:val="18"/>
                <w:color w:val="auto"/>
              </w:rPr>
              <w:t>1,506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Income From Real Estate Partnership</w:t>
            </w:r>
          </w:p>
        </w:tc>
        <w:tc>
          <w:tcPr>
            <w:tcW w:w="2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9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Interest Expense</w:t>
            </w: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1030" w:type="dxa"/>
            <w:vAlign w:val="bottom"/>
            <w:gridSpan w:val="2"/>
          </w:tcPr>
          <w:p>
            <w:pPr>
              <w:jc w:val="right"/>
              <w:ind w:right="20"/>
              <w:spacing w:after="0"/>
              <w:rPr>
                <w:sz w:val="20"/>
                <w:szCs w:val="20"/>
                <w:color w:val="auto"/>
              </w:rPr>
            </w:pPr>
            <w:r>
              <w:rPr>
                <w:rFonts w:ascii="Arial" w:cs="Arial" w:eastAsia="Arial" w:hAnsi="Arial"/>
                <w:sz w:val="18"/>
                <w:szCs w:val="18"/>
                <w:color w:val="auto"/>
              </w:rPr>
              <w:t>(85,058)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Expense</w:t>
            </w:r>
          </w:p>
        </w:tc>
        <w:tc>
          <w:tcPr>
            <w:tcW w:w="2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103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1030" w:type="dxa"/>
            <w:vAlign w:val="bottom"/>
            <w:gridSpan w:val="2"/>
          </w:tcPr>
          <w:p>
            <w:pPr>
              <w:jc w:val="right"/>
              <w:ind w:right="20"/>
              <w:spacing w:after="0"/>
              <w:rPr>
                <w:sz w:val="20"/>
                <w:szCs w:val="20"/>
                <w:color w:val="auto"/>
              </w:rPr>
            </w:pPr>
            <w:r>
              <w:rPr>
                <w:rFonts w:ascii="Arial" w:cs="Arial" w:eastAsia="Arial" w:hAnsi="Arial"/>
                <w:sz w:val="18"/>
                <w:szCs w:val="18"/>
                <w:color w:val="auto"/>
              </w:rPr>
              <w:t>(89,709)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2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103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(4,170)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97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Pr>
          <w:p>
            <w:pPr>
              <w:spacing w:after="0"/>
              <w:rPr>
                <w:sz w:val="8"/>
                <w:szCs w:val="8"/>
                <w:color w:val="auto"/>
              </w:rPr>
            </w:pPr>
          </w:p>
        </w:tc>
        <w:tc>
          <w:tcPr>
            <w:tcW w:w="97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9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Results From Discontinued Operations</w:t>
            </w:r>
          </w:p>
        </w:tc>
        <w:tc>
          <w:tcPr>
            <w:tcW w:w="2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970" w:type="dxa"/>
            <w:vAlign w:val="bottom"/>
          </w:tcPr>
          <w:p>
            <w:pPr>
              <w:jc w:val="right"/>
              <w:spacing w:after="0"/>
              <w:rPr>
                <w:sz w:val="20"/>
                <w:szCs w:val="20"/>
                <w:color w:val="auto"/>
              </w:rPr>
            </w:pPr>
            <w:r>
              <w:rPr>
                <w:rFonts w:ascii="Arial" w:cs="Arial" w:eastAsia="Arial" w:hAnsi="Arial"/>
                <w:sz w:val="18"/>
                <w:szCs w:val="18"/>
                <w:color w:val="auto"/>
              </w:rPr>
              <w:t>15,182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97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Pr>
          <w:p>
            <w:pPr>
              <w:spacing w:after="0"/>
              <w:rPr>
                <w:sz w:val="8"/>
                <w:szCs w:val="8"/>
                <w:color w:val="auto"/>
              </w:rPr>
            </w:pPr>
          </w:p>
        </w:tc>
        <w:tc>
          <w:tcPr>
            <w:tcW w:w="97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750" w:type="dxa"/>
            <w:vAlign w:val="bottom"/>
            <w:gridSpan w:val="3"/>
            <w:shd w:val="clear" w:color="auto" w:fill="CCEEFF"/>
          </w:tcPr>
          <w:p>
            <w:pPr>
              <w:ind w:left="2600"/>
              <w:spacing w:after="0"/>
              <w:rPr>
                <w:sz w:val="20"/>
                <w:szCs w:val="20"/>
                <w:color w:val="auto"/>
              </w:rPr>
            </w:pPr>
            <w:r>
              <w:rPr>
                <w:rFonts w:ascii="Arial" w:cs="Arial" w:eastAsia="Arial" w:hAnsi="Arial"/>
                <w:sz w:val="18"/>
                <w:szCs w:val="18"/>
                <w:b w:val="1"/>
                <w:bCs w:val="1"/>
                <w:color w:val="auto"/>
              </w:rPr>
              <w:t>$</w:t>
            </w:r>
          </w:p>
        </w:tc>
        <w:tc>
          <w:tcPr>
            <w:tcW w:w="97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84,156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97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-29210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2159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60007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77" w:lineRule="exact"/>
        <w:rPr>
          <w:sz w:val="20"/>
          <w:szCs w:val="20"/>
          <w:color w:val="auto"/>
        </w:rPr>
      </w:pPr>
    </w:p>
    <w:p>
      <w:pPr>
        <w:ind w:left="460" w:hanging="452"/>
        <w:spacing w:after="0" w:line="25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Property Operating Income consists of rental income, other property income and mortgage interest income, less rental expenses and real estate taxes. The amounts exclude the operating results from discontinued operations.</w:t>
      </w: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Santanta Row fire insurance proceeds of approximately $3 million.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Comprised of properties located in regions that have fewer than five properties.</w:t>
      </w:r>
    </w:p>
    <w:p>
      <w:pPr>
        <w:spacing w:after="0" w:line="15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274" w:right="4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Leasing Summary (1) - Comparable Basis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2004</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Renewal Lease Summary - Comparable (2) (7)</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5"/>
              </w:rPr>
              <w:t>Weighted</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 of Total</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Cash Basis</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Straight-lined</w:t>
            </w:r>
          </w:p>
        </w:tc>
        <w:tc>
          <w:tcPr>
            <w:tcW w:w="6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Average</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7"/>
              </w:rPr>
              <w:t>Tenant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80" w:type="dxa"/>
            <w:vAlign w:val="bottom"/>
          </w:tcPr>
          <w:p>
            <w:pPr>
              <w:spacing w:after="0"/>
              <w:rPr>
                <w:sz w:val="12"/>
                <w:szCs w:val="12"/>
                <w:color w:val="auto"/>
              </w:rPr>
            </w:pPr>
          </w:p>
        </w:tc>
        <w:tc>
          <w:tcPr>
            <w:tcW w:w="8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79"/>
              </w:rPr>
              <w:t>Leases</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6"/>
          </w:tcPr>
          <w:p>
            <w:pPr>
              <w:jc w:val="right"/>
              <w:spacing w:after="0" w:line="149" w:lineRule="exact"/>
              <w:rPr>
                <w:sz w:val="20"/>
                <w:szCs w:val="20"/>
                <w:color w:val="auto"/>
              </w:rPr>
            </w:pPr>
            <w:r>
              <w:rPr>
                <w:rFonts w:ascii="Arial" w:cs="Arial" w:eastAsia="Arial" w:hAnsi="Arial"/>
                <w:sz w:val="14"/>
                <w:szCs w:val="14"/>
                <w:b w:val="1"/>
                <w:bCs w:val="1"/>
                <w:color w:val="auto"/>
                <w:w w:val="95"/>
              </w:rPr>
              <w:t>Rent (3)   Prior Rent (4)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176"/>
              <w:spacing w:after="0" w:line="149" w:lineRule="exact"/>
              <w:rPr>
                <w:sz w:val="20"/>
                <w:szCs w:val="20"/>
                <w:color w:val="auto"/>
              </w:rPr>
            </w:pPr>
            <w:r>
              <w:rPr>
                <w:rFonts w:ascii="Arial" w:cs="Arial" w:eastAsia="Arial" w:hAnsi="Arial"/>
                <w:sz w:val="14"/>
                <w:szCs w:val="14"/>
                <w:b w:val="1"/>
                <w:bCs w:val="1"/>
                <w:color w:val="auto"/>
              </w:rPr>
              <w:t>Annual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 Increase</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Basis % Increase</w:t>
            </w:r>
          </w:p>
        </w:tc>
        <w:tc>
          <w:tcPr>
            <w:tcW w:w="6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Lease</w:t>
            </w:r>
          </w:p>
        </w:tc>
        <w:tc>
          <w:tcPr>
            <w:tcW w:w="180" w:type="dxa"/>
            <w:vAlign w:val="bottom"/>
          </w:tcPr>
          <w:p>
            <w:pPr>
              <w:spacing w:after="0"/>
              <w:rPr>
                <w:sz w:val="12"/>
                <w:szCs w:val="12"/>
                <w:color w:val="auto"/>
              </w:rPr>
            </w:pPr>
          </w:p>
        </w:tc>
        <w:tc>
          <w:tcPr>
            <w:tcW w:w="860" w:type="dxa"/>
            <w:vAlign w:val="bottom"/>
          </w:tcPr>
          <w:p>
            <w:pPr>
              <w:jc w:val="right"/>
              <w:ind w:right="236"/>
              <w:spacing w:after="0" w:line="149" w:lineRule="exact"/>
              <w:rPr>
                <w:sz w:val="20"/>
                <w:szCs w:val="20"/>
                <w:color w:val="auto"/>
              </w:rPr>
            </w:pPr>
            <w:r>
              <w:rPr>
                <w:rFonts w:ascii="Arial" w:cs="Arial" w:eastAsia="Arial" w:hAnsi="Arial"/>
                <w:sz w:val="14"/>
                <w:szCs w:val="14"/>
                <w:b w:val="1"/>
                <w:bCs w:val="1"/>
                <w:color w:val="auto"/>
              </w:rPr>
              <w:t>Tenant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Improvements</w:t>
            </w:r>
          </w:p>
        </w:tc>
        <w:tc>
          <w:tcPr>
            <w:tcW w:w="0" w:type="dxa"/>
            <w:vAlign w:val="bottom"/>
          </w:tcPr>
          <w:p>
            <w:pPr>
              <w:spacing w:after="0"/>
              <w:rPr>
                <w:sz w:val="1"/>
                <w:szCs w:val="1"/>
                <w:color w:val="auto"/>
              </w:rPr>
            </w:pPr>
          </w:p>
        </w:tc>
      </w:tr>
      <w:tr>
        <w:trPr>
          <w:trHeight w:val="174"/>
        </w:trPr>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Quarter</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1"/>
              </w:rPr>
              <w:t>Leases Signed</w:t>
            </w:r>
          </w:p>
        </w:tc>
        <w:tc>
          <w:tcPr>
            <w:tcW w:w="80" w:type="dxa"/>
            <w:vAlign w:val="bottom"/>
          </w:tcPr>
          <w:p>
            <w:pPr>
              <w:spacing w:after="0"/>
              <w:rPr>
                <w:sz w:val="15"/>
                <w:szCs w:val="15"/>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1"/>
              </w:rPr>
              <w:t>Signed</w:t>
            </w: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GLA Signed</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4"/>
          </w:tcPr>
          <w:p>
            <w:pPr>
              <w:ind w:left="60"/>
              <w:spacing w:after="0"/>
              <w:rPr>
                <w:sz w:val="20"/>
                <w:szCs w:val="20"/>
                <w:color w:val="auto"/>
              </w:rPr>
            </w:pPr>
            <w:r>
              <w:rPr>
                <w:rFonts w:ascii="Arial" w:cs="Arial" w:eastAsia="Arial" w:hAnsi="Arial"/>
                <w:sz w:val="14"/>
                <w:szCs w:val="14"/>
                <w:b w:val="1"/>
                <w:bCs w:val="1"/>
                <w:color w:val="auto"/>
              </w:rPr>
              <w:t>Per Sq. Ft.</w:t>
            </w:r>
          </w:p>
        </w:tc>
        <w:tc>
          <w:tcPr>
            <w:tcW w:w="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6"/>
              </w:rPr>
              <w:t>Per Sq. Ft.</w:t>
            </w:r>
          </w:p>
        </w:tc>
        <w:tc>
          <w:tcPr>
            <w:tcW w:w="8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w w:val="85"/>
              </w:rPr>
              <w:t>Increase in Rent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Over Prior Rent</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Over Prior Rent</w:t>
            </w:r>
          </w:p>
        </w:tc>
        <w:tc>
          <w:tcPr>
            <w:tcW w:w="6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Term (5)</w:t>
            </w: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Improvements (6)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ind w:right="38"/>
              <w:spacing w:after="0"/>
              <w:rPr>
                <w:sz w:val="20"/>
                <w:szCs w:val="20"/>
                <w:color w:val="auto"/>
              </w:rPr>
            </w:pPr>
            <w:r>
              <w:rPr>
                <w:rFonts w:ascii="Arial" w:cs="Arial" w:eastAsia="Arial" w:hAnsi="Arial"/>
                <w:sz w:val="14"/>
                <w:szCs w:val="14"/>
                <w:b w:val="1"/>
                <w:bCs w:val="1"/>
                <w:color w:val="auto"/>
                <w:w w:val="89"/>
              </w:rPr>
              <w:t>Per Sq. Ft.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4th Quarter</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2004</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67%</w:t>
            </w:r>
          </w:p>
        </w:tc>
        <w:tc>
          <w:tcPr>
            <w:tcW w:w="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212,409</w:t>
            </w:r>
          </w:p>
        </w:tc>
        <w:tc>
          <w:tcPr>
            <w:tcW w:w="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533,083</w:t>
            </w:r>
          </w:p>
        </w:tc>
        <w:tc>
          <w:tcPr>
            <w:tcW w:w="12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392,568</w:t>
            </w:r>
          </w:p>
        </w:tc>
        <w:tc>
          <w:tcPr>
            <w:tcW w:w="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3rd Quarter</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0" w:type="dxa"/>
            <w:vAlign w:val="bottom"/>
            <w:gridSpan w:val="3"/>
          </w:tcPr>
          <w:p>
            <w:pPr>
              <w:ind w:left="220"/>
              <w:spacing w:after="0"/>
              <w:rPr>
                <w:sz w:val="20"/>
                <w:szCs w:val="20"/>
                <w:color w:val="auto"/>
              </w:rPr>
            </w:pPr>
            <w:r>
              <w:rPr>
                <w:rFonts w:ascii="Arial" w:cs="Arial" w:eastAsia="Arial" w:hAnsi="Arial"/>
                <w:sz w:val="18"/>
                <w:szCs w:val="18"/>
                <w:color w:val="auto"/>
              </w:rPr>
              <w:t>2004</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183,428</w:t>
            </w:r>
          </w:p>
        </w:tc>
        <w:tc>
          <w:tcPr>
            <w:tcW w:w="200" w:type="dxa"/>
            <w:vAlign w:val="bottom"/>
            <w:gridSpan w:val="3"/>
          </w:tcPr>
          <w:p>
            <w:pPr>
              <w:ind w:left="8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24.44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19.56</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893,800</w:t>
            </w:r>
          </w:p>
        </w:tc>
        <w:tc>
          <w:tcPr>
            <w:tcW w:w="1260" w:type="dxa"/>
            <w:vAlign w:val="bottom"/>
            <w:gridSpan w:val="4"/>
          </w:tcPr>
          <w:p>
            <w:pPr>
              <w:jc w:val="right"/>
              <w:ind w:right="80"/>
              <w:spacing w:after="0"/>
              <w:rPr>
                <w:sz w:val="20"/>
                <w:szCs w:val="20"/>
                <w:color w:val="auto"/>
              </w:rPr>
            </w:pPr>
            <w:r>
              <w:rPr>
                <w:rFonts w:ascii="Arial" w:cs="Arial" w:eastAsia="Arial" w:hAnsi="Arial"/>
                <w:sz w:val="18"/>
                <w:szCs w:val="18"/>
                <w:color w:val="auto"/>
              </w:rPr>
              <w:t>25%</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190,135</w:t>
            </w:r>
          </w:p>
        </w:tc>
        <w:tc>
          <w:tcPr>
            <w:tcW w:w="200" w:type="dxa"/>
            <w:vAlign w:val="bottom"/>
            <w:gridSpan w:val="3"/>
          </w:tcPr>
          <w:p>
            <w:pPr>
              <w:ind w:left="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2nd Quarter</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2004</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63%</w:t>
            </w:r>
          </w:p>
        </w:tc>
        <w:tc>
          <w:tcPr>
            <w:tcW w:w="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219,919</w:t>
            </w:r>
          </w:p>
        </w:tc>
        <w:tc>
          <w:tcPr>
            <w:tcW w:w="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544,693</w:t>
            </w:r>
          </w:p>
        </w:tc>
        <w:tc>
          <w:tcPr>
            <w:tcW w:w="12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529,924</w:t>
            </w:r>
          </w:p>
        </w:tc>
        <w:tc>
          <w:tcPr>
            <w:tcW w:w="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1st Quarter</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0" w:type="dxa"/>
            <w:vAlign w:val="bottom"/>
            <w:gridSpan w:val="3"/>
          </w:tcPr>
          <w:p>
            <w:pPr>
              <w:ind w:left="220"/>
              <w:spacing w:after="0"/>
              <w:rPr>
                <w:sz w:val="20"/>
                <w:szCs w:val="20"/>
                <w:color w:val="auto"/>
              </w:rPr>
            </w:pPr>
            <w:r>
              <w:rPr>
                <w:rFonts w:ascii="Arial" w:cs="Arial" w:eastAsia="Arial" w:hAnsi="Arial"/>
                <w:sz w:val="18"/>
                <w:szCs w:val="18"/>
                <w:color w:val="auto"/>
              </w:rPr>
              <w:t>2004</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102,220</w:t>
            </w:r>
          </w:p>
        </w:tc>
        <w:tc>
          <w:tcPr>
            <w:tcW w:w="200" w:type="dxa"/>
            <w:vAlign w:val="bottom"/>
            <w:gridSpan w:val="3"/>
          </w:tcPr>
          <w:p>
            <w:pPr>
              <w:ind w:left="8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27.45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24.98</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252,272</w:t>
            </w:r>
          </w:p>
        </w:tc>
        <w:tc>
          <w:tcPr>
            <w:tcW w:w="1260" w:type="dxa"/>
            <w:vAlign w:val="bottom"/>
            <w:gridSpan w:val="4"/>
          </w:tcPr>
          <w:p>
            <w:pPr>
              <w:jc w:val="right"/>
              <w:ind w:right="80"/>
              <w:spacing w:after="0"/>
              <w:rPr>
                <w:sz w:val="20"/>
                <w:szCs w:val="20"/>
                <w:color w:val="auto"/>
              </w:rPr>
            </w:pPr>
            <w:r>
              <w:rPr>
                <w:rFonts w:ascii="Arial" w:cs="Arial" w:eastAsia="Arial" w:hAnsi="Arial"/>
                <w:sz w:val="18"/>
                <w:szCs w:val="18"/>
                <w:color w:val="auto"/>
              </w:rPr>
              <w:t>10%</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70,000</w:t>
            </w:r>
          </w:p>
        </w:tc>
        <w:tc>
          <w:tcPr>
            <w:tcW w:w="200" w:type="dxa"/>
            <w:vAlign w:val="bottom"/>
            <w:gridSpan w:val="3"/>
          </w:tcPr>
          <w:p>
            <w:pPr>
              <w:ind w:left="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- 12</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months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c>
          <w:tcPr>
            <w:tcW w:w="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717,976</w:t>
            </w:r>
          </w:p>
        </w:tc>
        <w:tc>
          <w:tcPr>
            <w:tcW w:w="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20.87</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2,223,848</w:t>
            </w:r>
          </w:p>
        </w:tc>
        <w:tc>
          <w:tcPr>
            <w:tcW w:w="12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1,182,627</w:t>
            </w:r>
          </w:p>
        </w:tc>
        <w:tc>
          <w:tcPr>
            <w:tcW w:w="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132"/>
        </w:trPr>
        <w:tc>
          <w:tcPr>
            <w:tcW w:w="960" w:type="dxa"/>
            <w:vAlign w:val="bottom"/>
            <w:gridSpan w:val="3"/>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9"/>
        </w:trPr>
        <w:tc>
          <w:tcPr>
            <w:tcW w:w="3620" w:type="dxa"/>
            <w:vAlign w:val="bottom"/>
            <w:gridSpan w:val="11"/>
          </w:tcPr>
          <w:p>
            <w:pPr>
              <w:spacing w:after="0"/>
              <w:rPr>
                <w:sz w:val="20"/>
                <w:szCs w:val="20"/>
                <w:color w:val="auto"/>
              </w:rPr>
            </w:pPr>
            <w:r>
              <w:rPr>
                <w:rFonts w:ascii="Arial" w:cs="Arial" w:eastAsia="Arial" w:hAnsi="Arial"/>
                <w:sz w:val="18"/>
                <w:szCs w:val="18"/>
                <w:b w:val="1"/>
                <w:bCs w:val="1"/>
                <w:color w:val="auto"/>
              </w:rPr>
              <w:t>New Lease Summary - Comparable (2)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5"/>
              </w:rPr>
              <w:t>Weighted</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 of Total</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Cash Basis %</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Straight-lined</w:t>
            </w:r>
          </w:p>
        </w:tc>
        <w:tc>
          <w:tcPr>
            <w:tcW w:w="6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Average</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7"/>
              </w:rPr>
              <w:t>Tenant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80" w:type="dxa"/>
            <w:vAlign w:val="bottom"/>
          </w:tcPr>
          <w:p>
            <w:pPr>
              <w:spacing w:after="0"/>
              <w:rPr>
                <w:sz w:val="12"/>
                <w:szCs w:val="12"/>
                <w:color w:val="auto"/>
              </w:rPr>
            </w:pPr>
          </w:p>
        </w:tc>
        <w:tc>
          <w:tcPr>
            <w:tcW w:w="8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79"/>
              </w:rPr>
              <w:t>Leases</w:t>
            </w:r>
          </w:p>
        </w:tc>
        <w:tc>
          <w:tcPr>
            <w:tcW w:w="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GLA</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6"/>
          </w:tcPr>
          <w:p>
            <w:pPr>
              <w:jc w:val="right"/>
              <w:spacing w:after="0" w:line="149" w:lineRule="exact"/>
              <w:rPr>
                <w:sz w:val="20"/>
                <w:szCs w:val="20"/>
                <w:color w:val="auto"/>
              </w:rPr>
            </w:pPr>
            <w:r>
              <w:rPr>
                <w:rFonts w:ascii="Arial" w:cs="Arial" w:eastAsia="Arial" w:hAnsi="Arial"/>
                <w:sz w:val="14"/>
                <w:szCs w:val="14"/>
                <w:b w:val="1"/>
                <w:bCs w:val="1"/>
                <w:color w:val="auto"/>
                <w:w w:val="95"/>
              </w:rPr>
              <w:t>Rent (3)   Prior Rent (4)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176"/>
              <w:spacing w:after="0" w:line="149" w:lineRule="exact"/>
              <w:rPr>
                <w:sz w:val="20"/>
                <w:szCs w:val="20"/>
                <w:color w:val="auto"/>
              </w:rPr>
            </w:pPr>
            <w:r>
              <w:rPr>
                <w:rFonts w:ascii="Arial" w:cs="Arial" w:eastAsia="Arial" w:hAnsi="Arial"/>
                <w:sz w:val="14"/>
                <w:szCs w:val="14"/>
                <w:b w:val="1"/>
                <w:bCs w:val="1"/>
                <w:color w:val="auto"/>
              </w:rPr>
              <w:t>Annual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Increase Over</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Basis % Increase</w:t>
            </w:r>
          </w:p>
        </w:tc>
        <w:tc>
          <w:tcPr>
            <w:tcW w:w="6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Lease</w:t>
            </w:r>
          </w:p>
        </w:tc>
        <w:tc>
          <w:tcPr>
            <w:tcW w:w="180" w:type="dxa"/>
            <w:vAlign w:val="bottom"/>
          </w:tcPr>
          <w:p>
            <w:pPr>
              <w:spacing w:after="0"/>
              <w:rPr>
                <w:sz w:val="12"/>
                <w:szCs w:val="12"/>
                <w:color w:val="auto"/>
              </w:rPr>
            </w:pPr>
          </w:p>
        </w:tc>
        <w:tc>
          <w:tcPr>
            <w:tcW w:w="860" w:type="dxa"/>
            <w:vAlign w:val="bottom"/>
          </w:tcPr>
          <w:p>
            <w:pPr>
              <w:jc w:val="right"/>
              <w:ind w:right="236"/>
              <w:spacing w:after="0" w:line="149" w:lineRule="exact"/>
              <w:rPr>
                <w:sz w:val="20"/>
                <w:szCs w:val="20"/>
                <w:color w:val="auto"/>
              </w:rPr>
            </w:pPr>
            <w:r>
              <w:rPr>
                <w:rFonts w:ascii="Arial" w:cs="Arial" w:eastAsia="Arial" w:hAnsi="Arial"/>
                <w:sz w:val="14"/>
                <w:szCs w:val="14"/>
                <w:b w:val="1"/>
                <w:bCs w:val="1"/>
                <w:color w:val="auto"/>
              </w:rPr>
              <w:t>Tenant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Improvements</w:t>
            </w:r>
          </w:p>
        </w:tc>
        <w:tc>
          <w:tcPr>
            <w:tcW w:w="0" w:type="dxa"/>
            <w:vAlign w:val="bottom"/>
          </w:tcPr>
          <w:p>
            <w:pPr>
              <w:spacing w:after="0"/>
              <w:rPr>
                <w:sz w:val="1"/>
                <w:szCs w:val="1"/>
                <w:color w:val="auto"/>
              </w:rPr>
            </w:pPr>
          </w:p>
        </w:tc>
      </w:tr>
      <w:tr>
        <w:trPr>
          <w:trHeight w:val="174"/>
        </w:trPr>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Quarter</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1"/>
              </w:rPr>
              <w:t>Leases Signed</w:t>
            </w:r>
          </w:p>
        </w:tc>
        <w:tc>
          <w:tcPr>
            <w:tcW w:w="80" w:type="dxa"/>
            <w:vAlign w:val="bottom"/>
          </w:tcPr>
          <w:p>
            <w:pPr>
              <w:spacing w:after="0"/>
              <w:rPr>
                <w:sz w:val="15"/>
                <w:szCs w:val="15"/>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1"/>
              </w:rPr>
              <w:t>Signed</w:t>
            </w:r>
          </w:p>
        </w:tc>
        <w:tc>
          <w:tcPr>
            <w:tcW w:w="6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1"/>
              </w:rPr>
              <w:t>Signed</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4"/>
          </w:tcPr>
          <w:p>
            <w:pPr>
              <w:ind w:left="60"/>
              <w:spacing w:after="0"/>
              <w:rPr>
                <w:sz w:val="20"/>
                <w:szCs w:val="20"/>
                <w:color w:val="auto"/>
              </w:rPr>
            </w:pPr>
            <w:r>
              <w:rPr>
                <w:rFonts w:ascii="Arial" w:cs="Arial" w:eastAsia="Arial" w:hAnsi="Arial"/>
                <w:sz w:val="14"/>
                <w:szCs w:val="14"/>
                <w:b w:val="1"/>
                <w:bCs w:val="1"/>
                <w:color w:val="auto"/>
              </w:rPr>
              <w:t>Per Sq. Ft.</w:t>
            </w:r>
          </w:p>
        </w:tc>
        <w:tc>
          <w:tcPr>
            <w:tcW w:w="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6"/>
              </w:rPr>
              <w:t>Per Sq. Ft.</w:t>
            </w:r>
          </w:p>
        </w:tc>
        <w:tc>
          <w:tcPr>
            <w:tcW w:w="8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w w:val="85"/>
              </w:rPr>
              <w:t>Increase in Rent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Prior Rent</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Over Prior Rent</w:t>
            </w:r>
          </w:p>
        </w:tc>
        <w:tc>
          <w:tcPr>
            <w:tcW w:w="6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Term (5)</w:t>
            </w: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Improvements (6)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ind w:right="38"/>
              <w:spacing w:after="0"/>
              <w:rPr>
                <w:sz w:val="20"/>
                <w:szCs w:val="20"/>
                <w:color w:val="auto"/>
              </w:rPr>
            </w:pPr>
            <w:r>
              <w:rPr>
                <w:rFonts w:ascii="Arial" w:cs="Arial" w:eastAsia="Arial" w:hAnsi="Arial"/>
                <w:sz w:val="14"/>
                <w:szCs w:val="14"/>
                <w:b w:val="1"/>
                <w:bCs w:val="1"/>
                <w:color w:val="auto"/>
                <w:w w:val="89"/>
              </w:rPr>
              <w:t>Per Sq. Ft.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4th Quarter</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2004</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185,703</w:t>
            </w:r>
          </w:p>
        </w:tc>
        <w:tc>
          <w:tcPr>
            <w:tcW w:w="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830,620</w:t>
            </w:r>
          </w:p>
        </w:tc>
        <w:tc>
          <w:tcPr>
            <w:tcW w:w="12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3,616,757</w:t>
            </w:r>
          </w:p>
        </w:tc>
        <w:tc>
          <w:tcPr>
            <w:tcW w:w="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3rd Quarter</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0" w:type="dxa"/>
            <w:vAlign w:val="bottom"/>
            <w:gridSpan w:val="3"/>
          </w:tcPr>
          <w:p>
            <w:pPr>
              <w:ind w:left="220"/>
              <w:spacing w:after="0"/>
              <w:rPr>
                <w:sz w:val="20"/>
                <w:szCs w:val="20"/>
                <w:color w:val="auto"/>
              </w:rPr>
            </w:pPr>
            <w:r>
              <w:rPr>
                <w:rFonts w:ascii="Arial" w:cs="Arial" w:eastAsia="Arial" w:hAnsi="Arial"/>
                <w:sz w:val="18"/>
                <w:szCs w:val="18"/>
                <w:color w:val="auto"/>
              </w:rPr>
              <w:t>2004</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225,497</w:t>
            </w:r>
          </w:p>
        </w:tc>
        <w:tc>
          <w:tcPr>
            <w:tcW w:w="200" w:type="dxa"/>
            <w:vAlign w:val="bottom"/>
            <w:gridSpan w:val="3"/>
          </w:tcPr>
          <w:p>
            <w:pPr>
              <w:ind w:left="8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21.50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17.99</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791,958</w:t>
            </w:r>
          </w:p>
        </w:tc>
        <w:tc>
          <w:tcPr>
            <w:tcW w:w="1260" w:type="dxa"/>
            <w:vAlign w:val="bottom"/>
            <w:gridSpan w:val="4"/>
          </w:tcPr>
          <w:p>
            <w:pPr>
              <w:jc w:val="right"/>
              <w:ind w:right="80"/>
              <w:spacing w:after="0"/>
              <w:rPr>
                <w:sz w:val="20"/>
                <w:szCs w:val="20"/>
                <w:color w:val="auto"/>
              </w:rPr>
            </w:pPr>
            <w:r>
              <w:rPr>
                <w:rFonts w:ascii="Arial" w:cs="Arial" w:eastAsia="Arial" w:hAnsi="Arial"/>
                <w:sz w:val="18"/>
                <w:szCs w:val="18"/>
                <w:color w:val="auto"/>
              </w:rPr>
              <w:t>20%</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5,302,465</w:t>
            </w:r>
          </w:p>
        </w:tc>
        <w:tc>
          <w:tcPr>
            <w:tcW w:w="200" w:type="dxa"/>
            <w:vAlign w:val="bottom"/>
            <w:gridSpan w:val="3"/>
          </w:tcPr>
          <w:p>
            <w:pPr>
              <w:ind w:left="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2nd Quarter</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2004</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261,186</w:t>
            </w:r>
          </w:p>
        </w:tc>
        <w:tc>
          <w:tcPr>
            <w:tcW w:w="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617,736</w:t>
            </w:r>
          </w:p>
        </w:tc>
        <w:tc>
          <w:tcPr>
            <w:tcW w:w="12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3,694,856</w:t>
            </w:r>
          </w:p>
        </w:tc>
        <w:tc>
          <w:tcPr>
            <w:tcW w:w="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1st Quarter</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0" w:type="dxa"/>
            <w:vAlign w:val="bottom"/>
            <w:gridSpan w:val="3"/>
          </w:tcPr>
          <w:p>
            <w:pPr>
              <w:ind w:left="220"/>
              <w:spacing w:after="0"/>
              <w:rPr>
                <w:sz w:val="20"/>
                <w:szCs w:val="20"/>
                <w:color w:val="auto"/>
              </w:rPr>
            </w:pPr>
            <w:r>
              <w:rPr>
                <w:rFonts w:ascii="Arial" w:cs="Arial" w:eastAsia="Arial" w:hAnsi="Arial"/>
                <w:sz w:val="18"/>
                <w:szCs w:val="18"/>
                <w:color w:val="auto"/>
              </w:rPr>
              <w:t>2004</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272,835</w:t>
            </w:r>
          </w:p>
        </w:tc>
        <w:tc>
          <w:tcPr>
            <w:tcW w:w="200" w:type="dxa"/>
            <w:vAlign w:val="bottom"/>
            <w:gridSpan w:val="3"/>
          </w:tcPr>
          <w:p>
            <w:pPr>
              <w:ind w:left="8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19.93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16.46</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948,063</w:t>
            </w:r>
          </w:p>
        </w:tc>
        <w:tc>
          <w:tcPr>
            <w:tcW w:w="1260" w:type="dxa"/>
            <w:vAlign w:val="bottom"/>
            <w:gridSpan w:val="4"/>
          </w:tcPr>
          <w:p>
            <w:pPr>
              <w:jc w:val="right"/>
              <w:ind w:right="80"/>
              <w:spacing w:after="0"/>
              <w:rPr>
                <w:sz w:val="20"/>
                <w:szCs w:val="20"/>
                <w:color w:val="auto"/>
              </w:rPr>
            </w:pPr>
            <w:r>
              <w:rPr>
                <w:rFonts w:ascii="Arial" w:cs="Arial" w:eastAsia="Arial" w:hAnsi="Arial"/>
                <w:sz w:val="18"/>
                <w:szCs w:val="18"/>
                <w:color w:val="auto"/>
              </w:rPr>
              <w:t>21%</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2,754,080</w:t>
            </w:r>
          </w:p>
        </w:tc>
        <w:tc>
          <w:tcPr>
            <w:tcW w:w="200" w:type="dxa"/>
            <w:vAlign w:val="bottom"/>
            <w:gridSpan w:val="3"/>
          </w:tcPr>
          <w:p>
            <w:pPr>
              <w:ind w:left="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- 12</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months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c>
          <w:tcPr>
            <w:tcW w:w="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945,221</w:t>
            </w:r>
          </w:p>
        </w:tc>
        <w:tc>
          <w:tcPr>
            <w:tcW w:w="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3,188,377</w:t>
            </w:r>
          </w:p>
        </w:tc>
        <w:tc>
          <w:tcPr>
            <w:tcW w:w="12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15,368,158</w:t>
            </w:r>
          </w:p>
        </w:tc>
        <w:tc>
          <w:tcPr>
            <w:tcW w:w="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132"/>
        </w:trPr>
        <w:tc>
          <w:tcPr>
            <w:tcW w:w="960" w:type="dxa"/>
            <w:vAlign w:val="bottom"/>
            <w:gridSpan w:val="3"/>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9"/>
        </w:trPr>
        <w:tc>
          <w:tcPr>
            <w:tcW w:w="3620" w:type="dxa"/>
            <w:vAlign w:val="bottom"/>
            <w:gridSpan w:val="11"/>
          </w:tcPr>
          <w:p>
            <w:pPr>
              <w:spacing w:after="0"/>
              <w:rPr>
                <w:sz w:val="20"/>
                <w:szCs w:val="20"/>
                <w:color w:val="auto"/>
              </w:rPr>
            </w:pPr>
            <w:r>
              <w:rPr>
                <w:rFonts w:ascii="Arial" w:cs="Arial" w:eastAsia="Arial" w:hAnsi="Arial"/>
                <w:sz w:val="18"/>
                <w:szCs w:val="18"/>
                <w:b w:val="1"/>
                <w:bCs w:val="1"/>
                <w:color w:val="auto"/>
              </w:rPr>
              <w:t>Total Lease Summary - Comparable (2)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5"/>
              </w:rPr>
              <w:t>Weighted</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 of Total</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Cash Basis %</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Straight-lined</w:t>
            </w:r>
          </w:p>
        </w:tc>
        <w:tc>
          <w:tcPr>
            <w:tcW w:w="6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Average</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7"/>
              </w:rPr>
              <w:t>Tenant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80" w:type="dxa"/>
            <w:vAlign w:val="bottom"/>
          </w:tcPr>
          <w:p>
            <w:pPr>
              <w:spacing w:after="0"/>
              <w:rPr>
                <w:sz w:val="12"/>
                <w:szCs w:val="12"/>
                <w:color w:val="auto"/>
              </w:rPr>
            </w:pPr>
          </w:p>
        </w:tc>
        <w:tc>
          <w:tcPr>
            <w:tcW w:w="8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79"/>
              </w:rPr>
              <w:t>Leases</w:t>
            </w:r>
          </w:p>
        </w:tc>
        <w:tc>
          <w:tcPr>
            <w:tcW w:w="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GLA</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6"/>
          </w:tcPr>
          <w:p>
            <w:pPr>
              <w:jc w:val="right"/>
              <w:spacing w:after="0" w:line="149" w:lineRule="exact"/>
              <w:rPr>
                <w:sz w:val="20"/>
                <w:szCs w:val="20"/>
                <w:color w:val="auto"/>
              </w:rPr>
            </w:pPr>
            <w:r>
              <w:rPr>
                <w:rFonts w:ascii="Arial" w:cs="Arial" w:eastAsia="Arial" w:hAnsi="Arial"/>
                <w:sz w:val="14"/>
                <w:szCs w:val="14"/>
                <w:b w:val="1"/>
                <w:bCs w:val="1"/>
                <w:color w:val="auto"/>
                <w:w w:val="95"/>
              </w:rPr>
              <w:t>Rent (3)   Prior Rent (4)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176"/>
              <w:spacing w:after="0" w:line="149" w:lineRule="exact"/>
              <w:rPr>
                <w:sz w:val="20"/>
                <w:szCs w:val="20"/>
                <w:color w:val="auto"/>
              </w:rPr>
            </w:pPr>
            <w:r>
              <w:rPr>
                <w:rFonts w:ascii="Arial" w:cs="Arial" w:eastAsia="Arial" w:hAnsi="Arial"/>
                <w:sz w:val="14"/>
                <w:szCs w:val="14"/>
                <w:b w:val="1"/>
                <w:bCs w:val="1"/>
                <w:color w:val="auto"/>
              </w:rPr>
              <w:t>Annual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Increase Over</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Basis % Increase</w:t>
            </w:r>
          </w:p>
        </w:tc>
        <w:tc>
          <w:tcPr>
            <w:tcW w:w="6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Lease</w:t>
            </w:r>
          </w:p>
        </w:tc>
        <w:tc>
          <w:tcPr>
            <w:tcW w:w="180" w:type="dxa"/>
            <w:vAlign w:val="bottom"/>
          </w:tcPr>
          <w:p>
            <w:pPr>
              <w:spacing w:after="0"/>
              <w:rPr>
                <w:sz w:val="12"/>
                <w:szCs w:val="12"/>
                <w:color w:val="auto"/>
              </w:rPr>
            </w:pPr>
          </w:p>
        </w:tc>
        <w:tc>
          <w:tcPr>
            <w:tcW w:w="860" w:type="dxa"/>
            <w:vAlign w:val="bottom"/>
          </w:tcPr>
          <w:p>
            <w:pPr>
              <w:jc w:val="right"/>
              <w:ind w:right="236"/>
              <w:spacing w:after="0" w:line="149" w:lineRule="exact"/>
              <w:rPr>
                <w:sz w:val="20"/>
                <w:szCs w:val="20"/>
                <w:color w:val="auto"/>
              </w:rPr>
            </w:pPr>
            <w:r>
              <w:rPr>
                <w:rFonts w:ascii="Arial" w:cs="Arial" w:eastAsia="Arial" w:hAnsi="Arial"/>
                <w:sz w:val="14"/>
                <w:szCs w:val="14"/>
                <w:b w:val="1"/>
                <w:bCs w:val="1"/>
                <w:color w:val="auto"/>
              </w:rPr>
              <w:t>Tenant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Improvements</w:t>
            </w:r>
          </w:p>
        </w:tc>
        <w:tc>
          <w:tcPr>
            <w:tcW w:w="0" w:type="dxa"/>
            <w:vAlign w:val="bottom"/>
          </w:tcPr>
          <w:p>
            <w:pPr>
              <w:spacing w:after="0"/>
              <w:rPr>
                <w:sz w:val="1"/>
                <w:szCs w:val="1"/>
                <w:color w:val="auto"/>
              </w:rPr>
            </w:pPr>
          </w:p>
        </w:tc>
      </w:tr>
      <w:tr>
        <w:trPr>
          <w:trHeight w:val="174"/>
        </w:trPr>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Quarter</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1"/>
              </w:rPr>
              <w:t>Leases Signed</w:t>
            </w:r>
          </w:p>
        </w:tc>
        <w:tc>
          <w:tcPr>
            <w:tcW w:w="80" w:type="dxa"/>
            <w:vAlign w:val="bottom"/>
          </w:tcPr>
          <w:p>
            <w:pPr>
              <w:spacing w:after="0"/>
              <w:rPr>
                <w:sz w:val="15"/>
                <w:szCs w:val="15"/>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1"/>
              </w:rPr>
              <w:t>Signed</w:t>
            </w:r>
          </w:p>
        </w:tc>
        <w:tc>
          <w:tcPr>
            <w:tcW w:w="6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1"/>
              </w:rPr>
              <w:t>Signed</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4"/>
          </w:tcPr>
          <w:p>
            <w:pPr>
              <w:ind w:left="60"/>
              <w:spacing w:after="0"/>
              <w:rPr>
                <w:sz w:val="20"/>
                <w:szCs w:val="20"/>
                <w:color w:val="auto"/>
              </w:rPr>
            </w:pPr>
            <w:r>
              <w:rPr>
                <w:rFonts w:ascii="Arial" w:cs="Arial" w:eastAsia="Arial" w:hAnsi="Arial"/>
                <w:sz w:val="14"/>
                <w:szCs w:val="14"/>
                <w:b w:val="1"/>
                <w:bCs w:val="1"/>
                <w:color w:val="auto"/>
              </w:rPr>
              <w:t>Per Sq. Ft.</w:t>
            </w:r>
          </w:p>
        </w:tc>
        <w:tc>
          <w:tcPr>
            <w:tcW w:w="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6"/>
              </w:rPr>
              <w:t>Per Sq. Ft.</w:t>
            </w:r>
          </w:p>
        </w:tc>
        <w:tc>
          <w:tcPr>
            <w:tcW w:w="8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w w:val="85"/>
              </w:rPr>
              <w:t>Increase in Rent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Prior Rent</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Over Prior Rent</w:t>
            </w:r>
          </w:p>
        </w:tc>
        <w:tc>
          <w:tcPr>
            <w:tcW w:w="6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Term (5)</w:t>
            </w: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Improvements (6)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ind w:right="38"/>
              <w:spacing w:after="0"/>
              <w:rPr>
                <w:sz w:val="20"/>
                <w:szCs w:val="20"/>
                <w:color w:val="auto"/>
              </w:rPr>
            </w:pPr>
            <w:r>
              <w:rPr>
                <w:rFonts w:ascii="Arial" w:cs="Arial" w:eastAsia="Arial" w:hAnsi="Arial"/>
                <w:sz w:val="14"/>
                <w:szCs w:val="14"/>
                <w:b w:val="1"/>
                <w:bCs w:val="1"/>
                <w:color w:val="auto"/>
                <w:w w:val="89"/>
              </w:rPr>
              <w:t>Per Sq. Ft.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4th Quarter</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2004</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398,112</w:t>
            </w:r>
          </w:p>
        </w:tc>
        <w:tc>
          <w:tcPr>
            <w:tcW w:w="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1,363,703</w:t>
            </w:r>
          </w:p>
        </w:tc>
        <w:tc>
          <w:tcPr>
            <w:tcW w:w="12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4,009,325</w:t>
            </w:r>
          </w:p>
        </w:tc>
        <w:tc>
          <w:tcPr>
            <w:tcW w:w="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3rd Quarter</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0" w:type="dxa"/>
            <w:vAlign w:val="bottom"/>
            <w:gridSpan w:val="3"/>
          </w:tcPr>
          <w:p>
            <w:pPr>
              <w:ind w:left="220"/>
              <w:spacing w:after="0"/>
              <w:rPr>
                <w:sz w:val="20"/>
                <w:szCs w:val="20"/>
                <w:color w:val="auto"/>
              </w:rPr>
            </w:pPr>
            <w:r>
              <w:rPr>
                <w:rFonts w:ascii="Arial" w:cs="Arial" w:eastAsia="Arial" w:hAnsi="Arial"/>
                <w:sz w:val="18"/>
                <w:szCs w:val="18"/>
                <w:color w:val="auto"/>
              </w:rPr>
              <w:t>2004</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408,925</w:t>
            </w:r>
          </w:p>
        </w:tc>
        <w:tc>
          <w:tcPr>
            <w:tcW w:w="200" w:type="dxa"/>
            <w:vAlign w:val="bottom"/>
            <w:gridSpan w:val="3"/>
          </w:tcPr>
          <w:p>
            <w:pPr>
              <w:ind w:left="8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22.82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18.69</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1,685,758</w:t>
            </w:r>
          </w:p>
        </w:tc>
        <w:tc>
          <w:tcPr>
            <w:tcW w:w="1260" w:type="dxa"/>
            <w:vAlign w:val="bottom"/>
            <w:gridSpan w:val="4"/>
          </w:tcPr>
          <w:p>
            <w:pPr>
              <w:jc w:val="right"/>
              <w:ind w:right="80"/>
              <w:spacing w:after="0"/>
              <w:rPr>
                <w:sz w:val="20"/>
                <w:szCs w:val="20"/>
                <w:color w:val="auto"/>
              </w:rPr>
            </w:pPr>
            <w:r>
              <w:rPr>
                <w:rFonts w:ascii="Arial" w:cs="Arial" w:eastAsia="Arial" w:hAnsi="Arial"/>
                <w:sz w:val="18"/>
                <w:szCs w:val="18"/>
                <w:color w:val="auto"/>
              </w:rPr>
              <w:t>22%</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5,492,600</w:t>
            </w:r>
          </w:p>
        </w:tc>
        <w:tc>
          <w:tcPr>
            <w:tcW w:w="200" w:type="dxa"/>
            <w:vAlign w:val="bottom"/>
            <w:gridSpan w:val="3"/>
          </w:tcPr>
          <w:p>
            <w:pPr>
              <w:ind w:left="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2nd Quarter</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2004</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481,105</w:t>
            </w:r>
          </w:p>
        </w:tc>
        <w:tc>
          <w:tcPr>
            <w:tcW w:w="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1,162,429</w:t>
            </w:r>
          </w:p>
        </w:tc>
        <w:tc>
          <w:tcPr>
            <w:tcW w:w="12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4,224,780</w:t>
            </w:r>
          </w:p>
        </w:tc>
        <w:tc>
          <w:tcPr>
            <w:tcW w:w="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1st Quarter</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0" w:type="dxa"/>
            <w:vAlign w:val="bottom"/>
            <w:gridSpan w:val="3"/>
          </w:tcPr>
          <w:p>
            <w:pPr>
              <w:ind w:left="220"/>
              <w:spacing w:after="0"/>
              <w:rPr>
                <w:sz w:val="20"/>
                <w:szCs w:val="20"/>
                <w:color w:val="auto"/>
              </w:rPr>
            </w:pPr>
            <w:r>
              <w:rPr>
                <w:rFonts w:ascii="Arial" w:cs="Arial" w:eastAsia="Arial" w:hAnsi="Arial"/>
                <w:sz w:val="18"/>
                <w:szCs w:val="18"/>
                <w:color w:val="auto"/>
              </w:rPr>
              <w:t>2004</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375,055</w:t>
            </w:r>
          </w:p>
        </w:tc>
        <w:tc>
          <w:tcPr>
            <w:tcW w:w="200" w:type="dxa"/>
            <w:vAlign w:val="bottom"/>
            <w:gridSpan w:val="3"/>
          </w:tcPr>
          <w:p>
            <w:pPr>
              <w:ind w:left="8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21.98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18.78</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1,200,335</w:t>
            </w:r>
          </w:p>
        </w:tc>
        <w:tc>
          <w:tcPr>
            <w:tcW w:w="1260" w:type="dxa"/>
            <w:vAlign w:val="bottom"/>
            <w:gridSpan w:val="4"/>
          </w:tcPr>
          <w:p>
            <w:pPr>
              <w:jc w:val="right"/>
              <w:ind w:right="80"/>
              <w:spacing w:after="0"/>
              <w:rPr>
                <w:sz w:val="20"/>
                <w:szCs w:val="20"/>
                <w:color w:val="auto"/>
              </w:rPr>
            </w:pPr>
            <w:r>
              <w:rPr>
                <w:rFonts w:ascii="Arial" w:cs="Arial" w:eastAsia="Arial" w:hAnsi="Arial"/>
                <w:sz w:val="18"/>
                <w:szCs w:val="18"/>
                <w:color w:val="auto"/>
              </w:rPr>
              <w:t>17%</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2,824,080</w:t>
            </w:r>
          </w:p>
        </w:tc>
        <w:tc>
          <w:tcPr>
            <w:tcW w:w="200" w:type="dxa"/>
            <w:vAlign w:val="bottom"/>
            <w:gridSpan w:val="3"/>
          </w:tcPr>
          <w:p>
            <w:pPr>
              <w:ind w:left="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- 12</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months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1,663,197</w:t>
            </w:r>
          </w:p>
        </w:tc>
        <w:tc>
          <w:tcPr>
            <w:tcW w:w="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5,412,225</w:t>
            </w:r>
          </w:p>
        </w:tc>
        <w:tc>
          <w:tcPr>
            <w:tcW w:w="12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16,550,785</w:t>
            </w:r>
          </w:p>
        </w:tc>
        <w:tc>
          <w:tcPr>
            <w:tcW w:w="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1246505</wp:posOffset>
            </wp:positionH>
            <wp:positionV relativeFrom="paragraph">
              <wp:posOffset>-5249545</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740410</wp:posOffset>
            </wp:positionH>
            <wp:positionV relativeFrom="paragraph">
              <wp:posOffset>-5249545</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1306830</wp:posOffset>
            </wp:positionH>
            <wp:positionV relativeFrom="paragraph">
              <wp:posOffset>-5249545</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-5249545</wp:posOffset>
            </wp:positionV>
            <wp:extent cx="3873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-5249545</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-5249545</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-5249545</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2421255</wp:posOffset>
            </wp:positionH>
            <wp:positionV relativeFrom="paragraph">
              <wp:posOffset>-5249545</wp:posOffset>
            </wp:positionV>
            <wp:extent cx="483235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832350" cy="29845"/>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-2711450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740410</wp:posOffset>
            </wp:positionH>
            <wp:positionV relativeFrom="paragraph">
              <wp:posOffset>-2711450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1306830</wp:posOffset>
            </wp:positionH>
            <wp:positionV relativeFrom="paragraph">
              <wp:posOffset>-2711450</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-2711450</wp:posOffset>
            </wp:positionV>
            <wp:extent cx="3873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-2711450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-2711450</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-2711450</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-2711450</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2421255</wp:posOffset>
            </wp:positionH>
            <wp:positionV relativeFrom="paragraph">
              <wp:posOffset>-2711450</wp:posOffset>
            </wp:positionV>
            <wp:extent cx="2159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-2711450</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-2711450</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-2711450</wp:posOffset>
            </wp:positionV>
            <wp:extent cx="2159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-2711450</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-2711450</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-2711450</wp:posOffset>
            </wp:positionV>
            <wp:extent cx="2159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-2711450</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-2711450</wp:posOffset>
            </wp:positionV>
            <wp:extent cx="3873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-2711450</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-2711450</wp:posOffset>
            </wp:positionV>
            <wp:extent cx="3873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-2711450</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-2711450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-2711450</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-2711450</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-2711450</wp:posOffset>
            </wp:positionV>
            <wp:extent cx="2159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-2711450</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-2711450</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-2711450</wp:posOffset>
            </wp:positionV>
            <wp:extent cx="2159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-172720</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740410</wp:posOffset>
            </wp:positionH>
            <wp:positionV relativeFrom="paragraph">
              <wp:posOffset>-172720</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1306830</wp:posOffset>
            </wp:positionH>
            <wp:positionV relativeFrom="paragraph">
              <wp:posOffset>-172720</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-172720</wp:posOffset>
            </wp:positionV>
            <wp:extent cx="3873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-172720</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-172720</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-172720</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-172720</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2421255</wp:posOffset>
            </wp:positionH>
            <wp:positionV relativeFrom="paragraph">
              <wp:posOffset>-172720</wp:posOffset>
            </wp:positionV>
            <wp:extent cx="2159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-172720</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-172720</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-172720</wp:posOffset>
            </wp:positionV>
            <wp:extent cx="2159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-172720</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-172720</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-172720</wp:posOffset>
            </wp:positionV>
            <wp:extent cx="2159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-172720</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-172720</wp:posOffset>
            </wp:positionV>
            <wp:extent cx="38735"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-172720</wp:posOffset>
            </wp:positionV>
            <wp:extent cx="1270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-172720</wp:posOffset>
            </wp:positionV>
            <wp:extent cx="3873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-172720</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-172720</wp:posOffset>
            </wp:positionV>
            <wp:extent cx="1270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-172720</wp:posOffset>
            </wp:positionV>
            <wp:extent cx="1270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-172720</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-172720</wp:posOffset>
            </wp:positionV>
            <wp:extent cx="2159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-172720</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-172720</wp:posOffset>
            </wp:positionV>
            <wp:extent cx="2159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77"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Leases on this report represent retail activity only; office and residential leases are not included.</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Comparable leases represent those leases signed on spaces for which there was a former tenant.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Contractual Rent represents contractual Minimum Rent under the new lease for the first 12 months of the term.</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Prior Rent represents Minimum Rent and Percentage Rent paid by the prior tenant in the final 12 months of the term.</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Weighted average is determined on the basis of square footage.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Renewal leases represent expiring leases rolling over with the same tenant. All other leases are categorized as new.</w:t>
      </w:r>
    </w:p>
    <w:p>
      <w:pPr>
        <w:sectPr>
          <w:pgSz w:w="11900" w:h="16838" w:orient="portrait"/>
          <w:cols w:equalWidth="0" w:num="1">
            <w:col w:w="11420"/>
          </w:cols>
          <w:pgMar w:left="240" w:top="274" w:right="239" w:bottom="1089"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274" w:right="239" w:bottom="1089"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Leasing Summary (1) - Non-Comparable Basis (cash, non-straight-lined basis)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Total Lease Summary - Non-Comparable (2)</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Contractual</w:t>
            </w:r>
          </w:p>
        </w:tc>
        <w:tc>
          <w:tcPr>
            <w:tcW w:w="3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93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Tenant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Number of</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36"/>
              <w:spacing w:after="0" w:line="149" w:lineRule="exact"/>
              <w:rPr>
                <w:sz w:val="20"/>
                <w:szCs w:val="20"/>
                <w:color w:val="auto"/>
              </w:rPr>
            </w:pPr>
            <w:r>
              <w:rPr>
                <w:rFonts w:ascii="Arial" w:cs="Arial" w:eastAsia="Arial" w:hAnsi="Arial"/>
                <w:sz w:val="14"/>
                <w:szCs w:val="14"/>
                <w:b w:val="1"/>
                <w:bCs w:val="1"/>
                <w:color w:val="auto"/>
                <w:w w:val="88"/>
              </w:rPr>
              <w:t>Rent (3)</w:t>
            </w:r>
          </w:p>
        </w:tc>
        <w:tc>
          <w:tcPr>
            <w:tcW w:w="3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1290" w:type="dxa"/>
            <w:vAlign w:val="bottom"/>
            <w:gridSpan w:val="2"/>
          </w:tcPr>
          <w:p>
            <w:pPr>
              <w:ind w:left="210"/>
              <w:spacing w:after="0" w:line="149" w:lineRule="exact"/>
              <w:rPr>
                <w:sz w:val="20"/>
                <w:szCs w:val="20"/>
                <w:color w:val="auto"/>
              </w:rPr>
            </w:pPr>
            <w:r>
              <w:rPr>
                <w:rFonts w:ascii="Arial" w:cs="Arial" w:eastAsia="Arial" w:hAnsi="Arial"/>
                <w:sz w:val="14"/>
                <w:szCs w:val="14"/>
                <w:b w:val="1"/>
                <w:bCs w:val="1"/>
                <w:color w:val="auto"/>
              </w:rPr>
              <w:t>Tenant</w:t>
            </w: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0" w:type="dxa"/>
            <w:vAlign w:val="bottom"/>
          </w:tcPr>
          <w:p>
            <w:pPr>
              <w:spacing w:after="0"/>
              <w:rPr>
                <w:sz w:val="1"/>
                <w:szCs w:val="1"/>
                <w:color w:val="auto"/>
              </w:rPr>
            </w:pPr>
          </w:p>
        </w:tc>
      </w:tr>
      <w:tr>
        <w:trPr>
          <w:trHeight w:val="174"/>
        </w:trPr>
        <w:tc>
          <w:tcPr>
            <w:tcW w:w="4560" w:type="dxa"/>
            <w:vAlign w:val="bottom"/>
            <w:gridSpan w:val="4"/>
          </w:tcPr>
          <w:p>
            <w:pPr>
              <w:spacing w:after="0"/>
              <w:rPr>
                <w:sz w:val="20"/>
                <w:szCs w:val="20"/>
                <w:color w:val="auto"/>
              </w:rPr>
            </w:pPr>
            <w:r>
              <w:rPr>
                <w:rFonts w:ascii="Arial" w:cs="Arial" w:eastAsia="Arial" w:hAnsi="Arial"/>
                <w:sz w:val="14"/>
                <w:szCs w:val="14"/>
                <w:b w:val="1"/>
                <w:bCs w:val="1"/>
                <w:color w:val="auto"/>
              </w:rPr>
              <w:t>Quarter</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79"/>
              </w:rPr>
              <w:t>Leases Signed</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4"/>
              </w:rPr>
              <w:t>GLA Signed</w:t>
            </w:r>
          </w:p>
        </w:tc>
        <w:tc>
          <w:tcPr>
            <w:tcW w:w="36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Per Sq. Ft.</w:t>
            </w:r>
          </w:p>
        </w:tc>
        <w:tc>
          <w:tcPr>
            <w:tcW w:w="3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Lease Term (4)</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Improvements (5)</w:t>
            </w:r>
          </w:p>
        </w:tc>
        <w:tc>
          <w:tcPr>
            <w:tcW w:w="120" w:type="dxa"/>
            <w:vAlign w:val="bottom"/>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Per Sq. Ft.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93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93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4th Quarter 2004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56,078</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49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9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1,178,515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3"/>
          </w:tcPr>
          <w:p>
            <w:pPr>
              <w:spacing w:after="0"/>
              <w:rPr>
                <w:sz w:val="20"/>
                <w:szCs w:val="20"/>
                <w:color w:val="auto"/>
              </w:rPr>
            </w:pPr>
            <w:r>
              <w:rPr>
                <w:rFonts w:ascii="Arial" w:cs="Arial" w:eastAsia="Arial" w:hAnsi="Arial"/>
                <w:sz w:val="18"/>
                <w:szCs w:val="18"/>
                <w:color w:val="auto"/>
              </w:rPr>
              <w:t>3rd Quarter 2004</w:t>
            </w: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8,609</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58.41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490" w:type="dxa"/>
            <w:vAlign w:val="bottom"/>
            <w:gridSpan w:val="3"/>
          </w:tcPr>
          <w:p>
            <w:pPr>
              <w:ind w:left="380"/>
              <w:spacing w:after="0"/>
              <w:rPr>
                <w:sz w:val="20"/>
                <w:szCs w:val="20"/>
                <w:color w:val="auto"/>
              </w:rPr>
            </w:pPr>
            <w:r>
              <w:rPr>
                <w:rFonts w:ascii="Arial" w:cs="Arial" w:eastAsia="Arial" w:hAnsi="Arial"/>
                <w:sz w:val="18"/>
                <w:szCs w:val="18"/>
                <w:color w:val="auto"/>
                <w:w w:val="99"/>
              </w:rPr>
              <w:t>$</w:t>
            </w:r>
          </w:p>
        </w:tc>
        <w:tc>
          <w:tcPr>
            <w:tcW w:w="1290" w:type="dxa"/>
            <w:vAlign w:val="bottom"/>
            <w:gridSpan w:val="2"/>
          </w:tcPr>
          <w:p>
            <w:pPr>
              <w:ind w:left="6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2nd Quarter 2004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14,816</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49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9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196,052</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gridSpan w:val="3"/>
          </w:tcPr>
          <w:p>
            <w:pPr>
              <w:spacing w:after="0"/>
              <w:rPr>
                <w:sz w:val="20"/>
                <w:szCs w:val="20"/>
                <w:color w:val="auto"/>
              </w:rPr>
            </w:pPr>
            <w:r>
              <w:rPr>
                <w:rFonts w:ascii="Arial" w:cs="Arial" w:eastAsia="Arial" w:hAnsi="Arial"/>
                <w:sz w:val="18"/>
                <w:szCs w:val="18"/>
                <w:color w:val="auto"/>
              </w:rPr>
              <w:t>1st Quarter 2004</w:t>
            </w: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78,843</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24.69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490" w:type="dxa"/>
            <w:vAlign w:val="bottom"/>
            <w:gridSpan w:val="3"/>
          </w:tcPr>
          <w:p>
            <w:pPr>
              <w:ind w:left="380"/>
              <w:spacing w:after="0"/>
              <w:rPr>
                <w:sz w:val="20"/>
                <w:szCs w:val="20"/>
                <w:color w:val="auto"/>
              </w:rPr>
            </w:pPr>
            <w:r>
              <w:rPr>
                <w:rFonts w:ascii="Arial" w:cs="Arial" w:eastAsia="Arial" w:hAnsi="Arial"/>
                <w:sz w:val="18"/>
                <w:szCs w:val="18"/>
                <w:color w:val="auto"/>
                <w:w w:val="99"/>
              </w:rPr>
              <w:t>$</w:t>
            </w:r>
          </w:p>
        </w:tc>
        <w:tc>
          <w:tcPr>
            <w:tcW w:w="930" w:type="dxa"/>
            <w:vAlign w:val="bottom"/>
          </w:tcPr>
          <w:p>
            <w:pPr>
              <w:jc w:val="right"/>
              <w:spacing w:after="0"/>
              <w:rPr>
                <w:sz w:val="20"/>
                <w:szCs w:val="20"/>
                <w:color w:val="auto"/>
              </w:rPr>
            </w:pPr>
            <w:r>
              <w:rPr>
                <w:rFonts w:ascii="Arial" w:cs="Arial" w:eastAsia="Arial" w:hAnsi="Arial"/>
                <w:sz w:val="18"/>
                <w:szCs w:val="18"/>
                <w:color w:val="auto"/>
              </w:rPr>
              <w:t>25,000</w:t>
            </w:r>
          </w:p>
        </w:tc>
        <w:tc>
          <w:tcPr>
            <w:tcW w:w="3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93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93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- 12 months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158,346</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49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9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1,399,567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93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3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3399155</wp:posOffset>
            </wp:positionH>
            <wp:positionV relativeFrom="paragraph">
              <wp:posOffset>-172720</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-172720</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-172720</wp:posOffset>
            </wp:positionV>
            <wp:extent cx="1270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-172720</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-172720</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-172720</wp:posOffset>
            </wp:positionV>
            <wp:extent cx="1270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-172720</wp:posOffset>
            </wp:positionV>
            <wp:extent cx="2159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-172720</wp:posOffset>
            </wp:positionV>
            <wp:extent cx="1270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-172720</wp:posOffset>
            </wp:positionV>
            <wp:extent cx="1270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-172720</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-172720</wp:posOffset>
            </wp:positionV>
            <wp:extent cx="127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-172720</wp:posOffset>
            </wp:positionV>
            <wp:extent cx="2159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-172720</wp:posOffset>
            </wp:positionV>
            <wp:extent cx="1270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-172720</wp:posOffset>
            </wp:positionV>
            <wp:extent cx="2159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77"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Leases on this report represent retail activity only; office and residential leases are not included.</w:t>
      </w:r>
    </w:p>
    <w:p>
      <w:pPr>
        <w:spacing w:after="0" w:line="15" w:lineRule="exact"/>
        <w:rPr>
          <w:rFonts w:ascii="Arial" w:cs="Arial" w:eastAsia="Arial" w:hAnsi="Arial"/>
          <w:sz w:val="18"/>
          <w:szCs w:val="18"/>
          <w:color w:val="auto"/>
        </w:rPr>
      </w:pPr>
    </w:p>
    <w:p>
      <w:pPr>
        <w:ind w:left="460" w:right="24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Non-comparable leases represent those leases signed on spaces for which there was no former tenant, or expansion square footage for leases rolling over for which there was no former tenant.</w:t>
      </w: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Contractual Rent represents contractual Minimum Rent under the new lease for the first 12 months of the term.</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Weighted average is determined on the basis of square footage.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Expirations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Assumes no exercise of lease options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5"/>
          </w:tcPr>
          <w:p>
            <w:pPr>
              <w:ind w:left="40"/>
              <w:spacing w:after="0"/>
              <w:rPr>
                <w:sz w:val="20"/>
                <w:szCs w:val="20"/>
                <w:color w:val="auto"/>
              </w:rPr>
            </w:pPr>
            <w:r>
              <w:rPr>
                <w:rFonts w:ascii="Arial" w:cs="Arial" w:eastAsia="Arial" w:hAnsi="Arial"/>
                <w:sz w:val="14"/>
                <w:szCs w:val="14"/>
                <w:b w:val="1"/>
                <w:bCs w:val="1"/>
                <w:color w:val="auto"/>
                <w:w w:val="92"/>
              </w:rPr>
              <w:t>Anchor Tenants (1)</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gridSpan w:val="4"/>
          </w:tcPr>
          <w:p>
            <w:pPr>
              <w:jc w:val="right"/>
              <w:spacing w:after="0"/>
              <w:rPr>
                <w:sz w:val="20"/>
                <w:szCs w:val="20"/>
                <w:color w:val="auto"/>
              </w:rPr>
            </w:pPr>
            <w:r>
              <w:rPr>
                <w:rFonts w:ascii="Arial" w:cs="Arial" w:eastAsia="Arial" w:hAnsi="Arial"/>
                <w:sz w:val="14"/>
                <w:szCs w:val="14"/>
                <w:b w:val="1"/>
                <w:bCs w:val="1"/>
                <w:color w:val="auto"/>
                <w:w w:val="98"/>
              </w:rPr>
              <w:t>Small Shop Tenants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9"/>
              </w:rPr>
              <w:t>% of Anchor</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Minimum Rent</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 of Small</w:t>
            </w:r>
          </w:p>
        </w:tc>
        <w:tc>
          <w:tcPr>
            <w:tcW w:w="2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Minimum Rent</w:t>
            </w: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 of Total</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Minimum Rent</w:t>
            </w:r>
          </w:p>
        </w:tc>
        <w:tc>
          <w:tcPr>
            <w:tcW w:w="0" w:type="dxa"/>
            <w:vAlign w:val="bottom"/>
          </w:tcPr>
          <w:p>
            <w:pPr>
              <w:spacing w:after="0"/>
              <w:rPr>
                <w:sz w:val="1"/>
                <w:szCs w:val="1"/>
                <w:color w:val="auto"/>
              </w:rPr>
            </w:pPr>
          </w:p>
        </w:tc>
      </w:tr>
      <w:tr>
        <w:trPr>
          <w:trHeight w:val="174"/>
        </w:trPr>
        <w:tc>
          <w:tcPr>
            <w:tcW w:w="1800" w:type="dxa"/>
            <w:vAlign w:val="bottom"/>
            <w:gridSpan w:val="4"/>
          </w:tcPr>
          <w:p>
            <w:pPr>
              <w:spacing w:after="0"/>
              <w:rPr>
                <w:sz w:val="20"/>
                <w:szCs w:val="20"/>
                <w:color w:val="auto"/>
              </w:rPr>
            </w:pPr>
            <w:r>
              <w:rPr>
                <w:rFonts w:ascii="Arial" w:cs="Arial" w:eastAsia="Arial" w:hAnsi="Arial"/>
                <w:sz w:val="14"/>
                <w:szCs w:val="14"/>
                <w:b w:val="1"/>
                <w:bCs w:val="1"/>
                <w:color w:val="auto"/>
              </w:rPr>
              <w:t>Year</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Expiring SF</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9"/>
              </w:rPr>
              <w:t>SF</w:t>
            </w:r>
          </w:p>
        </w:tc>
        <w:tc>
          <w:tcPr>
            <w:tcW w:w="160" w:type="dxa"/>
            <w:vAlign w:val="bottom"/>
          </w:tcPr>
          <w:p>
            <w:pPr>
              <w:spacing w:after="0"/>
              <w:rPr>
                <w:sz w:val="15"/>
                <w:szCs w:val="15"/>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PSF (2)</w:t>
            </w:r>
          </w:p>
        </w:tc>
        <w:tc>
          <w:tcPr>
            <w:tcW w:w="7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7"/>
              </w:rPr>
              <w:t>Expiring SF</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4"/>
              </w:rPr>
              <w:t>Shop SF</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PSF (2)</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95"/>
              </w:rPr>
              <w:t>Expiring SF</w:t>
            </w:r>
          </w:p>
        </w:tc>
        <w:tc>
          <w:tcPr>
            <w:tcW w:w="300" w:type="dxa"/>
            <w:vAlign w:val="bottom"/>
          </w:tcPr>
          <w:p>
            <w:pPr>
              <w:spacing w:after="0"/>
              <w:rPr>
                <w:sz w:val="15"/>
                <w:szCs w:val="15"/>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SF</w:t>
            </w:r>
          </w:p>
        </w:tc>
        <w:tc>
          <w:tcPr>
            <w:tcW w:w="18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PSF (2)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2005</w:t>
            </w: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237,000</w:t>
            </w:r>
          </w:p>
        </w:tc>
        <w:tc>
          <w:tcPr>
            <w:tcW w:w="2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699,000</w:t>
            </w:r>
          </w:p>
        </w:tc>
        <w:tc>
          <w:tcPr>
            <w:tcW w:w="13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936,000</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b w:val="1"/>
                <w:bCs w:val="1"/>
                <w:color w:val="auto"/>
              </w:rPr>
              <w:t>2006</w:t>
            </w:r>
          </w:p>
        </w:tc>
        <w:tc>
          <w:tcPr>
            <w:tcW w:w="8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504,000</w:t>
            </w:r>
          </w:p>
        </w:tc>
        <w:tc>
          <w:tcPr>
            <w:tcW w:w="220" w:type="dxa"/>
            <w:vAlign w:val="bottom"/>
          </w:tcPr>
          <w:p>
            <w:pPr>
              <w:spacing w:after="0"/>
              <w:rPr>
                <w:sz w:val="18"/>
                <w:szCs w:val="18"/>
                <w:color w:val="auto"/>
              </w:rPr>
            </w:pPr>
          </w:p>
        </w:tc>
        <w:tc>
          <w:tcPr>
            <w:tcW w:w="1220" w:type="dxa"/>
            <w:vAlign w:val="bottom"/>
            <w:gridSpan w:val="4"/>
          </w:tcPr>
          <w:p>
            <w:pPr>
              <w:jc w:val="right"/>
              <w:ind w:right="26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9.79</w:t>
            </w:r>
          </w:p>
        </w:tc>
        <w:tc>
          <w:tcPr>
            <w:tcW w:w="2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820,000</w:t>
            </w:r>
          </w:p>
        </w:tc>
        <w:tc>
          <w:tcPr>
            <w:tcW w:w="1340" w:type="dxa"/>
            <w:vAlign w:val="bottom"/>
            <w:gridSpan w:val="4"/>
          </w:tcPr>
          <w:p>
            <w:pPr>
              <w:jc w:val="right"/>
              <w:ind w:right="280"/>
              <w:spacing w:after="0"/>
              <w:rPr>
                <w:sz w:val="20"/>
                <w:szCs w:val="20"/>
                <w:color w:val="auto"/>
              </w:rPr>
            </w:pPr>
            <w:r>
              <w:rPr>
                <w:rFonts w:ascii="Arial" w:cs="Arial" w:eastAsia="Arial" w:hAnsi="Arial"/>
                <w:sz w:val="18"/>
                <w:szCs w:val="18"/>
                <w:color w:val="auto"/>
              </w:rPr>
              <w:t>12%</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24.51</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1,324,000</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2007</w:t>
            </w: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884,000</w:t>
            </w:r>
          </w:p>
        </w:tc>
        <w:tc>
          <w:tcPr>
            <w:tcW w:w="2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995,000</w:t>
            </w:r>
          </w:p>
        </w:tc>
        <w:tc>
          <w:tcPr>
            <w:tcW w:w="13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1,879,000</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b w:val="1"/>
                <w:bCs w:val="1"/>
                <w:color w:val="auto"/>
              </w:rPr>
              <w:t>2008</w:t>
            </w:r>
          </w:p>
        </w:tc>
        <w:tc>
          <w:tcPr>
            <w:tcW w:w="8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746,000</w:t>
            </w:r>
          </w:p>
        </w:tc>
        <w:tc>
          <w:tcPr>
            <w:tcW w:w="220" w:type="dxa"/>
            <w:vAlign w:val="bottom"/>
          </w:tcPr>
          <w:p>
            <w:pPr>
              <w:spacing w:after="0"/>
              <w:rPr>
                <w:sz w:val="18"/>
                <w:szCs w:val="18"/>
                <w:color w:val="auto"/>
              </w:rPr>
            </w:pPr>
          </w:p>
        </w:tc>
        <w:tc>
          <w:tcPr>
            <w:tcW w:w="1220" w:type="dxa"/>
            <w:vAlign w:val="bottom"/>
            <w:gridSpan w:val="4"/>
          </w:tcPr>
          <w:p>
            <w:pPr>
              <w:jc w:val="right"/>
              <w:ind w:right="26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11.28</w:t>
            </w:r>
          </w:p>
        </w:tc>
        <w:tc>
          <w:tcPr>
            <w:tcW w:w="2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900,000</w:t>
            </w:r>
          </w:p>
        </w:tc>
        <w:tc>
          <w:tcPr>
            <w:tcW w:w="1340" w:type="dxa"/>
            <w:vAlign w:val="bottom"/>
            <w:gridSpan w:val="4"/>
          </w:tcPr>
          <w:p>
            <w:pPr>
              <w:jc w:val="right"/>
              <w:ind w:right="280"/>
              <w:spacing w:after="0"/>
              <w:rPr>
                <w:sz w:val="20"/>
                <w:szCs w:val="20"/>
                <w:color w:val="auto"/>
              </w:rPr>
            </w:pPr>
            <w:r>
              <w:rPr>
                <w:rFonts w:ascii="Arial" w:cs="Arial" w:eastAsia="Arial" w:hAnsi="Arial"/>
                <w:sz w:val="18"/>
                <w:szCs w:val="18"/>
                <w:color w:val="auto"/>
              </w:rPr>
              <w:t>13%</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23.03</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1,646,000</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2009</w:t>
            </w: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1,167,000</w:t>
            </w:r>
          </w:p>
        </w:tc>
        <w:tc>
          <w:tcPr>
            <w:tcW w:w="2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930,000</w:t>
            </w:r>
          </w:p>
        </w:tc>
        <w:tc>
          <w:tcPr>
            <w:tcW w:w="13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2,096,000</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b w:val="1"/>
                <w:bCs w:val="1"/>
                <w:color w:val="auto"/>
              </w:rPr>
              <w:t>2010</w:t>
            </w:r>
          </w:p>
        </w:tc>
        <w:tc>
          <w:tcPr>
            <w:tcW w:w="8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507,000</w:t>
            </w:r>
          </w:p>
        </w:tc>
        <w:tc>
          <w:tcPr>
            <w:tcW w:w="220" w:type="dxa"/>
            <w:vAlign w:val="bottom"/>
          </w:tcPr>
          <w:p>
            <w:pPr>
              <w:spacing w:after="0"/>
              <w:rPr>
                <w:sz w:val="18"/>
                <w:szCs w:val="18"/>
                <w:color w:val="auto"/>
              </w:rPr>
            </w:pPr>
          </w:p>
        </w:tc>
        <w:tc>
          <w:tcPr>
            <w:tcW w:w="1220" w:type="dxa"/>
            <w:vAlign w:val="bottom"/>
            <w:gridSpan w:val="4"/>
          </w:tcPr>
          <w:p>
            <w:pPr>
              <w:jc w:val="right"/>
              <w:ind w:right="26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12.23</w:t>
            </w:r>
          </w:p>
        </w:tc>
        <w:tc>
          <w:tcPr>
            <w:tcW w:w="2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566,000</w:t>
            </w:r>
          </w:p>
        </w:tc>
        <w:tc>
          <w:tcPr>
            <w:tcW w:w="1340" w:type="dxa"/>
            <w:vAlign w:val="bottom"/>
            <w:gridSpan w:val="4"/>
          </w:tcPr>
          <w:p>
            <w:pPr>
              <w:jc w:val="right"/>
              <w:ind w:right="280"/>
              <w:spacing w:after="0"/>
              <w:rPr>
                <w:sz w:val="20"/>
                <w:szCs w:val="20"/>
                <w:color w:val="auto"/>
              </w:rPr>
            </w:pPr>
            <w:r>
              <w:rPr>
                <w:rFonts w:ascii="Arial" w:cs="Arial" w:eastAsia="Arial" w:hAnsi="Arial"/>
                <w:sz w:val="18"/>
                <w:szCs w:val="18"/>
                <w:color w:val="auto"/>
              </w:rPr>
              <w:t>8%</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23.10</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1,073,000</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2011</w:t>
            </w: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376,000</w:t>
            </w:r>
          </w:p>
        </w:tc>
        <w:tc>
          <w:tcPr>
            <w:tcW w:w="2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516,000</w:t>
            </w:r>
          </w:p>
        </w:tc>
        <w:tc>
          <w:tcPr>
            <w:tcW w:w="13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892,000</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b w:val="1"/>
                <w:bCs w:val="1"/>
                <w:color w:val="auto"/>
              </w:rPr>
              <w:t>2012</w:t>
            </w:r>
          </w:p>
        </w:tc>
        <w:tc>
          <w:tcPr>
            <w:tcW w:w="8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540,000</w:t>
            </w:r>
          </w:p>
        </w:tc>
        <w:tc>
          <w:tcPr>
            <w:tcW w:w="220" w:type="dxa"/>
            <w:vAlign w:val="bottom"/>
          </w:tcPr>
          <w:p>
            <w:pPr>
              <w:spacing w:after="0"/>
              <w:rPr>
                <w:sz w:val="18"/>
                <w:szCs w:val="18"/>
                <w:color w:val="auto"/>
              </w:rPr>
            </w:pPr>
          </w:p>
        </w:tc>
        <w:tc>
          <w:tcPr>
            <w:tcW w:w="1220" w:type="dxa"/>
            <w:vAlign w:val="bottom"/>
            <w:gridSpan w:val="4"/>
          </w:tcPr>
          <w:p>
            <w:pPr>
              <w:jc w:val="right"/>
              <w:ind w:right="26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12.68</w:t>
            </w:r>
          </w:p>
        </w:tc>
        <w:tc>
          <w:tcPr>
            <w:tcW w:w="2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415,000</w:t>
            </w:r>
          </w:p>
        </w:tc>
        <w:tc>
          <w:tcPr>
            <w:tcW w:w="1340" w:type="dxa"/>
            <w:vAlign w:val="bottom"/>
            <w:gridSpan w:val="4"/>
          </w:tcPr>
          <w:p>
            <w:pPr>
              <w:jc w:val="right"/>
              <w:ind w:right="280"/>
              <w:spacing w:after="0"/>
              <w:rPr>
                <w:sz w:val="20"/>
                <w:szCs w:val="20"/>
                <w:color w:val="auto"/>
              </w:rPr>
            </w:pPr>
            <w:r>
              <w:rPr>
                <w:rFonts w:ascii="Arial" w:cs="Arial" w:eastAsia="Arial" w:hAnsi="Arial"/>
                <w:sz w:val="18"/>
                <w:szCs w:val="18"/>
                <w:color w:val="auto"/>
              </w:rPr>
              <w:t>6%</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33.20</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956,000</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2013</w:t>
            </w: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649,000</w:t>
            </w:r>
          </w:p>
        </w:tc>
        <w:tc>
          <w:tcPr>
            <w:tcW w:w="2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254,000</w:t>
            </w:r>
          </w:p>
        </w:tc>
        <w:tc>
          <w:tcPr>
            <w:tcW w:w="13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903,000</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b w:val="1"/>
                <w:bCs w:val="1"/>
                <w:color w:val="auto"/>
              </w:rPr>
              <w:t>2014</w:t>
            </w:r>
          </w:p>
        </w:tc>
        <w:tc>
          <w:tcPr>
            <w:tcW w:w="8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674,000</w:t>
            </w:r>
          </w:p>
        </w:tc>
        <w:tc>
          <w:tcPr>
            <w:tcW w:w="220" w:type="dxa"/>
            <w:vAlign w:val="bottom"/>
          </w:tcPr>
          <w:p>
            <w:pPr>
              <w:spacing w:after="0"/>
              <w:rPr>
                <w:sz w:val="18"/>
                <w:szCs w:val="18"/>
                <w:color w:val="auto"/>
              </w:rPr>
            </w:pPr>
          </w:p>
        </w:tc>
        <w:tc>
          <w:tcPr>
            <w:tcW w:w="1220" w:type="dxa"/>
            <w:vAlign w:val="bottom"/>
            <w:gridSpan w:val="4"/>
          </w:tcPr>
          <w:p>
            <w:pPr>
              <w:jc w:val="right"/>
              <w:ind w:right="26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18.06</w:t>
            </w:r>
          </w:p>
        </w:tc>
        <w:tc>
          <w:tcPr>
            <w:tcW w:w="2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277,000</w:t>
            </w:r>
          </w:p>
        </w:tc>
        <w:tc>
          <w:tcPr>
            <w:tcW w:w="1340" w:type="dxa"/>
            <w:vAlign w:val="bottom"/>
            <w:gridSpan w:val="4"/>
          </w:tcPr>
          <w:p>
            <w:pPr>
              <w:jc w:val="right"/>
              <w:ind w:right="280"/>
              <w:spacing w:after="0"/>
              <w:rPr>
                <w:sz w:val="20"/>
                <w:szCs w:val="20"/>
                <w:color w:val="auto"/>
              </w:rPr>
            </w:pPr>
            <w:r>
              <w:rPr>
                <w:rFonts w:ascii="Arial" w:cs="Arial" w:eastAsia="Arial" w:hAnsi="Arial"/>
                <w:sz w:val="18"/>
                <w:szCs w:val="18"/>
                <w:color w:val="auto"/>
              </w:rPr>
              <w:t>4%</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31.21</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950,000</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Thereafter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2,747,000</w:t>
            </w:r>
          </w:p>
        </w:tc>
        <w:tc>
          <w:tcPr>
            <w:tcW w:w="2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374,000</w:t>
            </w:r>
          </w:p>
        </w:tc>
        <w:tc>
          <w:tcPr>
            <w:tcW w:w="13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3,122,000</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Total (3)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9,031,000</w:t>
            </w:r>
          </w:p>
        </w:tc>
        <w:tc>
          <w:tcPr>
            <w:tcW w:w="2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6,746,000</w:t>
            </w:r>
          </w:p>
        </w:tc>
        <w:tc>
          <w:tcPr>
            <w:tcW w:w="13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15,777,000</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60" w:type="dxa"/>
            <w:vAlign w:val="bottom"/>
            <w:gridSpan w:val="3"/>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720" w:type="dxa"/>
            <w:vAlign w:val="bottom"/>
            <w:gridSpan w:val="6"/>
          </w:tcPr>
          <w:p>
            <w:pPr>
              <w:spacing w:after="0"/>
              <w:rPr>
                <w:sz w:val="20"/>
                <w:szCs w:val="20"/>
                <w:color w:val="auto"/>
              </w:rPr>
            </w:pPr>
            <w:r>
              <w:rPr>
                <w:rFonts w:ascii="Arial" w:cs="Arial" w:eastAsia="Arial" w:hAnsi="Arial"/>
                <w:sz w:val="18"/>
                <w:szCs w:val="18"/>
                <w:b w:val="1"/>
                <w:bCs w:val="1"/>
                <w:color w:val="auto"/>
                <w:w w:val="84"/>
              </w:rPr>
              <w:t>Assumes lease options are exercised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5"/>
          </w:tcPr>
          <w:p>
            <w:pPr>
              <w:ind w:left="40"/>
              <w:spacing w:after="0"/>
              <w:rPr>
                <w:sz w:val="20"/>
                <w:szCs w:val="20"/>
                <w:color w:val="auto"/>
              </w:rPr>
            </w:pPr>
            <w:r>
              <w:rPr>
                <w:rFonts w:ascii="Arial" w:cs="Arial" w:eastAsia="Arial" w:hAnsi="Arial"/>
                <w:sz w:val="14"/>
                <w:szCs w:val="14"/>
                <w:b w:val="1"/>
                <w:bCs w:val="1"/>
                <w:color w:val="auto"/>
                <w:w w:val="92"/>
              </w:rPr>
              <w:t>Anchor Tenants (1)</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4"/>
          </w:tcPr>
          <w:p>
            <w:pPr>
              <w:jc w:val="right"/>
              <w:spacing w:after="0"/>
              <w:rPr>
                <w:sz w:val="20"/>
                <w:szCs w:val="20"/>
                <w:color w:val="auto"/>
              </w:rPr>
            </w:pPr>
            <w:r>
              <w:rPr>
                <w:rFonts w:ascii="Arial" w:cs="Arial" w:eastAsia="Arial" w:hAnsi="Arial"/>
                <w:sz w:val="14"/>
                <w:szCs w:val="14"/>
                <w:b w:val="1"/>
                <w:bCs w:val="1"/>
                <w:color w:val="auto"/>
                <w:w w:val="98"/>
              </w:rPr>
              <w:t>Small Shop Tenants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gridSpan w:val="3"/>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 of</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Anchor</w:t>
            </w: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Minimum Rent</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 of Small</w:t>
            </w:r>
          </w:p>
        </w:tc>
        <w:tc>
          <w:tcPr>
            <w:tcW w:w="2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Minimum Rent</w:t>
            </w: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 of Total</w:t>
            </w: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Minimum Rent</w:t>
            </w:r>
          </w:p>
        </w:tc>
        <w:tc>
          <w:tcPr>
            <w:tcW w:w="0" w:type="dxa"/>
            <w:vAlign w:val="bottom"/>
          </w:tcPr>
          <w:p>
            <w:pPr>
              <w:spacing w:after="0"/>
              <w:rPr>
                <w:sz w:val="1"/>
                <w:szCs w:val="1"/>
                <w:color w:val="auto"/>
              </w:rPr>
            </w:pPr>
          </w:p>
        </w:tc>
      </w:tr>
      <w:tr>
        <w:trPr>
          <w:trHeight w:val="174"/>
        </w:trPr>
        <w:tc>
          <w:tcPr>
            <w:tcW w:w="1800" w:type="dxa"/>
            <w:vAlign w:val="bottom"/>
            <w:gridSpan w:val="4"/>
          </w:tcPr>
          <w:p>
            <w:pPr>
              <w:spacing w:after="0"/>
              <w:rPr>
                <w:sz w:val="20"/>
                <w:szCs w:val="20"/>
                <w:color w:val="auto"/>
              </w:rPr>
            </w:pPr>
            <w:r>
              <w:rPr>
                <w:rFonts w:ascii="Arial" w:cs="Arial" w:eastAsia="Arial" w:hAnsi="Arial"/>
                <w:sz w:val="14"/>
                <w:szCs w:val="14"/>
                <w:b w:val="1"/>
                <w:bCs w:val="1"/>
                <w:color w:val="auto"/>
              </w:rPr>
              <w:t>Year</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Expiring SF</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9"/>
              </w:rPr>
              <w:t>SF</w:t>
            </w:r>
          </w:p>
        </w:tc>
        <w:tc>
          <w:tcPr>
            <w:tcW w:w="160" w:type="dxa"/>
            <w:vAlign w:val="bottom"/>
          </w:tcPr>
          <w:p>
            <w:pPr>
              <w:spacing w:after="0"/>
              <w:rPr>
                <w:sz w:val="15"/>
                <w:szCs w:val="15"/>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PSF (2)</w:t>
            </w:r>
          </w:p>
        </w:tc>
        <w:tc>
          <w:tcPr>
            <w:tcW w:w="7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7"/>
              </w:rPr>
              <w:t>Expiring SF</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4"/>
              </w:rPr>
              <w:t>Shop SF</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PSF (2)</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95"/>
              </w:rPr>
              <w:t>Expiring SF</w:t>
            </w:r>
          </w:p>
        </w:tc>
        <w:tc>
          <w:tcPr>
            <w:tcW w:w="300" w:type="dxa"/>
            <w:vAlign w:val="bottom"/>
          </w:tcPr>
          <w:p>
            <w:pPr>
              <w:spacing w:after="0"/>
              <w:rPr>
                <w:sz w:val="15"/>
                <w:szCs w:val="15"/>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SF</w:t>
            </w:r>
          </w:p>
        </w:tc>
        <w:tc>
          <w:tcPr>
            <w:tcW w:w="18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PSF (2)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2005</w:t>
            </w:r>
          </w:p>
        </w:tc>
        <w:tc>
          <w:tcPr>
            <w:tcW w:w="8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507,000</w:t>
            </w:r>
          </w:p>
        </w:tc>
        <w:tc>
          <w:tcPr>
            <w:tcW w:w="13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507,000</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b w:val="1"/>
                <w:bCs w:val="1"/>
                <w:color w:val="auto"/>
              </w:rPr>
              <w:t>2006</w:t>
            </w:r>
          </w:p>
        </w:tc>
        <w:tc>
          <w:tcPr>
            <w:tcW w:w="8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97,000</w:t>
            </w:r>
          </w:p>
        </w:tc>
        <w:tc>
          <w:tcPr>
            <w:tcW w:w="220" w:type="dxa"/>
            <w:vAlign w:val="bottom"/>
          </w:tcPr>
          <w:p>
            <w:pPr>
              <w:spacing w:after="0"/>
              <w:rPr>
                <w:sz w:val="18"/>
                <w:szCs w:val="18"/>
                <w:color w:val="auto"/>
              </w:rPr>
            </w:pPr>
          </w:p>
        </w:tc>
        <w:tc>
          <w:tcPr>
            <w:tcW w:w="1220" w:type="dxa"/>
            <w:vAlign w:val="bottom"/>
            <w:gridSpan w:val="4"/>
          </w:tcPr>
          <w:p>
            <w:pPr>
              <w:jc w:val="right"/>
              <w:ind w:right="26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11.08</w:t>
            </w:r>
          </w:p>
        </w:tc>
        <w:tc>
          <w:tcPr>
            <w:tcW w:w="2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485,000</w:t>
            </w:r>
          </w:p>
        </w:tc>
        <w:tc>
          <w:tcPr>
            <w:tcW w:w="1340" w:type="dxa"/>
            <w:vAlign w:val="bottom"/>
            <w:gridSpan w:val="4"/>
          </w:tcPr>
          <w:p>
            <w:pPr>
              <w:jc w:val="right"/>
              <w:ind w:right="280"/>
              <w:spacing w:after="0"/>
              <w:rPr>
                <w:sz w:val="20"/>
                <w:szCs w:val="20"/>
                <w:color w:val="auto"/>
              </w:rPr>
            </w:pPr>
            <w:r>
              <w:rPr>
                <w:rFonts w:ascii="Arial" w:cs="Arial" w:eastAsia="Arial" w:hAnsi="Arial"/>
                <w:sz w:val="18"/>
                <w:szCs w:val="18"/>
                <w:color w:val="auto"/>
              </w:rPr>
              <w:t>7%</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26.68</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582,000</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2007</w:t>
            </w: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2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571,000</w:t>
            </w:r>
          </w:p>
        </w:tc>
        <w:tc>
          <w:tcPr>
            <w:tcW w:w="13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706,000</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b w:val="1"/>
                <w:bCs w:val="1"/>
                <w:color w:val="auto"/>
              </w:rPr>
              <w:t>2008</w:t>
            </w:r>
          </w:p>
        </w:tc>
        <w:tc>
          <w:tcPr>
            <w:tcW w:w="8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tcPr>
          <w:p>
            <w:pPr>
              <w:spacing w:after="0"/>
              <w:rPr>
                <w:sz w:val="18"/>
                <w:szCs w:val="18"/>
                <w:color w:val="auto"/>
              </w:rPr>
            </w:pPr>
          </w:p>
        </w:tc>
        <w:tc>
          <w:tcPr>
            <w:tcW w:w="1220" w:type="dxa"/>
            <w:vAlign w:val="bottom"/>
            <w:gridSpan w:val="4"/>
          </w:tcPr>
          <w:p>
            <w:pPr>
              <w:jc w:val="right"/>
              <w:ind w:right="2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11.93</w:t>
            </w:r>
          </w:p>
        </w:tc>
        <w:tc>
          <w:tcPr>
            <w:tcW w:w="2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546,000</w:t>
            </w:r>
          </w:p>
        </w:tc>
        <w:tc>
          <w:tcPr>
            <w:tcW w:w="1340" w:type="dxa"/>
            <w:vAlign w:val="bottom"/>
            <w:gridSpan w:val="4"/>
          </w:tcPr>
          <w:p>
            <w:pPr>
              <w:jc w:val="right"/>
              <w:ind w:right="280"/>
              <w:spacing w:after="0"/>
              <w:rPr>
                <w:sz w:val="20"/>
                <w:szCs w:val="20"/>
                <w:color w:val="auto"/>
              </w:rPr>
            </w:pPr>
            <w:r>
              <w:rPr>
                <w:rFonts w:ascii="Arial" w:cs="Arial" w:eastAsia="Arial" w:hAnsi="Arial"/>
                <w:sz w:val="18"/>
                <w:szCs w:val="18"/>
                <w:color w:val="auto"/>
              </w:rPr>
              <w:t>8%</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23.67</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696,000</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2009</w:t>
            </w: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244,000</w:t>
            </w:r>
          </w:p>
        </w:tc>
        <w:tc>
          <w:tcPr>
            <w:tcW w:w="2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537,000</w:t>
            </w:r>
          </w:p>
        </w:tc>
        <w:tc>
          <w:tcPr>
            <w:tcW w:w="13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781,000</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b w:val="1"/>
                <w:bCs w:val="1"/>
                <w:color w:val="auto"/>
              </w:rPr>
              <w:t>2010</w:t>
            </w:r>
          </w:p>
        </w:tc>
        <w:tc>
          <w:tcPr>
            <w:tcW w:w="8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158,000</w:t>
            </w:r>
          </w:p>
        </w:tc>
        <w:tc>
          <w:tcPr>
            <w:tcW w:w="220" w:type="dxa"/>
            <w:vAlign w:val="bottom"/>
          </w:tcPr>
          <w:p>
            <w:pPr>
              <w:spacing w:after="0"/>
              <w:rPr>
                <w:sz w:val="18"/>
                <w:szCs w:val="18"/>
                <w:color w:val="auto"/>
              </w:rPr>
            </w:pPr>
          </w:p>
        </w:tc>
        <w:tc>
          <w:tcPr>
            <w:tcW w:w="1220" w:type="dxa"/>
            <w:vAlign w:val="bottom"/>
            <w:gridSpan w:val="4"/>
          </w:tcPr>
          <w:p>
            <w:pPr>
              <w:jc w:val="right"/>
              <w:ind w:right="2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13.42</w:t>
            </w:r>
          </w:p>
        </w:tc>
        <w:tc>
          <w:tcPr>
            <w:tcW w:w="2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399,000</w:t>
            </w:r>
          </w:p>
        </w:tc>
        <w:tc>
          <w:tcPr>
            <w:tcW w:w="1340" w:type="dxa"/>
            <w:vAlign w:val="bottom"/>
            <w:gridSpan w:val="4"/>
          </w:tcPr>
          <w:p>
            <w:pPr>
              <w:jc w:val="right"/>
              <w:ind w:right="280"/>
              <w:spacing w:after="0"/>
              <w:rPr>
                <w:sz w:val="20"/>
                <w:szCs w:val="20"/>
                <w:color w:val="auto"/>
              </w:rPr>
            </w:pPr>
            <w:r>
              <w:rPr>
                <w:rFonts w:ascii="Arial" w:cs="Arial" w:eastAsia="Arial" w:hAnsi="Arial"/>
                <w:sz w:val="18"/>
                <w:szCs w:val="18"/>
                <w:color w:val="auto"/>
              </w:rPr>
              <w:t>6%</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25.17</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558,000</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2011</w:t>
            </w: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114,000</w:t>
            </w:r>
          </w:p>
        </w:tc>
        <w:tc>
          <w:tcPr>
            <w:tcW w:w="2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507,000</w:t>
            </w:r>
          </w:p>
        </w:tc>
        <w:tc>
          <w:tcPr>
            <w:tcW w:w="13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621,000</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b w:val="1"/>
                <w:bCs w:val="1"/>
                <w:color w:val="auto"/>
              </w:rPr>
              <w:t>2012</w:t>
            </w:r>
          </w:p>
        </w:tc>
        <w:tc>
          <w:tcPr>
            <w:tcW w:w="8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215,000</w:t>
            </w:r>
          </w:p>
        </w:tc>
        <w:tc>
          <w:tcPr>
            <w:tcW w:w="220" w:type="dxa"/>
            <w:vAlign w:val="bottom"/>
          </w:tcPr>
          <w:p>
            <w:pPr>
              <w:spacing w:after="0"/>
              <w:rPr>
                <w:sz w:val="18"/>
                <w:szCs w:val="18"/>
                <w:color w:val="auto"/>
              </w:rPr>
            </w:pPr>
          </w:p>
        </w:tc>
        <w:tc>
          <w:tcPr>
            <w:tcW w:w="1220" w:type="dxa"/>
            <w:vAlign w:val="bottom"/>
            <w:gridSpan w:val="4"/>
          </w:tcPr>
          <w:p>
            <w:pPr>
              <w:jc w:val="right"/>
              <w:ind w:right="2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13.35</w:t>
            </w:r>
          </w:p>
        </w:tc>
        <w:tc>
          <w:tcPr>
            <w:tcW w:w="2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433,000</w:t>
            </w:r>
          </w:p>
        </w:tc>
        <w:tc>
          <w:tcPr>
            <w:tcW w:w="1340" w:type="dxa"/>
            <w:vAlign w:val="bottom"/>
            <w:gridSpan w:val="4"/>
          </w:tcPr>
          <w:p>
            <w:pPr>
              <w:jc w:val="right"/>
              <w:ind w:right="280"/>
              <w:spacing w:after="0"/>
              <w:rPr>
                <w:sz w:val="20"/>
                <w:szCs w:val="20"/>
                <w:color w:val="auto"/>
              </w:rPr>
            </w:pPr>
            <w:r>
              <w:rPr>
                <w:rFonts w:ascii="Arial" w:cs="Arial" w:eastAsia="Arial" w:hAnsi="Arial"/>
                <w:sz w:val="18"/>
                <w:szCs w:val="18"/>
                <w:color w:val="auto"/>
              </w:rPr>
              <w:t>6%</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28.72</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647,000</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2013</w:t>
            </w: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224,000</w:t>
            </w:r>
          </w:p>
        </w:tc>
        <w:tc>
          <w:tcPr>
            <w:tcW w:w="2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343,000</w:t>
            </w:r>
          </w:p>
        </w:tc>
        <w:tc>
          <w:tcPr>
            <w:tcW w:w="13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568,000</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b w:val="1"/>
                <w:bCs w:val="1"/>
                <w:color w:val="auto"/>
              </w:rPr>
              <w:t>2014</w:t>
            </w:r>
          </w:p>
        </w:tc>
        <w:tc>
          <w:tcPr>
            <w:tcW w:w="8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342,000</w:t>
            </w:r>
          </w:p>
        </w:tc>
        <w:tc>
          <w:tcPr>
            <w:tcW w:w="220" w:type="dxa"/>
            <w:vAlign w:val="bottom"/>
          </w:tcPr>
          <w:p>
            <w:pPr>
              <w:spacing w:after="0"/>
              <w:rPr>
                <w:sz w:val="18"/>
                <w:szCs w:val="18"/>
                <w:color w:val="auto"/>
              </w:rPr>
            </w:pPr>
          </w:p>
        </w:tc>
        <w:tc>
          <w:tcPr>
            <w:tcW w:w="1220" w:type="dxa"/>
            <w:vAlign w:val="bottom"/>
            <w:gridSpan w:val="4"/>
          </w:tcPr>
          <w:p>
            <w:pPr>
              <w:jc w:val="right"/>
              <w:ind w:right="26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13.26</w:t>
            </w:r>
          </w:p>
        </w:tc>
        <w:tc>
          <w:tcPr>
            <w:tcW w:w="2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394,000</w:t>
            </w:r>
          </w:p>
        </w:tc>
        <w:tc>
          <w:tcPr>
            <w:tcW w:w="1340" w:type="dxa"/>
            <w:vAlign w:val="bottom"/>
            <w:gridSpan w:val="4"/>
          </w:tcPr>
          <w:p>
            <w:pPr>
              <w:jc w:val="right"/>
              <w:ind w:right="280"/>
              <w:spacing w:after="0"/>
              <w:rPr>
                <w:sz w:val="20"/>
                <w:szCs w:val="20"/>
                <w:color w:val="auto"/>
              </w:rPr>
            </w:pPr>
            <w:r>
              <w:rPr>
                <w:rFonts w:ascii="Arial" w:cs="Arial" w:eastAsia="Arial" w:hAnsi="Arial"/>
                <w:sz w:val="18"/>
                <w:szCs w:val="18"/>
                <w:color w:val="auto"/>
              </w:rPr>
              <w:t>6%</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27.11</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736,000</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Thereafter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7,352,000</w:t>
            </w:r>
          </w:p>
        </w:tc>
        <w:tc>
          <w:tcPr>
            <w:tcW w:w="2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81%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2,024,000</w:t>
            </w:r>
          </w:p>
        </w:tc>
        <w:tc>
          <w:tcPr>
            <w:tcW w:w="13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30%</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9,375,000</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Total (3)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9,031,000</w:t>
            </w:r>
          </w:p>
        </w:tc>
        <w:tc>
          <w:tcPr>
            <w:tcW w:w="2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6,746,000</w:t>
            </w:r>
          </w:p>
        </w:tc>
        <w:tc>
          <w:tcPr>
            <w:tcW w:w="13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15,777,000</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1581150</wp:posOffset>
            </wp:positionH>
            <wp:positionV relativeFrom="paragraph">
              <wp:posOffset>-3208655</wp:posOffset>
            </wp:positionV>
            <wp:extent cx="1270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1143635</wp:posOffset>
            </wp:positionH>
            <wp:positionV relativeFrom="paragraph">
              <wp:posOffset>-3208655</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1769745</wp:posOffset>
            </wp:positionH>
            <wp:positionV relativeFrom="paragraph">
              <wp:posOffset>-3208655</wp:posOffset>
            </wp:positionV>
            <wp:extent cx="1270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2232660</wp:posOffset>
            </wp:positionH>
            <wp:positionV relativeFrom="paragraph">
              <wp:posOffset>-3208655</wp:posOffset>
            </wp:positionV>
            <wp:extent cx="3873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2506980</wp:posOffset>
            </wp:positionH>
            <wp:positionV relativeFrom="paragraph">
              <wp:posOffset>-3208655</wp:posOffset>
            </wp:positionV>
            <wp:extent cx="1270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-3208655</wp:posOffset>
            </wp:positionV>
            <wp:extent cx="1270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-3208655</wp:posOffset>
            </wp:positionV>
            <wp:extent cx="2159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-3208655</wp:posOffset>
            </wp:positionV>
            <wp:extent cx="1270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-3208655</wp:posOffset>
            </wp:positionV>
            <wp:extent cx="1270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-3208655</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-3208655</wp:posOffset>
            </wp:positionV>
            <wp:extent cx="3873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-3208655</wp:posOffset>
            </wp:positionV>
            <wp:extent cx="268859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688590" cy="29845"/>
                    </a:xfrm>
                    <a:prstGeom prst="rect">
                      <a:avLst/>
                    </a:prstGeom>
                    <a:noFill/>
                  </pic:spPr>
                </pic:pic>
              </a:graphicData>
            </a:graphic>
          </wp:anchor>
        </w:drawing>
        <w:drawing>
          <wp:anchor simplePos="0" relativeHeight="251657728" behindDoc="1" locked="0" layoutInCell="0" allowOverlap="1">
            <wp:simplePos x="0" y="0"/>
            <wp:positionH relativeFrom="column">
              <wp:posOffset>1581150</wp:posOffset>
            </wp:positionH>
            <wp:positionV relativeFrom="paragraph">
              <wp:posOffset>-172720</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1143635</wp:posOffset>
            </wp:positionH>
            <wp:positionV relativeFrom="paragraph">
              <wp:posOffset>-172720</wp:posOffset>
            </wp:positionV>
            <wp:extent cx="127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1769745</wp:posOffset>
            </wp:positionH>
            <wp:positionV relativeFrom="paragraph">
              <wp:posOffset>-172720</wp:posOffset>
            </wp:positionV>
            <wp:extent cx="1270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2232660</wp:posOffset>
            </wp:positionH>
            <wp:positionV relativeFrom="paragraph">
              <wp:posOffset>-172720</wp:posOffset>
            </wp:positionV>
            <wp:extent cx="3873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2506980</wp:posOffset>
            </wp:positionH>
            <wp:positionV relativeFrom="paragraph">
              <wp:posOffset>-172720</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-172720</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-172720</wp:posOffset>
            </wp:positionV>
            <wp:extent cx="2159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-172720</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-172720</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-172720</wp:posOffset>
            </wp:positionV>
            <wp:extent cx="1270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-172720</wp:posOffset>
            </wp:positionV>
            <wp:extent cx="3873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-172720</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-172720</wp:posOffset>
            </wp:positionV>
            <wp:extent cx="1270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-172720</wp:posOffset>
            </wp:positionV>
            <wp:extent cx="2159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-172720</wp:posOffset>
            </wp:positionV>
            <wp:extent cx="1270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-172720</wp:posOffset>
            </wp:positionV>
            <wp:extent cx="1270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-172720</wp:posOffset>
            </wp:positionV>
            <wp:extent cx="1270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-172720</wp:posOffset>
            </wp:positionV>
            <wp:extent cx="38735"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-172720</wp:posOffset>
            </wp:positionV>
            <wp:extent cx="1270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-172720</wp:posOffset>
            </wp:positionV>
            <wp:extent cx="2159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77"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Anchor is defined as a tenant leasing 15,000 square feet or more.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Minimum Rent reflects in-place contractual rent as of December 31, 2004.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occupied square footage as of December 31, 2004.</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Leased Statistics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Overall Portfolio Statistics (1)</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80" w:type="dxa"/>
            <w:vAlign w:val="bottom"/>
          </w:tcPr>
          <w:p>
            <w:pPr>
              <w:ind w:left="80"/>
              <w:spacing w:after="0"/>
              <w:rPr>
                <w:sz w:val="20"/>
                <w:szCs w:val="20"/>
                <w:color w:val="auto"/>
              </w:rPr>
            </w:pPr>
            <w:r>
              <w:rPr>
                <w:rFonts w:ascii="Arial" w:cs="Arial" w:eastAsia="Arial" w:hAnsi="Arial"/>
                <w:sz w:val="14"/>
                <w:szCs w:val="14"/>
                <w:b w:val="1"/>
                <w:bCs w:val="1"/>
                <w:color w:val="auto"/>
                <w:w w:val="88"/>
              </w:rPr>
              <w:t>At December 31, 2004</w:t>
            </w: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80" w:type="dxa"/>
            <w:vAlign w:val="bottom"/>
          </w:tcPr>
          <w:p>
            <w:pPr>
              <w:ind w:left="80"/>
              <w:spacing w:after="0"/>
              <w:rPr>
                <w:sz w:val="20"/>
                <w:szCs w:val="20"/>
                <w:color w:val="auto"/>
              </w:rPr>
            </w:pPr>
            <w:r>
              <w:rPr>
                <w:rFonts w:ascii="Arial" w:cs="Arial" w:eastAsia="Arial" w:hAnsi="Arial"/>
                <w:sz w:val="14"/>
                <w:szCs w:val="14"/>
                <w:b w:val="1"/>
                <w:bCs w:val="1"/>
                <w:color w:val="auto"/>
                <w:w w:val="88"/>
              </w:rPr>
              <w:t>At December 31, 2003</w:t>
            </w:r>
          </w:p>
        </w:tc>
        <w:tc>
          <w:tcPr>
            <w:tcW w:w="620" w:type="dxa"/>
            <w:vAlign w:val="bottom"/>
          </w:tcPr>
          <w:p>
            <w:pPr>
              <w:spacing w:after="0"/>
              <w:rPr>
                <w:sz w:val="15"/>
                <w:szCs w:val="15"/>
                <w:color w:val="auto"/>
              </w:rPr>
            </w:pPr>
          </w:p>
        </w:tc>
      </w:tr>
      <w:tr>
        <w:trPr>
          <w:trHeight w:val="95"/>
        </w:trPr>
        <w:tc>
          <w:tcPr>
            <w:tcW w:w="56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r>
      <w:tr>
        <w:trPr>
          <w:trHeight w:val="263"/>
        </w:trPr>
        <w:tc>
          <w:tcPr>
            <w:tcW w:w="5680" w:type="dxa"/>
            <w:vAlign w:val="bottom"/>
          </w:tcPr>
          <w:p>
            <w:pPr>
              <w:spacing w:after="0"/>
              <w:rPr>
                <w:sz w:val="20"/>
                <w:szCs w:val="20"/>
                <w:color w:val="auto"/>
              </w:rPr>
            </w:pPr>
            <w:r>
              <w:rPr>
                <w:rFonts w:ascii="Arial" w:cs="Arial" w:eastAsia="Arial" w:hAnsi="Arial"/>
                <w:sz w:val="14"/>
                <w:szCs w:val="14"/>
                <w:b w:val="1"/>
                <w:bCs w:val="1"/>
                <w:color w:val="auto"/>
              </w:rPr>
              <w:t>Type</w:t>
            </w:r>
          </w:p>
        </w:tc>
        <w:tc>
          <w:tcPr>
            <w:tcW w:w="580" w:type="dxa"/>
            <w:vAlign w:val="bottom"/>
          </w:tcPr>
          <w:p>
            <w:pPr>
              <w:ind w:left="280"/>
              <w:spacing w:after="0"/>
              <w:rPr>
                <w:sz w:val="20"/>
                <w:szCs w:val="20"/>
                <w:color w:val="auto"/>
              </w:rPr>
            </w:pPr>
            <w:r>
              <w:rPr>
                <w:rFonts w:ascii="Arial" w:cs="Arial" w:eastAsia="Arial" w:hAnsi="Arial"/>
                <w:sz w:val="14"/>
                <w:szCs w:val="14"/>
                <w:b w:val="1"/>
                <w:bCs w:val="1"/>
                <w:color w:val="auto"/>
                <w:w w:val="99"/>
              </w:rPr>
              <w:t>Size</w:t>
            </w:r>
          </w:p>
        </w:tc>
        <w:tc>
          <w:tcPr>
            <w:tcW w:w="1380" w:type="dxa"/>
            <w:vAlign w:val="bottom"/>
          </w:tcPr>
          <w:p>
            <w:pPr>
              <w:ind w:left="620"/>
              <w:spacing w:after="0"/>
              <w:rPr>
                <w:sz w:val="20"/>
                <w:szCs w:val="20"/>
                <w:color w:val="auto"/>
              </w:rPr>
            </w:pPr>
            <w:r>
              <w:rPr>
                <w:rFonts w:ascii="Arial" w:cs="Arial" w:eastAsia="Arial" w:hAnsi="Arial"/>
                <w:sz w:val="14"/>
                <w:szCs w:val="14"/>
                <w:b w:val="1"/>
                <w:bCs w:val="1"/>
                <w:color w:val="auto"/>
              </w:rPr>
              <w:t>Leased</w:t>
            </w:r>
          </w:p>
        </w:tc>
        <w:tc>
          <w:tcPr>
            <w:tcW w:w="620" w:type="dxa"/>
            <w:vAlign w:val="bottom"/>
          </w:tcPr>
          <w:p>
            <w:pPr>
              <w:ind w:left="40"/>
              <w:spacing w:after="0"/>
              <w:rPr>
                <w:sz w:val="20"/>
                <w:szCs w:val="20"/>
                <w:color w:val="auto"/>
              </w:rPr>
            </w:pPr>
            <w:r>
              <w:rPr>
                <w:rFonts w:ascii="Arial" w:cs="Arial" w:eastAsia="Arial" w:hAnsi="Arial"/>
                <w:sz w:val="14"/>
                <w:szCs w:val="14"/>
                <w:b w:val="1"/>
                <w:bCs w:val="1"/>
                <w:color w:val="auto"/>
                <w:w w:val="86"/>
              </w:rPr>
              <w:t>Leased %</w:t>
            </w:r>
          </w:p>
        </w:tc>
        <w:tc>
          <w:tcPr>
            <w:tcW w:w="360" w:type="dxa"/>
            <w:vAlign w:val="bottom"/>
          </w:tcPr>
          <w:p>
            <w:pPr>
              <w:spacing w:after="0"/>
              <w:rPr>
                <w:sz w:val="22"/>
                <w:szCs w:val="22"/>
                <w:color w:val="auto"/>
              </w:rPr>
            </w:pPr>
          </w:p>
        </w:tc>
        <w:tc>
          <w:tcPr>
            <w:tcW w:w="580" w:type="dxa"/>
            <w:vAlign w:val="bottom"/>
          </w:tcPr>
          <w:p>
            <w:pPr>
              <w:ind w:left="280"/>
              <w:spacing w:after="0"/>
              <w:rPr>
                <w:sz w:val="20"/>
                <w:szCs w:val="20"/>
                <w:color w:val="auto"/>
              </w:rPr>
            </w:pPr>
            <w:r>
              <w:rPr>
                <w:rFonts w:ascii="Arial" w:cs="Arial" w:eastAsia="Arial" w:hAnsi="Arial"/>
                <w:sz w:val="14"/>
                <w:szCs w:val="14"/>
                <w:b w:val="1"/>
                <w:bCs w:val="1"/>
                <w:color w:val="auto"/>
                <w:w w:val="99"/>
              </w:rPr>
              <w:t>Size</w:t>
            </w:r>
          </w:p>
        </w:tc>
        <w:tc>
          <w:tcPr>
            <w:tcW w:w="1380" w:type="dxa"/>
            <w:vAlign w:val="bottom"/>
          </w:tcPr>
          <w:p>
            <w:pPr>
              <w:ind w:left="600"/>
              <w:spacing w:after="0"/>
              <w:rPr>
                <w:sz w:val="20"/>
                <w:szCs w:val="20"/>
                <w:color w:val="auto"/>
              </w:rPr>
            </w:pPr>
            <w:r>
              <w:rPr>
                <w:rFonts w:ascii="Arial" w:cs="Arial" w:eastAsia="Arial" w:hAnsi="Arial"/>
                <w:sz w:val="14"/>
                <w:szCs w:val="14"/>
                <w:b w:val="1"/>
                <w:bCs w:val="1"/>
                <w:color w:val="auto"/>
              </w:rPr>
              <w:t>Leased</w:t>
            </w:r>
          </w:p>
        </w:tc>
        <w:tc>
          <w:tcPr>
            <w:tcW w:w="620" w:type="dxa"/>
            <w:vAlign w:val="bottom"/>
          </w:tcPr>
          <w:p>
            <w:pPr>
              <w:ind w:left="40"/>
              <w:spacing w:after="0"/>
              <w:rPr>
                <w:sz w:val="20"/>
                <w:szCs w:val="20"/>
                <w:color w:val="auto"/>
              </w:rPr>
            </w:pPr>
            <w:r>
              <w:rPr>
                <w:rFonts w:ascii="Arial" w:cs="Arial" w:eastAsia="Arial" w:hAnsi="Arial"/>
                <w:sz w:val="14"/>
                <w:szCs w:val="14"/>
                <w:b w:val="1"/>
                <w:bCs w:val="1"/>
                <w:color w:val="auto"/>
                <w:w w:val="86"/>
              </w:rPr>
              <w:t>Leased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489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60325</wp:posOffset>
            </wp:positionV>
            <wp:extent cx="350774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Retail Properties (2)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16,890,000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16,069,000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16,234,000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15,120,000</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gridSpan w:val="3"/>
          </w:tcPr>
          <w:p>
            <w:pPr>
              <w:spacing w:after="0"/>
              <w:rPr>
                <w:sz w:val="20"/>
                <w:szCs w:val="20"/>
                <w:color w:val="auto"/>
              </w:rPr>
            </w:pPr>
            <w:r>
              <w:rPr>
                <w:rFonts w:ascii="Arial" w:cs="Arial" w:eastAsia="Arial" w:hAnsi="Arial"/>
                <w:sz w:val="18"/>
                <w:szCs w:val="18"/>
                <w:color w:val="auto"/>
              </w:rPr>
              <w:t>Residential Properties (3)</w:t>
            </w:r>
          </w:p>
        </w:tc>
        <w:tc>
          <w:tcPr>
            <w:tcW w:w="800" w:type="dxa"/>
            <w:vAlign w:val="bottom"/>
          </w:tcPr>
          <w:p>
            <w:pPr>
              <w:jc w:val="right"/>
              <w:spacing w:after="0"/>
              <w:rPr>
                <w:sz w:val="20"/>
                <w:szCs w:val="20"/>
                <w:color w:val="auto"/>
              </w:rPr>
            </w:pPr>
            <w:r>
              <w:rPr>
                <w:rFonts w:ascii="Arial" w:cs="Arial" w:eastAsia="Arial" w:hAnsi="Arial"/>
                <w:sz w:val="18"/>
                <w:szCs w:val="18"/>
                <w:color w:val="auto"/>
              </w:rPr>
              <w:t>683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639</w:t>
            </w:r>
          </w:p>
        </w:tc>
        <w:tc>
          <w:tcPr>
            <w:tcW w:w="2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93.6%</w:t>
            </w:r>
          </w:p>
        </w:tc>
        <w:tc>
          <w:tcPr>
            <w:tcW w:w="780" w:type="dxa"/>
            <w:vAlign w:val="bottom"/>
          </w:tcPr>
          <w:p>
            <w:pPr>
              <w:jc w:val="right"/>
              <w:spacing w:after="0"/>
              <w:rPr>
                <w:sz w:val="20"/>
                <w:szCs w:val="20"/>
                <w:color w:val="auto"/>
              </w:rPr>
            </w:pPr>
            <w:r>
              <w:rPr>
                <w:rFonts w:ascii="Arial" w:cs="Arial" w:eastAsia="Arial" w:hAnsi="Arial"/>
                <w:sz w:val="18"/>
                <w:szCs w:val="18"/>
                <w:color w:val="auto"/>
              </w:rPr>
              <w:t>683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653</w:t>
            </w:r>
          </w:p>
        </w:tc>
        <w:tc>
          <w:tcPr>
            <w:tcW w:w="22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385"/>
        </w:trPr>
        <w:tc>
          <w:tcPr>
            <w:tcW w:w="5680" w:type="dxa"/>
            <w:vAlign w:val="bottom"/>
            <w:gridSpan w:val="4"/>
          </w:tcPr>
          <w:p>
            <w:pPr>
              <w:spacing w:after="0"/>
              <w:rPr>
                <w:sz w:val="20"/>
                <w:szCs w:val="20"/>
                <w:color w:val="auto"/>
              </w:rPr>
            </w:pPr>
            <w:r>
              <w:rPr>
                <w:rFonts w:ascii="Arial" w:cs="Arial" w:eastAsia="Arial" w:hAnsi="Arial"/>
                <w:sz w:val="18"/>
                <w:szCs w:val="18"/>
                <w:b w:val="1"/>
                <w:bCs w:val="1"/>
                <w:color w:val="auto"/>
              </w:rPr>
              <w:t>Same Center Statistics (1)</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3740" w:type="dxa"/>
            <w:vAlign w:val="bottom"/>
          </w:tcPr>
          <w:p>
            <w:pPr>
              <w:spacing w:after="0"/>
              <w:rPr>
                <w:sz w:val="24"/>
                <w:szCs w:val="24"/>
                <w:color w:val="auto"/>
              </w:rPr>
            </w:pPr>
          </w:p>
        </w:tc>
        <w:tc>
          <w:tcPr>
            <w:tcW w:w="2000" w:type="dxa"/>
            <w:vAlign w:val="bottom"/>
            <w:gridSpan w:val="4"/>
          </w:tcPr>
          <w:p>
            <w:pPr>
              <w:ind w:left="660"/>
              <w:spacing w:after="0"/>
              <w:rPr>
                <w:sz w:val="20"/>
                <w:szCs w:val="20"/>
                <w:color w:val="auto"/>
              </w:rPr>
            </w:pPr>
            <w:r>
              <w:rPr>
                <w:rFonts w:ascii="Arial" w:cs="Arial" w:eastAsia="Arial" w:hAnsi="Arial"/>
                <w:sz w:val="14"/>
                <w:szCs w:val="14"/>
                <w:b w:val="1"/>
                <w:bCs w:val="1"/>
                <w:color w:val="auto"/>
                <w:w w:val="91"/>
              </w:rPr>
              <w:t>At December 31, 2004</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0" w:type="dxa"/>
            <w:vAlign w:val="bottom"/>
            <w:gridSpan w:val="4"/>
          </w:tcPr>
          <w:p>
            <w:pPr>
              <w:ind w:left="660"/>
              <w:spacing w:after="0"/>
              <w:rPr>
                <w:sz w:val="20"/>
                <w:szCs w:val="20"/>
                <w:color w:val="auto"/>
              </w:rPr>
            </w:pPr>
            <w:r>
              <w:rPr>
                <w:rFonts w:ascii="Arial" w:cs="Arial" w:eastAsia="Arial" w:hAnsi="Arial"/>
                <w:sz w:val="14"/>
                <w:szCs w:val="14"/>
                <w:b w:val="1"/>
                <w:bCs w:val="1"/>
                <w:color w:val="auto"/>
                <w:w w:val="91"/>
              </w:rPr>
              <w:t>At December 31, 2003</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00" w:type="dxa"/>
            <w:vAlign w:val="bottom"/>
            <w:gridSpan w:val="2"/>
          </w:tcPr>
          <w:p>
            <w:pPr>
              <w:spacing w:after="0"/>
              <w:rPr>
                <w:sz w:val="8"/>
                <w:szCs w:val="8"/>
                <w:color w:val="auto"/>
              </w:rPr>
            </w:pPr>
          </w:p>
        </w:tc>
        <w:tc>
          <w:tcPr>
            <w:tcW w:w="1540" w:type="dxa"/>
            <w:vAlign w:val="bottom"/>
          </w:tcPr>
          <w:p>
            <w:pPr>
              <w:spacing w:after="0"/>
              <w:rPr>
                <w:sz w:val="8"/>
                <w:szCs w:val="8"/>
                <w:color w:val="auto"/>
              </w:rPr>
            </w:pPr>
          </w:p>
        </w:tc>
        <w:tc>
          <w:tcPr>
            <w:tcW w:w="37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680" w:type="dxa"/>
            <w:vAlign w:val="bottom"/>
            <w:gridSpan w:val="4"/>
          </w:tcPr>
          <w:p>
            <w:pPr>
              <w:spacing w:after="0"/>
              <w:rPr>
                <w:sz w:val="20"/>
                <w:szCs w:val="20"/>
                <w:color w:val="auto"/>
              </w:rPr>
            </w:pPr>
            <w:r>
              <w:rPr>
                <w:rFonts w:ascii="Arial" w:cs="Arial" w:eastAsia="Arial" w:hAnsi="Arial"/>
                <w:sz w:val="14"/>
                <w:szCs w:val="14"/>
                <w:b w:val="1"/>
                <w:bCs w:val="1"/>
                <w:color w:val="auto"/>
              </w:rPr>
              <w:t>Type</w:t>
            </w:r>
          </w:p>
        </w:tc>
        <w:tc>
          <w:tcPr>
            <w:tcW w:w="800" w:type="dxa"/>
            <w:vAlign w:val="bottom"/>
          </w:tcPr>
          <w:p>
            <w:pPr>
              <w:jc w:val="right"/>
              <w:ind w:right="199"/>
              <w:spacing w:after="0"/>
              <w:rPr>
                <w:sz w:val="20"/>
                <w:szCs w:val="20"/>
                <w:color w:val="auto"/>
              </w:rPr>
            </w:pPr>
            <w:r>
              <w:rPr>
                <w:rFonts w:ascii="Arial" w:cs="Arial" w:eastAsia="Arial" w:hAnsi="Arial"/>
                <w:sz w:val="14"/>
                <w:szCs w:val="14"/>
                <w:b w:val="1"/>
                <w:bCs w:val="1"/>
                <w:color w:val="auto"/>
              </w:rPr>
              <w:t>Size</w:t>
            </w:r>
          </w:p>
        </w:tc>
        <w:tc>
          <w:tcPr>
            <w:tcW w:w="200" w:type="dxa"/>
            <w:vAlign w:val="bottom"/>
          </w:tcPr>
          <w:p>
            <w:pPr>
              <w:spacing w:after="0"/>
              <w:rPr>
                <w:sz w:val="22"/>
                <w:szCs w:val="22"/>
                <w:color w:val="auto"/>
              </w:rPr>
            </w:pP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Leased</w:t>
            </w: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6"/>
              </w:rPr>
              <w:t>Leased %</w:t>
            </w:r>
          </w:p>
        </w:tc>
        <w:tc>
          <w:tcPr>
            <w:tcW w:w="780" w:type="dxa"/>
            <w:vAlign w:val="bottom"/>
          </w:tcPr>
          <w:p>
            <w:pPr>
              <w:jc w:val="right"/>
              <w:ind w:right="199"/>
              <w:spacing w:after="0"/>
              <w:rPr>
                <w:sz w:val="20"/>
                <w:szCs w:val="20"/>
                <w:color w:val="auto"/>
              </w:rPr>
            </w:pPr>
            <w:r>
              <w:rPr>
                <w:rFonts w:ascii="Arial" w:cs="Arial" w:eastAsia="Arial" w:hAnsi="Arial"/>
                <w:sz w:val="14"/>
                <w:szCs w:val="14"/>
                <w:b w:val="1"/>
                <w:bCs w:val="1"/>
                <w:color w:val="auto"/>
              </w:rPr>
              <w:t>Size</w:t>
            </w:r>
          </w:p>
        </w:tc>
        <w:tc>
          <w:tcPr>
            <w:tcW w:w="220" w:type="dxa"/>
            <w:vAlign w:val="bottom"/>
          </w:tcPr>
          <w:p>
            <w:pPr>
              <w:spacing w:after="0"/>
              <w:rPr>
                <w:sz w:val="22"/>
                <w:szCs w:val="22"/>
                <w:color w:val="auto"/>
              </w:rPr>
            </w:pPr>
          </w:p>
        </w:tc>
        <w:tc>
          <w:tcPr>
            <w:tcW w:w="1000" w:type="dxa"/>
            <w:vAlign w:val="bottom"/>
            <w:gridSpan w:val="2"/>
          </w:tcPr>
          <w:p>
            <w:pPr>
              <w:ind w:left="180"/>
              <w:spacing w:after="0"/>
              <w:rPr>
                <w:sz w:val="20"/>
                <w:szCs w:val="20"/>
                <w:color w:val="auto"/>
              </w:rPr>
            </w:pPr>
            <w:r>
              <w:rPr>
                <w:rFonts w:ascii="Arial" w:cs="Arial" w:eastAsia="Arial" w:hAnsi="Arial"/>
                <w:sz w:val="14"/>
                <w:szCs w:val="14"/>
                <w:b w:val="1"/>
                <w:bCs w:val="1"/>
                <w:color w:val="auto"/>
              </w:rPr>
              <w:t>Leased</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6"/>
              </w:rPr>
              <w:t>Leased %</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540" w:type="dxa"/>
            <w:vAlign w:val="bottom"/>
          </w:tcPr>
          <w:p>
            <w:pPr>
              <w:spacing w:after="0"/>
              <w:rPr>
                <w:sz w:val="8"/>
                <w:szCs w:val="8"/>
                <w:color w:val="auto"/>
              </w:rPr>
            </w:pPr>
          </w:p>
        </w:tc>
        <w:tc>
          <w:tcPr>
            <w:tcW w:w="37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3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Retail Properties (2) (4)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12,282,000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11,889,000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12,197,000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11,719,000</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gridSpan w:val="3"/>
          </w:tcPr>
          <w:p>
            <w:pPr>
              <w:spacing w:after="0"/>
              <w:rPr>
                <w:sz w:val="20"/>
                <w:szCs w:val="20"/>
                <w:color w:val="auto"/>
              </w:rPr>
            </w:pPr>
            <w:r>
              <w:rPr>
                <w:rFonts w:ascii="Arial" w:cs="Arial" w:eastAsia="Arial" w:hAnsi="Arial"/>
                <w:sz w:val="18"/>
                <w:szCs w:val="18"/>
                <w:color w:val="auto"/>
              </w:rPr>
              <w:t>Residential Properties (3)</w:t>
            </w:r>
          </w:p>
        </w:tc>
        <w:tc>
          <w:tcPr>
            <w:tcW w:w="800" w:type="dxa"/>
            <w:vAlign w:val="bottom"/>
          </w:tcPr>
          <w:p>
            <w:pPr>
              <w:jc w:val="right"/>
              <w:spacing w:after="0"/>
              <w:rPr>
                <w:sz w:val="20"/>
                <w:szCs w:val="20"/>
                <w:color w:val="auto"/>
              </w:rPr>
            </w:pPr>
            <w:r>
              <w:rPr>
                <w:rFonts w:ascii="Arial" w:cs="Arial" w:eastAsia="Arial" w:hAnsi="Arial"/>
                <w:sz w:val="18"/>
                <w:szCs w:val="18"/>
                <w:color w:val="auto"/>
              </w:rPr>
              <w:t>428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412</w:t>
            </w:r>
          </w:p>
        </w:tc>
        <w:tc>
          <w:tcPr>
            <w:tcW w:w="2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96.3%</w:t>
            </w:r>
          </w:p>
        </w:tc>
        <w:tc>
          <w:tcPr>
            <w:tcW w:w="780" w:type="dxa"/>
            <w:vAlign w:val="bottom"/>
          </w:tcPr>
          <w:p>
            <w:pPr>
              <w:jc w:val="right"/>
              <w:spacing w:after="0"/>
              <w:rPr>
                <w:sz w:val="20"/>
                <w:szCs w:val="20"/>
                <w:color w:val="auto"/>
              </w:rPr>
            </w:pPr>
            <w:r>
              <w:rPr>
                <w:rFonts w:ascii="Arial" w:cs="Arial" w:eastAsia="Arial" w:hAnsi="Arial"/>
                <w:sz w:val="18"/>
                <w:szCs w:val="18"/>
                <w:color w:val="auto"/>
              </w:rPr>
              <w:t>428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405</w:t>
            </w:r>
          </w:p>
        </w:tc>
        <w:tc>
          <w:tcPr>
            <w:tcW w:w="22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77"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Leasable square feet; excludes redevelopment square footage not yet placed in service.</w:t>
      </w:r>
    </w:p>
    <w:p>
      <w:pPr>
        <w:spacing w:after="0" w:line="9"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Rollingwood, Santana Row residential and The Crest at Congressional Apartments for overall portfolio. Does not include Santana Row residential for Same Center.</w:t>
      </w: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Excludes properties purchased, sold or under redevelopment.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Top 25 Tenants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4"/>
              </w:rPr>
              <w:t>Percentage of</w:t>
            </w: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Annualized Base</w:t>
            </w:r>
          </w:p>
        </w:tc>
        <w:tc>
          <w:tcPr>
            <w:tcW w:w="14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Total Annualized</w:t>
            </w: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2"/>
              </w:rPr>
              <w:t>Percentage of</w:t>
            </w:r>
          </w:p>
        </w:tc>
        <w:tc>
          <w:tcPr>
            <w:tcW w:w="6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Stores</w:t>
            </w:r>
          </w:p>
        </w:tc>
        <w:tc>
          <w:tcPr>
            <w:tcW w:w="0" w:type="dxa"/>
            <w:vAlign w:val="bottom"/>
          </w:tcPr>
          <w:p>
            <w:pPr>
              <w:spacing w:after="0"/>
              <w:rPr>
                <w:sz w:val="1"/>
                <w:szCs w:val="1"/>
                <w:color w:val="auto"/>
              </w:rPr>
            </w:pPr>
          </w:p>
        </w:tc>
      </w:tr>
      <w:tr>
        <w:trPr>
          <w:trHeight w:val="174"/>
        </w:trPr>
        <w:tc>
          <w:tcPr>
            <w:tcW w:w="520" w:type="dxa"/>
            <w:vAlign w:val="bottom"/>
            <w:gridSpan w:val="3"/>
          </w:tcPr>
          <w:p>
            <w:pPr>
              <w:spacing w:after="0"/>
              <w:rPr>
                <w:sz w:val="20"/>
                <w:szCs w:val="20"/>
                <w:color w:val="auto"/>
              </w:rPr>
            </w:pPr>
            <w:r>
              <w:rPr>
                <w:rFonts w:ascii="Arial" w:cs="Arial" w:eastAsia="Arial" w:hAnsi="Arial"/>
                <w:sz w:val="14"/>
                <w:szCs w:val="14"/>
                <w:b w:val="1"/>
                <w:bCs w:val="1"/>
                <w:color w:val="auto"/>
              </w:rPr>
              <w:t>Rank</w:t>
            </w:r>
          </w:p>
        </w:tc>
        <w:tc>
          <w:tcPr>
            <w:tcW w:w="4920" w:type="dxa"/>
            <w:vAlign w:val="bottom"/>
            <w:gridSpan w:val="4"/>
          </w:tcPr>
          <w:p>
            <w:pPr>
              <w:ind w:left="140"/>
              <w:spacing w:after="0"/>
              <w:rPr>
                <w:sz w:val="20"/>
                <w:szCs w:val="20"/>
                <w:color w:val="auto"/>
              </w:rPr>
            </w:pPr>
            <w:r>
              <w:rPr>
                <w:rFonts w:ascii="Arial" w:cs="Arial" w:eastAsia="Arial" w:hAnsi="Arial"/>
                <w:sz w:val="14"/>
                <w:szCs w:val="14"/>
                <w:b w:val="1"/>
                <w:bCs w:val="1"/>
                <w:color w:val="auto"/>
              </w:rPr>
              <w:t>Tenant Name</w:t>
            </w:r>
          </w:p>
        </w:tc>
        <w:tc>
          <w:tcPr>
            <w:tcW w:w="100" w:type="dxa"/>
            <w:vAlign w:val="bottom"/>
          </w:tcPr>
          <w:p>
            <w:pPr>
              <w:spacing w:after="0"/>
              <w:rPr>
                <w:sz w:val="15"/>
                <w:szCs w:val="15"/>
                <w:color w:val="auto"/>
              </w:rPr>
            </w:pPr>
          </w:p>
        </w:tc>
        <w:tc>
          <w:tcPr>
            <w:tcW w:w="13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Rent</w:t>
            </w: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4"/>
              </w:rPr>
              <w:t>Base Rent</w:t>
            </w:r>
          </w:p>
        </w:tc>
        <w:tc>
          <w:tcPr>
            <w:tcW w:w="12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3"/>
              </w:rPr>
              <w:t>Tenant GLA</w:t>
            </w:r>
          </w:p>
        </w:tc>
        <w:tc>
          <w:tcPr>
            <w:tcW w:w="12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 GLA</w:t>
            </w:r>
          </w:p>
        </w:tc>
        <w:tc>
          <w:tcPr>
            <w:tcW w:w="6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2"/>
              </w:rPr>
              <w:t>Leased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49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Safeway, Inc.</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6,510,000</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4920" w:type="dxa"/>
            <w:vAlign w:val="bottom"/>
            <w:gridSpan w:val="4"/>
          </w:tcPr>
          <w:p>
            <w:pPr>
              <w:ind w:left="140"/>
              <w:spacing w:after="0"/>
              <w:rPr>
                <w:sz w:val="20"/>
                <w:szCs w:val="20"/>
                <w:color w:val="auto"/>
              </w:rPr>
            </w:pPr>
            <w:r>
              <w:rPr>
                <w:rFonts w:ascii="Arial" w:cs="Arial" w:eastAsia="Arial" w:hAnsi="Arial"/>
                <w:sz w:val="18"/>
                <w:szCs w:val="18"/>
                <w:color w:val="auto"/>
              </w:rPr>
              <w:t>Gap, Inc.</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6,271,000</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2.17%</w:t>
            </w:r>
          </w:p>
        </w:tc>
        <w:tc>
          <w:tcPr>
            <w:tcW w:w="800" w:type="dxa"/>
            <w:vAlign w:val="bottom"/>
          </w:tcPr>
          <w:p>
            <w:pPr>
              <w:jc w:val="right"/>
              <w:spacing w:after="0"/>
              <w:rPr>
                <w:sz w:val="20"/>
                <w:szCs w:val="20"/>
                <w:color w:val="auto"/>
              </w:rPr>
            </w:pPr>
            <w:r>
              <w:rPr>
                <w:rFonts w:ascii="Arial" w:cs="Arial" w:eastAsia="Arial" w:hAnsi="Arial"/>
                <w:sz w:val="18"/>
                <w:szCs w:val="18"/>
                <w:color w:val="auto"/>
              </w:rPr>
              <w:t>224,000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1.33%</w:t>
            </w: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49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Ahold USA, Inc.</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6,133,000</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4920" w:type="dxa"/>
            <w:vAlign w:val="bottom"/>
            <w:gridSpan w:val="4"/>
          </w:tcPr>
          <w:p>
            <w:pPr>
              <w:ind w:left="140"/>
              <w:spacing w:after="0"/>
              <w:rPr>
                <w:sz w:val="20"/>
                <w:szCs w:val="20"/>
                <w:color w:val="auto"/>
              </w:rPr>
            </w:pPr>
            <w:r>
              <w:rPr>
                <w:rFonts w:ascii="Arial" w:cs="Arial" w:eastAsia="Arial" w:hAnsi="Arial"/>
                <w:sz w:val="18"/>
                <w:szCs w:val="18"/>
                <w:color w:val="auto"/>
              </w:rPr>
              <w:t>Bed, Bath &amp; Beyond, Inc.</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5,619,000</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1.94%</w:t>
            </w:r>
          </w:p>
        </w:tc>
        <w:tc>
          <w:tcPr>
            <w:tcW w:w="800" w:type="dxa"/>
            <w:vAlign w:val="bottom"/>
          </w:tcPr>
          <w:p>
            <w:pPr>
              <w:jc w:val="right"/>
              <w:spacing w:after="0"/>
              <w:rPr>
                <w:sz w:val="20"/>
                <w:szCs w:val="20"/>
                <w:color w:val="auto"/>
              </w:rPr>
            </w:pPr>
            <w:r>
              <w:rPr>
                <w:rFonts w:ascii="Arial" w:cs="Arial" w:eastAsia="Arial" w:hAnsi="Arial"/>
                <w:sz w:val="18"/>
                <w:szCs w:val="18"/>
                <w:color w:val="auto"/>
              </w:rPr>
              <w:t>396,000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2.34%</w:t>
            </w: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49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TJX Companies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4,202,000</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4920" w:type="dxa"/>
            <w:vAlign w:val="bottom"/>
            <w:gridSpan w:val="4"/>
          </w:tcPr>
          <w:p>
            <w:pPr>
              <w:ind w:left="140"/>
              <w:spacing w:after="0"/>
              <w:rPr>
                <w:sz w:val="20"/>
                <w:szCs w:val="20"/>
                <w:color w:val="auto"/>
              </w:rPr>
            </w:pPr>
            <w:r>
              <w:rPr>
                <w:rFonts w:ascii="Arial" w:cs="Arial" w:eastAsia="Arial" w:hAnsi="Arial"/>
                <w:sz w:val="18"/>
                <w:szCs w:val="18"/>
                <w:color w:val="auto"/>
              </w:rPr>
              <w:t>Barnes &amp; Noble, Inc.</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3,697,000</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1.28%</w:t>
            </w:r>
          </w:p>
        </w:tc>
        <w:tc>
          <w:tcPr>
            <w:tcW w:w="800" w:type="dxa"/>
            <w:vAlign w:val="bottom"/>
          </w:tcPr>
          <w:p>
            <w:pPr>
              <w:jc w:val="right"/>
              <w:spacing w:after="0"/>
              <w:rPr>
                <w:sz w:val="20"/>
                <w:szCs w:val="20"/>
                <w:color w:val="auto"/>
              </w:rPr>
            </w:pPr>
            <w:r>
              <w:rPr>
                <w:rFonts w:ascii="Arial" w:cs="Arial" w:eastAsia="Arial" w:hAnsi="Arial"/>
                <w:sz w:val="18"/>
                <w:szCs w:val="18"/>
                <w:color w:val="auto"/>
              </w:rPr>
              <w:t>174,000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1.03%</w:t>
            </w: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49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CVS Corporation</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3,597,000</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4920" w:type="dxa"/>
            <w:vAlign w:val="bottom"/>
            <w:gridSpan w:val="4"/>
          </w:tcPr>
          <w:p>
            <w:pPr>
              <w:ind w:left="140"/>
              <w:spacing w:after="0"/>
              <w:rPr>
                <w:sz w:val="20"/>
                <w:szCs w:val="20"/>
                <w:color w:val="auto"/>
              </w:rPr>
            </w:pPr>
            <w:r>
              <w:rPr>
                <w:rFonts w:ascii="Arial" w:cs="Arial" w:eastAsia="Arial" w:hAnsi="Arial"/>
                <w:sz w:val="18"/>
                <w:szCs w:val="18"/>
                <w:color w:val="auto"/>
              </w:rPr>
              <w:t>Best Buy Stores, L.P.</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3,484,000</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1.20%</w:t>
            </w:r>
          </w:p>
        </w:tc>
        <w:tc>
          <w:tcPr>
            <w:tcW w:w="800" w:type="dxa"/>
            <w:vAlign w:val="bottom"/>
          </w:tcPr>
          <w:p>
            <w:pPr>
              <w:jc w:val="right"/>
              <w:spacing w:after="0"/>
              <w:rPr>
                <w:sz w:val="20"/>
                <w:szCs w:val="20"/>
                <w:color w:val="auto"/>
              </w:rPr>
            </w:pPr>
            <w:r>
              <w:rPr>
                <w:rFonts w:ascii="Arial" w:cs="Arial" w:eastAsia="Arial" w:hAnsi="Arial"/>
                <w:sz w:val="18"/>
                <w:szCs w:val="18"/>
                <w:color w:val="auto"/>
              </w:rPr>
              <w:t>101,000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0.60%</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49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Wakefern Food Corporation</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3,077,000</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4920" w:type="dxa"/>
            <w:vAlign w:val="bottom"/>
            <w:gridSpan w:val="4"/>
          </w:tcPr>
          <w:p>
            <w:pPr>
              <w:ind w:left="140"/>
              <w:spacing w:after="0"/>
              <w:rPr>
                <w:sz w:val="20"/>
                <w:szCs w:val="20"/>
                <w:color w:val="auto"/>
              </w:rPr>
            </w:pPr>
            <w:r>
              <w:rPr>
                <w:rFonts w:ascii="Arial" w:cs="Arial" w:eastAsia="Arial" w:hAnsi="Arial"/>
                <w:sz w:val="18"/>
                <w:szCs w:val="18"/>
                <w:color w:val="auto"/>
              </w:rPr>
              <w:t>Retail Ventures (DSW/Filene’s Basement)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2,994,000</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1.04%</w:t>
            </w:r>
          </w:p>
        </w:tc>
        <w:tc>
          <w:tcPr>
            <w:tcW w:w="800" w:type="dxa"/>
            <w:vAlign w:val="bottom"/>
          </w:tcPr>
          <w:p>
            <w:pPr>
              <w:jc w:val="right"/>
              <w:spacing w:after="0"/>
              <w:rPr>
                <w:sz w:val="20"/>
                <w:szCs w:val="20"/>
                <w:color w:val="auto"/>
              </w:rPr>
            </w:pPr>
            <w:r>
              <w:rPr>
                <w:rFonts w:ascii="Arial" w:cs="Arial" w:eastAsia="Arial" w:hAnsi="Arial"/>
                <w:sz w:val="18"/>
                <w:szCs w:val="18"/>
                <w:color w:val="auto"/>
              </w:rPr>
              <w:t>30,000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0.18%</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49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Borders Group, Inc.</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2,780,000</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4920" w:type="dxa"/>
            <w:vAlign w:val="bottom"/>
            <w:gridSpan w:val="4"/>
          </w:tcPr>
          <w:p>
            <w:pPr>
              <w:ind w:left="140"/>
              <w:spacing w:after="0"/>
              <w:rPr>
                <w:sz w:val="20"/>
                <w:szCs w:val="20"/>
                <w:color w:val="auto"/>
              </w:rPr>
            </w:pPr>
            <w:r>
              <w:rPr>
                <w:rFonts w:ascii="Arial" w:cs="Arial" w:eastAsia="Arial" w:hAnsi="Arial"/>
                <w:sz w:val="18"/>
                <w:szCs w:val="18"/>
                <w:color w:val="auto"/>
              </w:rPr>
              <w:t>Michaels Stores, Inc.</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2,480,000</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0.86%</w:t>
            </w:r>
          </w:p>
        </w:tc>
        <w:tc>
          <w:tcPr>
            <w:tcW w:w="800" w:type="dxa"/>
            <w:vAlign w:val="bottom"/>
          </w:tcPr>
          <w:p>
            <w:pPr>
              <w:jc w:val="right"/>
              <w:spacing w:after="0"/>
              <w:rPr>
                <w:sz w:val="20"/>
                <w:szCs w:val="20"/>
                <w:color w:val="auto"/>
              </w:rPr>
            </w:pPr>
            <w:r>
              <w:rPr>
                <w:rFonts w:ascii="Arial" w:cs="Arial" w:eastAsia="Arial" w:hAnsi="Arial"/>
                <w:sz w:val="18"/>
                <w:szCs w:val="18"/>
                <w:color w:val="auto"/>
              </w:rPr>
              <w:t>165,000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0.98%</w:t>
            </w: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49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OPNET Technologies, Inc.</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2,478,000</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4920" w:type="dxa"/>
            <w:vAlign w:val="bottom"/>
            <w:gridSpan w:val="4"/>
          </w:tcPr>
          <w:p>
            <w:pPr>
              <w:ind w:left="140"/>
              <w:spacing w:after="0"/>
              <w:rPr>
                <w:sz w:val="20"/>
                <w:szCs w:val="20"/>
                <w:color w:val="auto"/>
              </w:rPr>
            </w:pPr>
            <w:r>
              <w:rPr>
                <w:rFonts w:ascii="Arial" w:cs="Arial" w:eastAsia="Arial" w:hAnsi="Arial"/>
                <w:sz w:val="18"/>
                <w:szCs w:val="18"/>
                <w:color w:val="auto"/>
              </w:rPr>
              <w:t>MTS, Inc. (Tower Records)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2,399,000</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0.83%</w:t>
            </w:r>
          </w:p>
        </w:tc>
        <w:tc>
          <w:tcPr>
            <w:tcW w:w="800" w:type="dxa"/>
            <w:vAlign w:val="bottom"/>
          </w:tcPr>
          <w:p>
            <w:pPr>
              <w:jc w:val="right"/>
              <w:spacing w:after="0"/>
              <w:rPr>
                <w:sz w:val="20"/>
                <w:szCs w:val="20"/>
                <w:color w:val="auto"/>
              </w:rPr>
            </w:pPr>
            <w:r>
              <w:rPr>
                <w:rFonts w:ascii="Arial" w:cs="Arial" w:eastAsia="Arial" w:hAnsi="Arial"/>
                <w:sz w:val="18"/>
                <w:szCs w:val="18"/>
                <w:color w:val="auto"/>
              </w:rPr>
              <w:t>16,000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0.10%</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49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Great Atlantic &amp; Pacific Tea Co</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2,380,000</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4920" w:type="dxa"/>
            <w:vAlign w:val="bottom"/>
            <w:gridSpan w:val="4"/>
          </w:tcPr>
          <w:p>
            <w:pPr>
              <w:ind w:left="140"/>
              <w:spacing w:after="0"/>
              <w:rPr>
                <w:sz w:val="20"/>
                <w:szCs w:val="20"/>
                <w:color w:val="auto"/>
              </w:rPr>
            </w:pPr>
            <w:r>
              <w:rPr>
                <w:rFonts w:ascii="Arial" w:cs="Arial" w:eastAsia="Arial" w:hAnsi="Arial"/>
                <w:sz w:val="18"/>
                <w:szCs w:val="18"/>
                <w:color w:val="auto"/>
              </w:rPr>
              <w:t>CompUSA, Inc.</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2,371,000</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0.82%</w:t>
            </w:r>
          </w:p>
        </w:tc>
        <w:tc>
          <w:tcPr>
            <w:tcW w:w="800" w:type="dxa"/>
            <w:vAlign w:val="bottom"/>
          </w:tcPr>
          <w:p>
            <w:pPr>
              <w:jc w:val="right"/>
              <w:spacing w:after="0"/>
              <w:rPr>
                <w:sz w:val="20"/>
                <w:szCs w:val="20"/>
                <w:color w:val="auto"/>
              </w:rPr>
            </w:pPr>
            <w:r>
              <w:rPr>
                <w:rFonts w:ascii="Arial" w:cs="Arial" w:eastAsia="Arial" w:hAnsi="Arial"/>
                <w:sz w:val="18"/>
                <w:szCs w:val="18"/>
                <w:color w:val="auto"/>
              </w:rPr>
              <w:t>134,000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0.79%</w:t>
            </w: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49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The Container Store, Inc.</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2,280,000</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4920" w:type="dxa"/>
            <w:vAlign w:val="bottom"/>
            <w:gridSpan w:val="4"/>
          </w:tcPr>
          <w:p>
            <w:pPr>
              <w:ind w:left="140"/>
              <w:spacing w:after="0"/>
              <w:rPr>
                <w:sz w:val="20"/>
                <w:szCs w:val="20"/>
                <w:color w:val="auto"/>
              </w:rPr>
            </w:pPr>
            <w:r>
              <w:rPr>
                <w:rFonts w:ascii="Arial" w:cs="Arial" w:eastAsia="Arial" w:hAnsi="Arial"/>
                <w:sz w:val="18"/>
                <w:szCs w:val="18"/>
                <w:color w:val="auto"/>
              </w:rPr>
              <w:t>Home Depot, Inc.</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2,207,000</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0.76%</w:t>
            </w:r>
          </w:p>
        </w:tc>
        <w:tc>
          <w:tcPr>
            <w:tcW w:w="800" w:type="dxa"/>
            <w:vAlign w:val="bottom"/>
          </w:tcPr>
          <w:p>
            <w:pPr>
              <w:jc w:val="right"/>
              <w:spacing w:after="0"/>
              <w:rPr>
                <w:sz w:val="20"/>
                <w:szCs w:val="20"/>
                <w:color w:val="auto"/>
              </w:rPr>
            </w:pPr>
            <w:r>
              <w:rPr>
                <w:rFonts w:ascii="Arial" w:cs="Arial" w:eastAsia="Arial" w:hAnsi="Arial"/>
                <w:sz w:val="18"/>
                <w:szCs w:val="18"/>
                <w:color w:val="auto"/>
              </w:rPr>
              <w:t>218,000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1.29%</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49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Albertsons, Inc.</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2,147,000</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4920" w:type="dxa"/>
            <w:vAlign w:val="bottom"/>
            <w:gridSpan w:val="4"/>
          </w:tcPr>
          <w:p>
            <w:pPr>
              <w:ind w:left="140"/>
              <w:spacing w:after="0"/>
              <w:rPr>
                <w:sz w:val="20"/>
                <w:szCs w:val="20"/>
                <w:color w:val="auto"/>
              </w:rPr>
            </w:pPr>
            <w:r>
              <w:rPr>
                <w:rFonts w:ascii="Arial" w:cs="Arial" w:eastAsia="Arial" w:hAnsi="Arial"/>
                <w:sz w:val="18"/>
                <w:szCs w:val="18"/>
                <w:color w:val="auto"/>
              </w:rPr>
              <w:t>Dress Barn, Inc.</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2,125,000</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0.73%</w:t>
            </w:r>
          </w:p>
        </w:tc>
        <w:tc>
          <w:tcPr>
            <w:tcW w:w="800" w:type="dxa"/>
            <w:vAlign w:val="bottom"/>
          </w:tcPr>
          <w:p>
            <w:pPr>
              <w:jc w:val="right"/>
              <w:spacing w:after="0"/>
              <w:rPr>
                <w:sz w:val="20"/>
                <w:szCs w:val="20"/>
                <w:color w:val="auto"/>
              </w:rPr>
            </w:pPr>
            <w:r>
              <w:rPr>
                <w:rFonts w:ascii="Arial" w:cs="Arial" w:eastAsia="Arial" w:hAnsi="Arial"/>
                <w:sz w:val="18"/>
                <w:szCs w:val="18"/>
                <w:color w:val="auto"/>
              </w:rPr>
              <w:t>109,000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0.65%</w:t>
            </w: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49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Bally’s Health &amp; Tennis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2,095,000</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4920" w:type="dxa"/>
            <w:vAlign w:val="bottom"/>
            <w:gridSpan w:val="4"/>
          </w:tcPr>
          <w:p>
            <w:pPr>
              <w:ind w:left="140"/>
              <w:spacing w:after="0"/>
              <w:rPr>
                <w:sz w:val="20"/>
                <w:szCs w:val="20"/>
                <w:color w:val="auto"/>
              </w:rPr>
            </w:pPr>
            <w:r>
              <w:rPr>
                <w:rFonts w:ascii="Arial" w:cs="Arial" w:eastAsia="Arial" w:hAnsi="Arial"/>
                <w:sz w:val="18"/>
                <w:szCs w:val="18"/>
                <w:color w:val="auto"/>
              </w:rPr>
              <w:t>Toys R Us, Inc.</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2,079,000</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0.72%</w:t>
            </w:r>
          </w:p>
        </w:tc>
        <w:tc>
          <w:tcPr>
            <w:tcW w:w="800" w:type="dxa"/>
            <w:vAlign w:val="bottom"/>
          </w:tcPr>
          <w:p>
            <w:pPr>
              <w:jc w:val="right"/>
              <w:spacing w:after="0"/>
              <w:rPr>
                <w:sz w:val="20"/>
                <w:szCs w:val="20"/>
                <w:color w:val="auto"/>
              </w:rPr>
            </w:pPr>
            <w:r>
              <w:rPr>
                <w:rFonts w:ascii="Arial" w:cs="Arial" w:eastAsia="Arial" w:hAnsi="Arial"/>
                <w:sz w:val="18"/>
                <w:szCs w:val="18"/>
                <w:color w:val="auto"/>
              </w:rPr>
              <w:t>259,000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1.53%</w:t>
            </w: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49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Dollar Tree Stores, Inc.</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2,059,000</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4920" w:type="dxa"/>
            <w:vAlign w:val="bottom"/>
            <w:gridSpan w:val="4"/>
          </w:tcPr>
          <w:p>
            <w:pPr>
              <w:ind w:left="140"/>
              <w:spacing w:after="0"/>
              <w:rPr>
                <w:sz w:val="20"/>
                <w:szCs w:val="20"/>
                <w:color w:val="auto"/>
              </w:rPr>
            </w:pPr>
            <w:r>
              <w:rPr>
                <w:rFonts w:ascii="Arial" w:cs="Arial" w:eastAsia="Arial" w:hAnsi="Arial"/>
                <w:sz w:val="18"/>
                <w:szCs w:val="18"/>
                <w:color w:val="auto"/>
              </w:rPr>
              <w:t>Office Depot, Inc.</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2,050,000</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0.71%</w:t>
            </w:r>
          </w:p>
        </w:tc>
        <w:tc>
          <w:tcPr>
            <w:tcW w:w="800" w:type="dxa"/>
            <w:vAlign w:val="bottom"/>
          </w:tcPr>
          <w:p>
            <w:pPr>
              <w:jc w:val="right"/>
              <w:spacing w:after="0"/>
              <w:rPr>
                <w:sz w:val="20"/>
                <w:szCs w:val="20"/>
                <w:color w:val="auto"/>
              </w:rPr>
            </w:pPr>
            <w:r>
              <w:rPr>
                <w:rFonts w:ascii="Arial" w:cs="Arial" w:eastAsia="Arial" w:hAnsi="Arial"/>
                <w:sz w:val="18"/>
                <w:szCs w:val="18"/>
                <w:color w:val="auto"/>
              </w:rPr>
              <w:t>142,000</w:t>
            </w:r>
          </w:p>
        </w:tc>
        <w:tc>
          <w:tcPr>
            <w:tcW w:w="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0.84%</w:t>
            </w: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49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Staples, Inc.</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2,004,000</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9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Totals - Top 25 Tenants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3"/>
              </w:rPr>
              <w:t>79,517,000</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27.50%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4,927,000</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29.17%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9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289,199,000(1)</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16,890,000(2)</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3450590</wp:posOffset>
            </wp:positionH>
            <wp:positionV relativeFrom="paragraph">
              <wp:posOffset>-309880</wp:posOffset>
            </wp:positionV>
            <wp:extent cx="647065"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47065"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-309880</wp:posOffset>
            </wp:positionV>
            <wp:extent cx="1270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-309880</wp:posOffset>
            </wp:positionV>
            <wp:extent cx="3873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-309880</wp:posOffset>
            </wp:positionV>
            <wp:extent cx="1270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-309880</wp:posOffset>
            </wp:positionV>
            <wp:extent cx="3873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-309880</wp:posOffset>
            </wp:positionV>
            <wp:extent cx="1270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-309880</wp:posOffset>
            </wp:positionV>
            <wp:extent cx="38735"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-309880</wp:posOffset>
            </wp:positionV>
            <wp:extent cx="1270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-309880</wp:posOffset>
            </wp:positionV>
            <wp:extent cx="1270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w:t>
      </w:r>
    </w:p>
    <w:p>
      <w:pPr>
        <w:spacing w:after="0" w:line="77"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Reflects annual in-place contractual rent as of December 31, 2004.</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Excludes redevelopment square footage not yet placed in service.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2005 EPS to 2005 FFO Guidance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2004</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millions except per share amounts)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Forecast</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3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Gain on sale of real estate</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w w:val="92"/>
              </w:rPr>
              <w:t>Depreciation and amortization of real estate &amp; joint venture assets</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Amortization of initial direct costs of leases</w:t>
            </w:r>
          </w:p>
        </w:tc>
        <w:tc>
          <w:tcPr>
            <w:tcW w:w="3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3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3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Funds from operations</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Income attributable to operating partnership units</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Dividends on preferred stock</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3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Funds from operations available for common shareholders</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to</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90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(diluted)</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53.1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w w:val="89"/>
              </w:rPr>
              <w:t>Funds from operations available for common shareholders per share</w:t>
            </w:r>
          </w:p>
        </w:tc>
        <w:tc>
          <w:tcPr>
            <w:tcW w:w="3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3.01</w:t>
            </w:r>
          </w:p>
        </w:tc>
        <w:tc>
          <w:tcPr>
            <w:tcW w:w="10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3.04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3600" w:type="dxa"/>
            <w:vAlign w:val="bottom"/>
          </w:tcPr>
          <w:p>
            <w:pPr>
              <w:jc w:val="right"/>
              <w:ind w:right="321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5774690</wp:posOffset>
            </wp:positionH>
            <wp:positionV relativeFrom="paragraph">
              <wp:posOffset>-600710</wp:posOffset>
            </wp:positionV>
            <wp:extent cx="31305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13055"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-600710</wp:posOffset>
            </wp:positionV>
            <wp:extent cx="31305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13055" cy="29845"/>
                    </a:xfrm>
                    <a:prstGeom prst="rect">
                      <a:avLst/>
                    </a:prstGeom>
                    <a:noFill/>
                  </pic:spPr>
                </pic:pic>
              </a:graphicData>
            </a:graphic>
          </wp:anchor>
        </w:drawing>
      </w:r>
    </w:p>
    <w:p>
      <w:pPr>
        <w:sectPr>
          <w:pgSz w:w="11900" w:h="16838" w:orient="portrait"/>
          <w:cols w:equalWidth="0" w:num="1">
            <w:col w:w="10860"/>
          </w:cols>
          <w:pgMar w:left="240" w:top="274" w:right="79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 Activity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2004</w:t>
      </w:r>
    </w:p>
    <w:p>
      <w:pPr>
        <w:spacing w:after="0" w:line="145"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Clarion Lion Properties Fund</w:t>
      </w:r>
    </w:p>
    <w:p>
      <w:pPr>
        <w:spacing w:after="0" w:line="187"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219"/>
          </w:cols>
          <w:pgMar w:left="240" w:top="274" w:right="1440"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Operating Results and Balance Sheet -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2004</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Highlights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 OPERATING RESULTS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2"/>
              </w:rPr>
              <w:t>Inception (July 1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50" w:type="dxa"/>
            <w:vAlign w:val="bottom"/>
          </w:tcPr>
          <w:p>
            <w:pPr>
              <w:spacing w:after="0"/>
              <w:rPr>
                <w:sz w:val="12"/>
                <w:szCs w:val="12"/>
                <w:color w:val="auto"/>
              </w:rPr>
            </w:pPr>
          </w:p>
        </w:tc>
        <w:tc>
          <w:tcPr>
            <w:tcW w:w="105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990" w:type="dxa"/>
            <w:vAlign w:val="bottom"/>
          </w:tcPr>
          <w:p>
            <w:pPr>
              <w:jc w:val="right"/>
              <w:ind w:right="335"/>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99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50" w:type="dxa"/>
            <w:vAlign w:val="bottom"/>
          </w:tcPr>
          <w:p>
            <w:pPr>
              <w:spacing w:after="0"/>
              <w:rPr>
                <w:sz w:val="8"/>
                <w:szCs w:val="8"/>
                <w:color w:val="auto"/>
              </w:rPr>
            </w:pPr>
          </w:p>
        </w:tc>
        <w:tc>
          <w:tcPr>
            <w:tcW w:w="99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540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99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Rental income</w:t>
            </w:r>
          </w:p>
        </w:tc>
        <w:tc>
          <w:tcPr>
            <w:tcW w:w="5550" w:type="dxa"/>
            <w:vAlign w:val="bottom"/>
            <w:gridSpan w:val="2"/>
          </w:tcPr>
          <w:p>
            <w:pPr>
              <w:ind w:left="5400"/>
              <w:spacing w:after="0"/>
              <w:rPr>
                <w:sz w:val="20"/>
                <w:szCs w:val="20"/>
                <w:color w:val="auto"/>
              </w:rPr>
            </w:pPr>
            <w:r>
              <w:rPr>
                <w:rFonts w:ascii="Arial" w:cs="Arial" w:eastAsia="Arial" w:hAnsi="Arial"/>
                <w:sz w:val="18"/>
                <w:szCs w:val="18"/>
                <w:color w:val="auto"/>
              </w:rPr>
              <w:t>$</w:t>
            </w:r>
          </w:p>
        </w:tc>
        <w:tc>
          <w:tcPr>
            <w:tcW w:w="990" w:type="dxa"/>
            <w:vAlign w:val="bottom"/>
          </w:tcPr>
          <w:p>
            <w:pPr>
              <w:jc w:val="right"/>
              <w:spacing w:after="0"/>
              <w:rPr>
                <w:sz w:val="20"/>
                <w:szCs w:val="20"/>
                <w:color w:val="auto"/>
              </w:rPr>
            </w:pPr>
            <w:r>
              <w:rPr>
                <w:rFonts w:ascii="Arial" w:cs="Arial" w:eastAsia="Arial" w:hAnsi="Arial"/>
                <w:sz w:val="18"/>
                <w:szCs w:val="18"/>
                <w:color w:val="auto"/>
              </w:rPr>
              <w:t>2,476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540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99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50" w:type="dxa"/>
            <w:vAlign w:val="bottom"/>
          </w:tcPr>
          <w:p>
            <w:pPr>
              <w:spacing w:after="0"/>
              <w:rPr>
                <w:sz w:val="8"/>
                <w:szCs w:val="8"/>
                <w:color w:val="auto"/>
              </w:rPr>
            </w:pPr>
          </w:p>
        </w:tc>
        <w:tc>
          <w:tcPr>
            <w:tcW w:w="99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540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99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Rental</w:t>
            </w:r>
          </w:p>
        </w:tc>
        <w:tc>
          <w:tcPr>
            <w:tcW w:w="540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Real estate taxes</w:t>
            </w:r>
          </w:p>
        </w:tc>
        <w:tc>
          <w:tcPr>
            <w:tcW w:w="540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990" w:type="dxa"/>
            <w:vAlign w:val="bottom"/>
          </w:tcPr>
          <w:p>
            <w:pPr>
              <w:jc w:val="right"/>
              <w:spacing w:after="0"/>
              <w:rPr>
                <w:sz w:val="20"/>
                <w:szCs w:val="20"/>
                <w:color w:val="auto"/>
              </w:rPr>
            </w:pPr>
            <w:r>
              <w:rPr>
                <w:rFonts w:ascii="Arial" w:cs="Arial" w:eastAsia="Arial" w:hAnsi="Arial"/>
                <w:sz w:val="18"/>
                <w:szCs w:val="18"/>
                <w:color w:val="auto"/>
              </w:rPr>
              <w:t>179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540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99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50" w:type="dxa"/>
            <w:vAlign w:val="bottom"/>
          </w:tcPr>
          <w:p>
            <w:pPr>
              <w:spacing w:after="0"/>
              <w:rPr>
                <w:sz w:val="8"/>
                <w:szCs w:val="8"/>
                <w:color w:val="auto"/>
              </w:rPr>
            </w:pPr>
          </w:p>
        </w:tc>
        <w:tc>
          <w:tcPr>
            <w:tcW w:w="99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99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50" w:type="dxa"/>
            <w:vAlign w:val="bottom"/>
          </w:tcPr>
          <w:p>
            <w:pPr>
              <w:spacing w:after="0"/>
              <w:rPr>
                <w:sz w:val="8"/>
                <w:szCs w:val="8"/>
                <w:color w:val="auto"/>
              </w:rPr>
            </w:pPr>
          </w:p>
        </w:tc>
        <w:tc>
          <w:tcPr>
            <w:tcW w:w="99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Operating income</w:t>
            </w:r>
          </w:p>
        </w:tc>
        <w:tc>
          <w:tcPr>
            <w:tcW w:w="540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82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540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1050" w:type="dxa"/>
            <w:vAlign w:val="bottom"/>
            <w:gridSpan w:val="2"/>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99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50" w:type="dxa"/>
            <w:vAlign w:val="bottom"/>
          </w:tcPr>
          <w:p>
            <w:pPr>
              <w:spacing w:after="0"/>
              <w:rPr>
                <w:sz w:val="8"/>
                <w:szCs w:val="8"/>
                <w:color w:val="auto"/>
              </w:rPr>
            </w:pPr>
          </w:p>
        </w:tc>
        <w:tc>
          <w:tcPr>
            <w:tcW w:w="99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540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820" w:type="dxa"/>
            <w:vAlign w:val="bottom"/>
            <w:gridSpan w:val="3"/>
            <w:vMerge w:val="restart"/>
          </w:tcPr>
          <w:p>
            <w:pPr>
              <w:spacing w:after="0"/>
              <w:rPr>
                <w:sz w:val="20"/>
                <w:szCs w:val="20"/>
                <w:color w:val="auto"/>
              </w:rPr>
            </w:pPr>
            <w:r>
              <w:rPr>
                <w:rFonts w:ascii="Arial" w:cs="Arial" w:eastAsia="Arial" w:hAnsi="Arial"/>
                <w:sz w:val="18"/>
                <w:szCs w:val="18"/>
                <w:color w:val="auto"/>
              </w:rPr>
              <w:t>CONSOLIDATED BALANCE SHEET</w:t>
            </w:r>
          </w:p>
        </w:tc>
        <w:tc>
          <w:tcPr>
            <w:tcW w:w="540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99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96"/>
        </w:trPr>
        <w:tc>
          <w:tcPr>
            <w:tcW w:w="4820" w:type="dxa"/>
            <w:vAlign w:val="bottom"/>
            <w:gridSpan w:val="3"/>
            <w:vMerge w:val="continue"/>
          </w:tcPr>
          <w:p>
            <w:pPr>
              <w:spacing w:after="0"/>
              <w:rPr>
                <w:sz w:val="24"/>
                <w:szCs w:val="24"/>
                <w:color w:val="auto"/>
              </w:rPr>
            </w:pPr>
          </w:p>
        </w:tc>
        <w:tc>
          <w:tcPr>
            <w:tcW w:w="540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99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2780" w:type="dxa"/>
            <w:vAlign w:val="bottom"/>
            <w:tcBorders>
              <w:top w:val="single" w:sz="8" w:color="auto"/>
            </w:tcBorders>
          </w:tcPr>
          <w:p>
            <w:pPr>
              <w:spacing w:after="0"/>
              <w:rPr>
                <w:sz w:val="24"/>
                <w:szCs w:val="24"/>
                <w:color w:val="auto"/>
              </w:rPr>
            </w:pPr>
          </w:p>
        </w:tc>
        <w:tc>
          <w:tcPr>
            <w:tcW w:w="20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105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990" w:type="dxa"/>
            <w:vAlign w:val="bottom"/>
          </w:tcPr>
          <w:p>
            <w:pPr>
              <w:jc w:val="right"/>
              <w:ind w:right="355"/>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99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50" w:type="dxa"/>
            <w:vAlign w:val="bottom"/>
          </w:tcPr>
          <w:p>
            <w:pPr>
              <w:spacing w:after="0"/>
              <w:rPr>
                <w:sz w:val="8"/>
                <w:szCs w:val="8"/>
                <w:color w:val="auto"/>
              </w:rPr>
            </w:pPr>
          </w:p>
        </w:tc>
        <w:tc>
          <w:tcPr>
            <w:tcW w:w="99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540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99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820" w:type="dxa"/>
            <w:vAlign w:val="bottom"/>
            <w:gridSpan w:val="3"/>
          </w:tcPr>
          <w:p>
            <w:pPr>
              <w:spacing w:after="0"/>
              <w:rPr>
                <w:sz w:val="20"/>
                <w:szCs w:val="20"/>
                <w:color w:val="auto"/>
              </w:rPr>
            </w:pPr>
            <w:r>
              <w:rPr>
                <w:rFonts w:ascii="Arial" w:cs="Arial" w:eastAsia="Arial" w:hAnsi="Arial"/>
                <w:sz w:val="18"/>
                <w:szCs w:val="18"/>
                <w:color w:val="auto"/>
              </w:rPr>
              <w:t>Real estate, at cost</w:t>
            </w:r>
          </w:p>
        </w:tc>
        <w:tc>
          <w:tcPr>
            <w:tcW w:w="5550" w:type="dxa"/>
            <w:vAlign w:val="bottom"/>
            <w:gridSpan w:val="2"/>
          </w:tcPr>
          <w:p>
            <w:pPr>
              <w:ind w:left="5400"/>
              <w:spacing w:after="0"/>
              <w:rPr>
                <w:sz w:val="20"/>
                <w:szCs w:val="20"/>
                <w:color w:val="auto"/>
              </w:rPr>
            </w:pPr>
            <w:r>
              <w:rPr>
                <w:rFonts w:ascii="Arial" w:cs="Arial" w:eastAsia="Arial" w:hAnsi="Arial"/>
                <w:sz w:val="18"/>
                <w:szCs w:val="18"/>
                <w:color w:val="auto"/>
              </w:rPr>
              <w:t>$</w:t>
            </w:r>
          </w:p>
        </w:tc>
        <w:tc>
          <w:tcPr>
            <w:tcW w:w="990" w:type="dxa"/>
            <w:vAlign w:val="bottom"/>
          </w:tcPr>
          <w:p>
            <w:pPr>
              <w:jc w:val="right"/>
              <w:spacing w:after="0"/>
              <w:rPr>
                <w:sz w:val="20"/>
                <w:szCs w:val="20"/>
                <w:color w:val="auto"/>
              </w:rPr>
            </w:pPr>
            <w:r>
              <w:rPr>
                <w:rFonts w:ascii="Arial" w:cs="Arial" w:eastAsia="Arial" w:hAnsi="Arial"/>
                <w:sz w:val="18"/>
                <w:szCs w:val="18"/>
                <w:color w:val="auto"/>
              </w:rPr>
              <w:t>80,970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Less accumulated depreciation and amortization</w:t>
            </w:r>
          </w:p>
        </w:tc>
        <w:tc>
          <w:tcPr>
            <w:tcW w:w="540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105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99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50" w:type="dxa"/>
            <w:vAlign w:val="bottom"/>
          </w:tcPr>
          <w:p>
            <w:pPr>
              <w:spacing w:after="0"/>
              <w:rPr>
                <w:sz w:val="8"/>
                <w:szCs w:val="8"/>
                <w:color w:val="auto"/>
              </w:rPr>
            </w:pPr>
          </w:p>
        </w:tc>
        <w:tc>
          <w:tcPr>
            <w:tcW w:w="99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 estate investments</w:t>
            </w:r>
          </w:p>
        </w:tc>
        <w:tc>
          <w:tcPr>
            <w:tcW w:w="540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82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540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990" w:type="dxa"/>
            <w:vAlign w:val="bottom"/>
          </w:tcPr>
          <w:p>
            <w:pPr>
              <w:jc w:val="right"/>
              <w:spacing w:after="0"/>
              <w:rPr>
                <w:sz w:val="20"/>
                <w:szCs w:val="20"/>
                <w:color w:val="auto"/>
              </w:rPr>
            </w:pPr>
            <w:r>
              <w:rPr>
                <w:rFonts w:ascii="Arial" w:cs="Arial" w:eastAsia="Arial" w:hAnsi="Arial"/>
                <w:sz w:val="18"/>
                <w:szCs w:val="18"/>
                <w:color w:val="auto"/>
              </w:rPr>
              <w:t>2,108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540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540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990" w:type="dxa"/>
            <w:vAlign w:val="bottom"/>
          </w:tcPr>
          <w:p>
            <w:pPr>
              <w:jc w:val="right"/>
              <w:spacing w:after="0"/>
              <w:rPr>
                <w:sz w:val="20"/>
                <w:szCs w:val="20"/>
                <w:color w:val="auto"/>
              </w:rPr>
            </w:pPr>
            <w:r>
              <w:rPr>
                <w:rFonts w:ascii="Arial" w:cs="Arial" w:eastAsia="Arial" w:hAnsi="Arial"/>
                <w:sz w:val="18"/>
                <w:szCs w:val="18"/>
                <w:color w:val="auto"/>
              </w:rPr>
              <w:t>2,836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99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50" w:type="dxa"/>
            <w:vAlign w:val="bottom"/>
          </w:tcPr>
          <w:p>
            <w:pPr>
              <w:spacing w:after="0"/>
              <w:rPr>
                <w:sz w:val="8"/>
                <w:szCs w:val="8"/>
                <w:color w:val="auto"/>
              </w:rPr>
            </w:pPr>
          </w:p>
        </w:tc>
        <w:tc>
          <w:tcPr>
            <w:tcW w:w="99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5550" w:type="dxa"/>
            <w:vAlign w:val="bottom"/>
            <w:gridSpan w:val="2"/>
            <w:shd w:val="clear" w:color="auto" w:fill="CCEEFF"/>
          </w:tcPr>
          <w:p>
            <w:pPr>
              <w:ind w:left="5400"/>
              <w:spacing w:after="0"/>
              <w:rPr>
                <w:sz w:val="20"/>
                <w:szCs w:val="20"/>
                <w:color w:val="auto"/>
              </w:rPr>
            </w:pPr>
            <w:r>
              <w:rPr>
                <w:rFonts w:ascii="Arial" w:cs="Arial" w:eastAsia="Arial" w:hAnsi="Arial"/>
                <w:sz w:val="18"/>
                <w:szCs w:val="18"/>
                <w:color w:val="auto"/>
              </w:rPr>
              <w:t>$</w:t>
            </w: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99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50" w:type="dxa"/>
            <w:vAlign w:val="bottom"/>
          </w:tcPr>
          <w:p>
            <w:pPr>
              <w:spacing w:after="0"/>
              <w:rPr>
                <w:sz w:val="9"/>
                <w:szCs w:val="9"/>
                <w:color w:val="auto"/>
              </w:rPr>
            </w:pPr>
          </w:p>
        </w:tc>
        <w:tc>
          <w:tcPr>
            <w:tcW w:w="99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540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99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820" w:type="dxa"/>
            <w:vAlign w:val="bottom"/>
            <w:gridSpan w:val="3"/>
          </w:tcPr>
          <w:p>
            <w:pPr>
              <w:spacing w:after="0"/>
              <w:rPr>
                <w:sz w:val="20"/>
                <w:szCs w:val="20"/>
                <w:color w:val="auto"/>
              </w:rPr>
            </w:pPr>
            <w:r>
              <w:rPr>
                <w:rFonts w:ascii="Arial" w:cs="Arial" w:eastAsia="Arial" w:hAnsi="Arial"/>
                <w:sz w:val="18"/>
                <w:szCs w:val="18"/>
                <w:color w:val="auto"/>
              </w:rPr>
              <w:t>Liabilities</w:t>
            </w:r>
          </w:p>
        </w:tc>
        <w:tc>
          <w:tcPr>
            <w:tcW w:w="540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99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Mortgages</w:t>
            </w:r>
          </w:p>
        </w:tc>
        <w:tc>
          <w:tcPr>
            <w:tcW w:w="5550" w:type="dxa"/>
            <w:vAlign w:val="bottom"/>
            <w:gridSpan w:val="2"/>
            <w:shd w:val="clear" w:color="auto" w:fill="CCEEFF"/>
          </w:tcPr>
          <w:p>
            <w:pPr>
              <w:ind w:left="5400"/>
              <w:spacing w:after="0"/>
              <w:rPr>
                <w:sz w:val="20"/>
                <w:szCs w:val="20"/>
                <w:color w:val="auto"/>
              </w:rPr>
            </w:pPr>
            <w:r>
              <w:rPr>
                <w:rFonts w:ascii="Arial" w:cs="Arial" w:eastAsia="Arial" w:hAnsi="Arial"/>
                <w:sz w:val="18"/>
                <w:szCs w:val="18"/>
                <w:color w:val="auto"/>
              </w:rPr>
              <w:t>$</w:t>
            </w: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Other liabilities</w:t>
            </w:r>
          </w:p>
        </w:tc>
        <w:tc>
          <w:tcPr>
            <w:tcW w:w="540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990" w:type="dxa"/>
            <w:vAlign w:val="bottom"/>
          </w:tcPr>
          <w:p>
            <w:pPr>
              <w:jc w:val="right"/>
              <w:spacing w:after="0"/>
              <w:rPr>
                <w:sz w:val="20"/>
                <w:szCs w:val="20"/>
                <w:color w:val="auto"/>
              </w:rPr>
            </w:pPr>
            <w:r>
              <w:rPr>
                <w:rFonts w:ascii="Arial" w:cs="Arial" w:eastAsia="Arial" w:hAnsi="Arial"/>
                <w:sz w:val="18"/>
                <w:szCs w:val="18"/>
                <w:color w:val="auto"/>
              </w:rPr>
              <w:t>6,544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99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50" w:type="dxa"/>
            <w:vAlign w:val="bottom"/>
          </w:tcPr>
          <w:p>
            <w:pPr>
              <w:spacing w:after="0"/>
              <w:rPr>
                <w:sz w:val="8"/>
                <w:szCs w:val="8"/>
                <w:color w:val="auto"/>
              </w:rPr>
            </w:pPr>
          </w:p>
        </w:tc>
        <w:tc>
          <w:tcPr>
            <w:tcW w:w="99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540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820" w:type="dxa"/>
            <w:vAlign w:val="bottom"/>
            <w:gridSpan w:val="3"/>
          </w:tcPr>
          <w:p>
            <w:pPr>
              <w:spacing w:after="0"/>
              <w:rPr>
                <w:sz w:val="20"/>
                <w:szCs w:val="20"/>
                <w:color w:val="auto"/>
              </w:rPr>
            </w:pPr>
            <w:r>
              <w:rPr>
                <w:rFonts w:ascii="Arial" w:cs="Arial" w:eastAsia="Arial" w:hAnsi="Arial"/>
                <w:sz w:val="18"/>
                <w:szCs w:val="18"/>
                <w:color w:val="auto"/>
              </w:rPr>
              <w:t>Partners’ Capital</w:t>
            </w:r>
          </w:p>
        </w:tc>
        <w:tc>
          <w:tcPr>
            <w:tcW w:w="540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990" w:type="dxa"/>
            <w:vAlign w:val="bottom"/>
          </w:tcPr>
          <w:p>
            <w:pPr>
              <w:jc w:val="right"/>
              <w:spacing w:after="0"/>
              <w:rPr>
                <w:sz w:val="20"/>
                <w:szCs w:val="20"/>
                <w:color w:val="auto"/>
              </w:rPr>
            </w:pPr>
            <w:r>
              <w:rPr>
                <w:rFonts w:ascii="Arial" w:cs="Arial" w:eastAsia="Arial" w:hAnsi="Arial"/>
                <w:sz w:val="18"/>
                <w:szCs w:val="18"/>
                <w:color w:val="auto"/>
              </w:rPr>
              <w:t>32,103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99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50" w:type="dxa"/>
            <w:vAlign w:val="bottom"/>
          </w:tcPr>
          <w:p>
            <w:pPr>
              <w:spacing w:after="0"/>
              <w:rPr>
                <w:sz w:val="8"/>
                <w:szCs w:val="8"/>
                <w:color w:val="auto"/>
              </w:rPr>
            </w:pPr>
          </w:p>
        </w:tc>
        <w:tc>
          <w:tcPr>
            <w:tcW w:w="99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PARTNERS’ CAPITAL</w:t>
            </w:r>
          </w:p>
        </w:tc>
        <w:tc>
          <w:tcPr>
            <w:tcW w:w="5550" w:type="dxa"/>
            <w:vAlign w:val="bottom"/>
            <w:gridSpan w:val="2"/>
            <w:shd w:val="clear" w:color="auto" w:fill="CCEEFF"/>
          </w:tcPr>
          <w:p>
            <w:pPr>
              <w:ind w:left="5400"/>
              <w:spacing w:after="0"/>
              <w:rPr>
                <w:sz w:val="20"/>
                <w:szCs w:val="20"/>
                <w:color w:val="auto"/>
              </w:rPr>
            </w:pPr>
            <w:r>
              <w:rPr>
                <w:rFonts w:ascii="Arial" w:cs="Arial" w:eastAsia="Arial" w:hAnsi="Arial"/>
                <w:sz w:val="18"/>
                <w:szCs w:val="18"/>
                <w:color w:val="auto"/>
              </w:rPr>
              <w:t>$</w:t>
            </w: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5400" w:type="dxa"/>
            <w:vAlign w:val="bottom"/>
            <w:vMerge w:val="restart"/>
          </w:tcPr>
          <w:p>
            <w:pPr>
              <w:ind w:left="800"/>
              <w:spacing w:after="0"/>
              <w:rPr>
                <w:sz w:val="20"/>
                <w:szCs w:val="20"/>
                <w:color w:val="auto"/>
              </w:rPr>
            </w:pPr>
            <w:r>
              <w:rPr>
                <w:rFonts w:ascii="Arial" w:cs="Arial" w:eastAsia="Arial" w:hAnsi="Arial"/>
                <w:sz w:val="18"/>
                <w:szCs w:val="18"/>
                <w:color w:val="auto"/>
              </w:rPr>
              <w:t>27</w:t>
            </w:r>
          </w:p>
        </w:tc>
        <w:tc>
          <w:tcPr>
            <w:tcW w:w="150" w:type="dxa"/>
            <w:vAlign w:val="bottom"/>
            <w:tcBorders>
              <w:bottom w:val="single" w:sz="8" w:color="auto"/>
            </w:tcBorders>
          </w:tcPr>
          <w:p>
            <w:pPr>
              <w:spacing w:after="0"/>
              <w:rPr>
                <w:sz w:val="11"/>
                <w:szCs w:val="11"/>
                <w:color w:val="auto"/>
              </w:rPr>
            </w:pPr>
          </w:p>
        </w:tc>
        <w:tc>
          <w:tcPr>
            <w:tcW w:w="99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400" w:type="dxa"/>
            <w:vAlign w:val="bottom"/>
            <w:vMerge w:val="continue"/>
          </w:tcPr>
          <w:p>
            <w:pPr>
              <w:spacing w:after="0"/>
              <w:rPr>
                <w:sz w:val="24"/>
                <w:szCs w:val="24"/>
                <w:color w:val="auto"/>
              </w:rPr>
            </w:pPr>
          </w:p>
        </w:tc>
        <w:tc>
          <w:tcPr>
            <w:tcW w:w="150" w:type="dxa"/>
            <w:vAlign w:val="bottom"/>
          </w:tcPr>
          <w:p>
            <w:pPr>
              <w:spacing w:after="0"/>
              <w:rPr>
                <w:sz w:val="24"/>
                <w:szCs w:val="24"/>
                <w:color w:val="auto"/>
              </w:rPr>
            </w:pPr>
          </w:p>
        </w:tc>
        <w:tc>
          <w:tcPr>
            <w:tcW w:w="99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6486525</wp:posOffset>
            </wp:positionH>
            <wp:positionV relativeFrom="paragraph">
              <wp:posOffset>-4313555</wp:posOffset>
            </wp:positionV>
            <wp:extent cx="1270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-4313555</wp:posOffset>
            </wp:positionV>
            <wp:extent cx="2159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-4313555</wp:posOffset>
            </wp:positionV>
            <wp:extent cx="3873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-1878330</wp:posOffset>
            </wp:positionV>
            <wp:extent cx="1270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-1878330</wp:posOffset>
            </wp:positionV>
            <wp:extent cx="2159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-1878330</wp:posOffset>
            </wp:positionV>
            <wp:extent cx="3873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-325755</wp:posOffset>
            </wp:positionV>
            <wp:extent cx="1270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-325755</wp:posOffset>
            </wp:positionV>
            <wp:extent cx="2159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Outstanding Debt and Debt Maturities -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DEBT</w:t>
      </w:r>
    </w:p>
    <w:p>
      <w:pPr>
        <w:spacing w:after="0" w:line="14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40" w:type="dxa"/>
            <w:vAlign w:val="bottom"/>
            <w:gridSpan w:val="2"/>
          </w:tcPr>
          <w:p>
            <w:pPr>
              <w:ind w:left="20"/>
              <w:spacing w:after="0"/>
              <w:rPr>
                <w:sz w:val="20"/>
                <w:szCs w:val="20"/>
                <w:color w:val="auto"/>
              </w:rPr>
            </w:pPr>
            <w:r>
              <w:rPr>
                <w:rFonts w:ascii="Arial" w:cs="Arial" w:eastAsia="Arial" w:hAnsi="Arial"/>
                <w:sz w:val="14"/>
                <w:szCs w:val="14"/>
                <w:b w:val="1"/>
                <w:bCs w:val="1"/>
                <w:color w:val="auto"/>
              </w:rPr>
              <w:t>Interest Rate as of</w:t>
            </w:r>
          </w:p>
        </w:tc>
        <w:tc>
          <w:tcPr>
            <w:tcW w:w="28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10" w:type="dxa"/>
            <w:vAlign w:val="bottom"/>
          </w:tcPr>
          <w:p>
            <w:pPr>
              <w:spacing w:after="0"/>
              <w:rPr>
                <w:sz w:val="14"/>
                <w:szCs w:val="14"/>
                <w:color w:val="auto"/>
              </w:rPr>
            </w:pPr>
          </w:p>
        </w:tc>
      </w:tr>
      <w:tr>
        <w:trPr>
          <w:trHeight w:val="174"/>
        </w:trPr>
        <w:tc>
          <w:tcPr>
            <w:tcW w:w="124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5"/>
              </w:rPr>
              <w:t>Maturity</w:t>
            </w:r>
          </w:p>
        </w:tc>
        <w:tc>
          <w:tcPr>
            <w:tcW w:w="2320" w:type="dxa"/>
            <w:vAlign w:val="bottom"/>
            <w:gridSpan w:val="3"/>
          </w:tcPr>
          <w:p>
            <w:pPr>
              <w:ind w:left="580"/>
              <w:spacing w:after="0"/>
              <w:rPr>
                <w:sz w:val="20"/>
                <w:szCs w:val="20"/>
                <w:color w:val="auto"/>
              </w:rPr>
            </w:pPr>
            <w:r>
              <w:rPr>
                <w:rFonts w:ascii="Arial" w:cs="Arial" w:eastAsia="Arial" w:hAnsi="Arial"/>
                <w:sz w:val="14"/>
                <w:szCs w:val="14"/>
                <w:b w:val="1"/>
                <w:bCs w:val="1"/>
                <w:color w:val="auto"/>
              </w:rPr>
              <w:t>December 31, 2004</w:t>
            </w:r>
          </w:p>
        </w:tc>
        <w:tc>
          <w:tcPr>
            <w:tcW w:w="28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710" w:type="dxa"/>
            <w:vAlign w:val="bottom"/>
          </w:tcPr>
          <w:p>
            <w:pPr>
              <w:jc w:val="right"/>
              <w:ind w:right="116"/>
              <w:spacing w:after="0"/>
              <w:rPr>
                <w:sz w:val="20"/>
                <w:szCs w:val="20"/>
                <w:color w:val="auto"/>
              </w:rPr>
            </w:pPr>
            <w:r>
              <w:rPr>
                <w:rFonts w:ascii="Arial" w:cs="Arial" w:eastAsia="Arial" w:hAnsi="Arial"/>
                <w:sz w:val="14"/>
                <w:szCs w:val="14"/>
                <w:b w:val="1"/>
                <w:bCs w:val="1"/>
                <w:color w:val="auto"/>
                <w:w w:val="89"/>
              </w:rPr>
              <w:t>Balance</w:t>
            </w:r>
          </w:p>
        </w:tc>
      </w:tr>
      <w:tr>
        <w:trPr>
          <w:trHeight w:val="95"/>
        </w:trPr>
        <w:tc>
          <w:tcPr>
            <w:tcW w:w="1240" w:type="dxa"/>
            <w:vAlign w:val="bottom"/>
          </w:tcPr>
          <w:p>
            <w:pPr>
              <w:spacing w:after="0"/>
              <w:rPr>
                <w:sz w:val="8"/>
                <w:szCs w:val="8"/>
                <w:color w:val="auto"/>
              </w:rPr>
            </w:pPr>
          </w:p>
        </w:tc>
        <w:tc>
          <w:tcPr>
            <w:tcW w:w="49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710" w:type="dxa"/>
            <w:vAlign w:val="bottom"/>
            <w:tcBorders>
              <w:bottom w:val="single" w:sz="8" w:color="auto"/>
            </w:tcBorders>
          </w:tcPr>
          <w:p>
            <w:pPr>
              <w:spacing w:after="0"/>
              <w:rPr>
                <w:sz w:val="8"/>
                <w:szCs w:val="8"/>
                <w:color w:val="auto"/>
              </w:rPr>
            </w:pPr>
          </w:p>
        </w:tc>
      </w:tr>
      <w:tr>
        <w:trPr>
          <w:trHeight w:val="250"/>
        </w:trPr>
        <w:tc>
          <w:tcPr>
            <w:tcW w:w="124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r>
      <w:tr>
        <w:trPr>
          <w:trHeight w:val="196"/>
        </w:trPr>
        <w:tc>
          <w:tcPr>
            <w:tcW w:w="12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Mortgage Loans</w:t>
            </w:r>
          </w:p>
        </w:tc>
        <w:tc>
          <w:tcPr>
            <w:tcW w:w="49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30" w:type="dxa"/>
            <w:vAlign w:val="bottom"/>
            <w:tcBorders>
              <w:bottom w:val="single" w:sz="8" w:color="CCEEFF"/>
            </w:tcBorders>
            <w:shd w:val="clear" w:color="auto" w:fill="CCEEFF"/>
          </w:tcPr>
          <w:p>
            <w:pPr>
              <w:spacing w:after="0"/>
              <w:rPr>
                <w:sz w:val="17"/>
                <w:szCs w:val="17"/>
                <w:color w:val="auto"/>
              </w:rPr>
            </w:pPr>
          </w:p>
        </w:tc>
        <w:tc>
          <w:tcPr>
            <w:tcW w:w="710" w:type="dxa"/>
            <w:vAlign w:val="bottom"/>
            <w:tcBorders>
              <w:bottom w:val="single" w:sz="8" w:color="CCEEFF"/>
            </w:tcBorders>
            <w:shd w:val="clear" w:color="auto" w:fill="CCEEFF"/>
          </w:tcPr>
          <w:p>
            <w:pPr>
              <w:spacing w:after="0"/>
              <w:rPr>
                <w:sz w:val="17"/>
                <w:szCs w:val="17"/>
                <w:color w:val="auto"/>
              </w:rPr>
            </w:pPr>
          </w:p>
        </w:tc>
      </w:tr>
      <w:tr>
        <w:trPr>
          <w:trHeight w:val="216"/>
        </w:trPr>
        <w:tc>
          <w:tcPr>
            <w:tcW w:w="6200" w:type="dxa"/>
            <w:vAlign w:val="bottom"/>
            <w:gridSpan w:val="2"/>
          </w:tcPr>
          <w:p>
            <w:pPr>
              <w:ind w:left="440"/>
              <w:spacing w:after="0"/>
              <w:rPr>
                <w:sz w:val="20"/>
                <w:szCs w:val="20"/>
                <w:color w:val="auto"/>
              </w:rPr>
            </w:pPr>
            <w:r>
              <w:rPr>
                <w:rFonts w:ascii="Arial" w:cs="Arial" w:eastAsia="Arial" w:hAnsi="Arial"/>
                <w:sz w:val="18"/>
                <w:szCs w:val="18"/>
                <w:b w:val="1"/>
                <w:bCs w:val="1"/>
                <w:i w:val="1"/>
                <w:iCs w:val="1"/>
                <w:color w:val="auto"/>
              </w:rPr>
              <w:t>Secured Fixed Rate</w:t>
            </w: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10" w:type="dxa"/>
            <w:vAlign w:val="bottom"/>
          </w:tcPr>
          <w:p>
            <w:pPr>
              <w:spacing w:after="0"/>
              <w:rPr>
                <w:sz w:val="18"/>
                <w:szCs w:val="18"/>
                <w:color w:val="auto"/>
              </w:rPr>
            </w:pPr>
          </w:p>
        </w:tc>
      </w:tr>
      <w:tr>
        <w:trPr>
          <w:trHeight w:val="216"/>
        </w:trPr>
        <w:tc>
          <w:tcPr>
            <w:tcW w:w="6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Campus Plaza</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12/01/09</w:t>
            </w:r>
          </w:p>
        </w:tc>
        <w:tc>
          <w:tcPr>
            <w:tcW w:w="5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4.530%(a)</w:t>
            </w:r>
          </w:p>
        </w:tc>
        <w:tc>
          <w:tcPr>
            <w:tcW w:w="41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r>
      <w:tr>
        <w:trPr>
          <w:trHeight w:val="216"/>
        </w:trPr>
        <w:tc>
          <w:tcPr>
            <w:tcW w:w="6200" w:type="dxa"/>
            <w:vAlign w:val="bottom"/>
            <w:gridSpan w:val="2"/>
          </w:tcPr>
          <w:p>
            <w:pPr>
              <w:ind w:left="440"/>
              <w:spacing w:after="0"/>
              <w:rPr>
                <w:sz w:val="20"/>
                <w:szCs w:val="20"/>
                <w:color w:val="auto"/>
              </w:rPr>
            </w:pPr>
            <w:r>
              <w:rPr>
                <w:rFonts w:ascii="Arial" w:cs="Arial" w:eastAsia="Arial" w:hAnsi="Arial"/>
                <w:sz w:val="18"/>
                <w:szCs w:val="18"/>
                <w:color w:val="auto"/>
              </w:rPr>
              <w:t>Pleasant Shops</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12/01/09</w:t>
            </w:r>
          </w:p>
        </w:tc>
        <w:tc>
          <w:tcPr>
            <w:tcW w:w="580" w:type="dxa"/>
            <w:vAlign w:val="bottom"/>
          </w:tcPr>
          <w:p>
            <w:pPr>
              <w:spacing w:after="0"/>
              <w:rPr>
                <w:sz w:val="18"/>
                <w:szCs w:val="18"/>
                <w:color w:val="auto"/>
              </w:rPr>
            </w:pPr>
          </w:p>
        </w:tc>
        <w:tc>
          <w:tcPr>
            <w:tcW w:w="1740" w:type="dxa"/>
            <w:vAlign w:val="bottom"/>
            <w:gridSpan w:val="2"/>
          </w:tcPr>
          <w:p>
            <w:pPr>
              <w:ind w:left="700"/>
              <w:spacing w:after="0"/>
              <w:rPr>
                <w:sz w:val="20"/>
                <w:szCs w:val="20"/>
                <w:color w:val="auto"/>
              </w:rPr>
            </w:pPr>
            <w:r>
              <w:rPr>
                <w:rFonts w:ascii="Arial" w:cs="Arial" w:eastAsia="Arial" w:hAnsi="Arial"/>
                <w:sz w:val="18"/>
                <w:szCs w:val="18"/>
                <w:color w:val="auto"/>
              </w:rPr>
              <w:t>4.530%(a)</w:t>
            </w:r>
          </w:p>
        </w:tc>
        <w:tc>
          <w:tcPr>
            <w:tcW w:w="2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12,400</w:t>
            </w:r>
          </w:p>
        </w:tc>
      </w:tr>
      <w:tr>
        <w:trPr>
          <w:trHeight w:val="216"/>
        </w:trPr>
        <w:tc>
          <w:tcPr>
            <w:tcW w:w="6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Plaza del Mercado</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07/05/14</w:t>
            </w:r>
          </w:p>
        </w:tc>
        <w:tc>
          <w:tcPr>
            <w:tcW w:w="5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5.770%(b)</w:t>
            </w:r>
          </w:p>
        </w:tc>
        <w:tc>
          <w:tcPr>
            <w:tcW w:w="2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13,325</w:t>
            </w:r>
          </w:p>
        </w:tc>
      </w:tr>
      <w:tr>
        <w:trPr>
          <w:trHeight w:val="222"/>
        </w:trPr>
        <w:tc>
          <w:tcPr>
            <w:tcW w:w="6200" w:type="dxa"/>
            <w:vAlign w:val="bottom"/>
            <w:gridSpan w:val="2"/>
          </w:tcPr>
          <w:p>
            <w:pPr>
              <w:ind w:left="440"/>
              <w:spacing w:after="0"/>
              <w:rPr>
                <w:sz w:val="20"/>
                <w:szCs w:val="20"/>
                <w:color w:val="auto"/>
              </w:rPr>
            </w:pPr>
            <w:r>
              <w:rPr>
                <w:rFonts w:ascii="Arial" w:cs="Arial" w:eastAsia="Arial" w:hAnsi="Arial"/>
                <w:sz w:val="18"/>
                <w:szCs w:val="18"/>
                <w:color w:val="auto"/>
              </w:rPr>
              <w:t>Atlantic Plaza</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12/01/14</w:t>
            </w:r>
          </w:p>
        </w:tc>
        <w:tc>
          <w:tcPr>
            <w:tcW w:w="580" w:type="dxa"/>
            <w:vAlign w:val="bottom"/>
          </w:tcPr>
          <w:p>
            <w:pPr>
              <w:spacing w:after="0"/>
              <w:rPr>
                <w:sz w:val="19"/>
                <w:szCs w:val="19"/>
                <w:color w:val="auto"/>
              </w:rPr>
            </w:pPr>
          </w:p>
        </w:tc>
        <w:tc>
          <w:tcPr>
            <w:tcW w:w="1740" w:type="dxa"/>
            <w:vAlign w:val="bottom"/>
            <w:gridSpan w:val="2"/>
          </w:tcPr>
          <w:p>
            <w:pPr>
              <w:ind w:left="700"/>
              <w:spacing w:after="0"/>
              <w:rPr>
                <w:sz w:val="20"/>
                <w:szCs w:val="20"/>
                <w:color w:val="auto"/>
              </w:rPr>
            </w:pPr>
            <w:r>
              <w:rPr>
                <w:rFonts w:ascii="Arial" w:cs="Arial" w:eastAsia="Arial" w:hAnsi="Arial"/>
                <w:sz w:val="18"/>
                <w:szCs w:val="18"/>
                <w:color w:val="auto"/>
              </w:rPr>
              <w:t>5.120%(a)</w:t>
            </w:r>
          </w:p>
        </w:tc>
        <w:tc>
          <w:tcPr>
            <w:tcW w:w="28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10,500</w:t>
            </w:r>
          </w:p>
        </w:tc>
      </w:tr>
      <w:tr>
        <w:trPr>
          <w:trHeight w:val="102"/>
        </w:trPr>
        <w:tc>
          <w:tcPr>
            <w:tcW w:w="1240" w:type="dxa"/>
            <w:vAlign w:val="bottom"/>
          </w:tcPr>
          <w:p>
            <w:pPr>
              <w:spacing w:after="0"/>
              <w:rPr>
                <w:sz w:val="8"/>
                <w:szCs w:val="8"/>
                <w:color w:val="auto"/>
              </w:rPr>
            </w:pPr>
          </w:p>
        </w:tc>
        <w:tc>
          <w:tcPr>
            <w:tcW w:w="49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710" w:type="dxa"/>
            <w:vAlign w:val="bottom"/>
            <w:tcBorders>
              <w:bottom w:val="single" w:sz="8" w:color="auto"/>
            </w:tcBorders>
          </w:tcPr>
          <w:p>
            <w:pPr>
              <w:spacing w:after="0"/>
              <w:rPr>
                <w:sz w:val="8"/>
                <w:szCs w:val="8"/>
                <w:color w:val="auto"/>
              </w:rPr>
            </w:pPr>
          </w:p>
        </w:tc>
      </w:tr>
      <w:tr>
        <w:trPr>
          <w:trHeight w:val="102"/>
        </w:trPr>
        <w:tc>
          <w:tcPr>
            <w:tcW w:w="1240" w:type="dxa"/>
            <w:vAlign w:val="bottom"/>
          </w:tcPr>
          <w:p>
            <w:pPr>
              <w:spacing w:after="0"/>
              <w:rPr>
                <w:sz w:val="8"/>
                <w:szCs w:val="8"/>
                <w:color w:val="auto"/>
              </w:rPr>
            </w:pPr>
          </w:p>
        </w:tc>
        <w:tc>
          <w:tcPr>
            <w:tcW w:w="49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0" w:type="dxa"/>
            <w:vAlign w:val="bottom"/>
          </w:tcPr>
          <w:p>
            <w:pPr>
              <w:spacing w:after="0"/>
              <w:rPr>
                <w:sz w:val="8"/>
                <w:szCs w:val="8"/>
                <w:color w:val="auto"/>
              </w:rPr>
            </w:pPr>
          </w:p>
        </w:tc>
        <w:tc>
          <w:tcPr>
            <w:tcW w:w="710" w:type="dxa"/>
            <w:vAlign w:val="bottom"/>
          </w:tcPr>
          <w:p>
            <w:pPr>
              <w:spacing w:after="0"/>
              <w:rPr>
                <w:sz w:val="8"/>
                <w:szCs w:val="8"/>
                <w:color w:val="auto"/>
              </w:rPr>
            </w:pPr>
          </w:p>
        </w:tc>
      </w:tr>
      <w:tr>
        <w:trPr>
          <w:trHeight w:val="216"/>
        </w:trPr>
        <w:tc>
          <w:tcPr>
            <w:tcW w:w="620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Total Fixed Rate Debt</w:t>
            </w: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1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47,225</w:t>
            </w:r>
          </w:p>
        </w:tc>
      </w:tr>
      <w:tr>
        <w:trPr>
          <w:trHeight w:val="132"/>
        </w:trPr>
        <w:tc>
          <w:tcPr>
            <w:tcW w:w="124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71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6366510</wp:posOffset>
            </wp:positionH>
            <wp:positionV relativeFrom="paragraph">
              <wp:posOffset>-29210</wp:posOffset>
            </wp:positionV>
            <wp:extent cx="1270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2159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MATURITIES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780" w:type="dxa"/>
            <w:vAlign w:val="bottom"/>
            <w:gridSpan w:val="2"/>
          </w:tcPr>
          <w:p>
            <w:pPr>
              <w:jc w:val="right"/>
              <w:ind w:right="12"/>
              <w:spacing w:after="0" w:line="149" w:lineRule="exact"/>
              <w:rPr>
                <w:sz w:val="20"/>
                <w:szCs w:val="20"/>
                <w:color w:val="auto"/>
              </w:rPr>
            </w:pPr>
            <w:r>
              <w:rPr>
                <w:rFonts w:ascii="Arial" w:cs="Arial" w:eastAsia="Arial" w:hAnsi="Arial"/>
                <w:sz w:val="14"/>
                <w:szCs w:val="14"/>
                <w:b w:val="1"/>
                <w:bCs w:val="1"/>
                <w:color w:val="auto"/>
                <w:w w:val="93"/>
              </w:rPr>
              <w:t>Scheduled</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Percent of</w:t>
            </w:r>
          </w:p>
        </w:tc>
        <w:tc>
          <w:tcPr>
            <w:tcW w:w="22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Percent of</w:t>
            </w:r>
          </w:p>
        </w:tc>
        <w:tc>
          <w:tcPr>
            <w:tcW w:w="0" w:type="dxa"/>
            <w:vAlign w:val="bottom"/>
          </w:tcPr>
          <w:p>
            <w:pPr>
              <w:spacing w:after="0"/>
              <w:rPr>
                <w:sz w:val="1"/>
                <w:szCs w:val="1"/>
                <w:color w:val="auto"/>
              </w:rPr>
            </w:pPr>
          </w:p>
        </w:tc>
      </w:tr>
      <w:tr>
        <w:trPr>
          <w:trHeight w:val="174"/>
        </w:trPr>
        <w:tc>
          <w:tcPr>
            <w:tcW w:w="3160" w:type="dxa"/>
            <w:vAlign w:val="bottom"/>
            <w:gridSpan w:val="4"/>
          </w:tcPr>
          <w:p>
            <w:pPr>
              <w:ind w:left="580"/>
              <w:spacing w:after="0"/>
              <w:rPr>
                <w:sz w:val="20"/>
                <w:szCs w:val="20"/>
                <w:color w:val="auto"/>
              </w:rPr>
            </w:pPr>
            <w:r>
              <w:rPr>
                <w:rFonts w:ascii="Arial" w:cs="Arial" w:eastAsia="Arial" w:hAnsi="Arial"/>
                <w:sz w:val="14"/>
                <w:szCs w:val="14"/>
                <w:b w:val="1"/>
                <w:bCs w:val="1"/>
                <w:color w:val="auto"/>
              </w:rPr>
              <w:t>Year</w:t>
            </w:r>
          </w:p>
        </w:tc>
        <w:tc>
          <w:tcPr>
            <w:tcW w:w="2580" w:type="dxa"/>
            <w:vAlign w:val="bottom"/>
            <w:gridSpan w:val="3"/>
          </w:tcPr>
          <w:p>
            <w:pPr>
              <w:jc w:val="right"/>
              <w:spacing w:after="0"/>
              <w:rPr>
                <w:sz w:val="20"/>
                <w:szCs w:val="20"/>
                <w:color w:val="auto"/>
              </w:rPr>
            </w:pPr>
            <w:r>
              <w:rPr>
                <w:rFonts w:ascii="Arial" w:cs="Arial" w:eastAsia="Arial" w:hAnsi="Arial"/>
                <w:sz w:val="14"/>
                <w:szCs w:val="14"/>
                <w:b w:val="1"/>
                <w:bCs w:val="1"/>
                <w:color w:val="auto"/>
              </w:rPr>
              <w:t>Amortization</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Maturities</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57"/>
              <w:spacing w:after="0"/>
              <w:rPr>
                <w:sz w:val="20"/>
                <w:szCs w:val="20"/>
                <w:color w:val="auto"/>
              </w:rPr>
            </w:pPr>
            <w:r>
              <w:rPr>
                <w:rFonts w:ascii="Arial" w:cs="Arial" w:eastAsia="Arial" w:hAnsi="Arial"/>
                <w:sz w:val="14"/>
                <w:szCs w:val="14"/>
                <w:b w:val="1"/>
                <w:bCs w:val="1"/>
                <w:color w:val="auto"/>
                <w:w w:val="95"/>
              </w:rPr>
              <w:t>Total</w:t>
            </w:r>
          </w:p>
        </w:tc>
        <w:tc>
          <w:tcPr>
            <w:tcW w:w="480" w:type="dxa"/>
            <w:vAlign w:val="bottom"/>
          </w:tcPr>
          <w:p>
            <w:pPr>
              <w:spacing w:after="0"/>
              <w:rPr>
                <w:sz w:val="15"/>
                <w:szCs w:val="15"/>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Debt Maturing</w:t>
            </w: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Debt Maturing</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2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2004</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580" w:type="dxa"/>
            <w:vAlign w:val="bottom"/>
            <w:gridSpan w:val="3"/>
          </w:tcPr>
          <w:p>
            <w:pPr>
              <w:ind w:left="440"/>
              <w:spacing w:after="0"/>
              <w:rPr>
                <w:sz w:val="20"/>
                <w:szCs w:val="20"/>
                <w:color w:val="auto"/>
              </w:rPr>
            </w:pPr>
            <w:r>
              <w:rPr>
                <w:rFonts w:ascii="Arial" w:cs="Arial" w:eastAsia="Arial" w:hAnsi="Arial"/>
                <w:sz w:val="18"/>
                <w:szCs w:val="18"/>
                <w:color w:val="auto"/>
              </w:rPr>
              <w:t>2005</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2006</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580" w:type="dxa"/>
            <w:vAlign w:val="bottom"/>
            <w:gridSpan w:val="3"/>
          </w:tcPr>
          <w:p>
            <w:pPr>
              <w:ind w:left="440"/>
              <w:spacing w:after="0"/>
              <w:rPr>
                <w:sz w:val="20"/>
                <w:szCs w:val="20"/>
                <w:color w:val="auto"/>
              </w:rPr>
            </w:pPr>
            <w:r>
              <w:rPr>
                <w:rFonts w:ascii="Arial" w:cs="Arial" w:eastAsia="Arial" w:hAnsi="Arial"/>
                <w:sz w:val="18"/>
                <w:szCs w:val="18"/>
                <w:color w:val="auto"/>
              </w:rPr>
              <w:t>2007</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70</w:t>
            </w:r>
          </w:p>
        </w:tc>
        <w:tc>
          <w:tcPr>
            <w:tcW w:w="46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70</w:t>
            </w:r>
          </w:p>
        </w:tc>
        <w:tc>
          <w:tcPr>
            <w:tcW w:w="1740" w:type="dxa"/>
            <w:vAlign w:val="bottom"/>
            <w:gridSpan w:val="3"/>
          </w:tcPr>
          <w:p>
            <w:pPr>
              <w:jc w:val="right"/>
              <w:ind w:right="240"/>
              <w:spacing w:after="0"/>
              <w:rPr>
                <w:sz w:val="20"/>
                <w:szCs w:val="20"/>
                <w:color w:val="auto"/>
              </w:rPr>
            </w:pPr>
            <w:r>
              <w:rPr>
                <w:rFonts w:ascii="Arial" w:cs="Arial" w:eastAsia="Arial" w:hAnsi="Arial"/>
                <w:sz w:val="18"/>
                <w:szCs w:val="18"/>
                <w:color w:val="auto"/>
              </w:rPr>
              <w:t>0.2%</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2008</w:t>
            </w:r>
          </w:p>
        </w:tc>
        <w:tc>
          <w:tcPr>
            <w:tcW w:w="2580" w:type="dxa"/>
            <w:vAlign w:val="bottom"/>
            <w:gridSpan w:val="3"/>
            <w:shd w:val="clear" w:color="auto" w:fill="CCEEFF"/>
          </w:tcPr>
          <w:p>
            <w:pPr>
              <w:ind w:left="2300"/>
              <w:spacing w:after="0"/>
              <w:rPr>
                <w:sz w:val="20"/>
                <w:szCs w:val="20"/>
                <w:color w:val="auto"/>
              </w:rPr>
            </w:pPr>
            <w:r>
              <w:rPr>
                <w:rFonts w:ascii="Arial" w:cs="Arial" w:eastAsia="Arial" w:hAnsi="Arial"/>
                <w:sz w:val="18"/>
                <w:szCs w:val="18"/>
                <w:color w:val="auto"/>
                <w:w w:val="86"/>
              </w:rPr>
              <w:t>175</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0.4%</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580" w:type="dxa"/>
            <w:vAlign w:val="bottom"/>
            <w:gridSpan w:val="3"/>
          </w:tcPr>
          <w:p>
            <w:pPr>
              <w:ind w:left="440"/>
              <w:spacing w:after="0"/>
              <w:rPr>
                <w:sz w:val="20"/>
                <w:szCs w:val="20"/>
                <w:color w:val="auto"/>
              </w:rPr>
            </w:pPr>
            <w:r>
              <w:rPr>
                <w:rFonts w:ascii="Arial" w:cs="Arial" w:eastAsia="Arial" w:hAnsi="Arial"/>
                <w:sz w:val="18"/>
                <w:szCs w:val="18"/>
                <w:color w:val="auto"/>
              </w:rPr>
              <w:t>2009</w:t>
            </w:r>
          </w:p>
        </w:tc>
        <w:tc>
          <w:tcPr>
            <w:tcW w:w="2580" w:type="dxa"/>
            <w:vAlign w:val="bottom"/>
            <w:gridSpan w:val="3"/>
          </w:tcPr>
          <w:p>
            <w:pPr>
              <w:ind w:left="2300"/>
              <w:spacing w:after="0"/>
              <w:rPr>
                <w:sz w:val="20"/>
                <w:szCs w:val="20"/>
                <w:color w:val="auto"/>
              </w:rPr>
            </w:pPr>
            <w:r>
              <w:rPr>
                <w:rFonts w:ascii="Arial" w:cs="Arial" w:eastAsia="Arial" w:hAnsi="Arial"/>
                <w:sz w:val="18"/>
                <w:szCs w:val="18"/>
                <w:color w:val="auto"/>
                <w:w w:val="86"/>
              </w:rPr>
              <w:t>185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23,400</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23,585</w:t>
            </w:r>
          </w:p>
        </w:tc>
        <w:tc>
          <w:tcPr>
            <w:tcW w:w="1740" w:type="dxa"/>
            <w:vAlign w:val="bottom"/>
            <w:gridSpan w:val="3"/>
          </w:tcPr>
          <w:p>
            <w:pPr>
              <w:jc w:val="right"/>
              <w:ind w:right="240"/>
              <w:spacing w:after="0"/>
              <w:rPr>
                <w:sz w:val="20"/>
                <w:szCs w:val="20"/>
                <w:color w:val="auto"/>
              </w:rPr>
            </w:pPr>
            <w:r>
              <w:rPr>
                <w:rFonts w:ascii="Arial" w:cs="Arial" w:eastAsia="Arial" w:hAnsi="Arial"/>
                <w:sz w:val="18"/>
                <w:szCs w:val="18"/>
                <w:color w:val="auto"/>
              </w:rPr>
              <w:t>49.9%</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2010</w:t>
            </w:r>
          </w:p>
        </w:tc>
        <w:tc>
          <w:tcPr>
            <w:tcW w:w="2580" w:type="dxa"/>
            <w:vAlign w:val="bottom"/>
            <w:gridSpan w:val="3"/>
            <w:shd w:val="clear" w:color="auto" w:fill="CCEEFF"/>
          </w:tcPr>
          <w:p>
            <w:pPr>
              <w:ind w:left="2300"/>
              <w:spacing w:after="0"/>
              <w:rPr>
                <w:sz w:val="20"/>
                <w:szCs w:val="20"/>
                <w:color w:val="auto"/>
              </w:rPr>
            </w:pPr>
            <w:r>
              <w:rPr>
                <w:rFonts w:ascii="Arial" w:cs="Arial" w:eastAsia="Arial" w:hAnsi="Arial"/>
                <w:sz w:val="18"/>
                <w:szCs w:val="18"/>
                <w:color w:val="auto"/>
                <w:w w:val="86"/>
              </w:rPr>
              <w:t>196</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0.4%</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580" w:type="dxa"/>
            <w:vAlign w:val="bottom"/>
            <w:gridSpan w:val="3"/>
          </w:tcPr>
          <w:p>
            <w:pPr>
              <w:ind w:left="440"/>
              <w:spacing w:after="0"/>
              <w:rPr>
                <w:sz w:val="20"/>
                <w:szCs w:val="20"/>
                <w:color w:val="auto"/>
              </w:rPr>
            </w:pPr>
            <w:r>
              <w:rPr>
                <w:rFonts w:ascii="Arial" w:cs="Arial" w:eastAsia="Arial" w:hAnsi="Arial"/>
                <w:sz w:val="18"/>
                <w:szCs w:val="18"/>
                <w:color w:val="auto"/>
              </w:rPr>
              <w:t>2011</w:t>
            </w:r>
          </w:p>
        </w:tc>
        <w:tc>
          <w:tcPr>
            <w:tcW w:w="2580" w:type="dxa"/>
            <w:vAlign w:val="bottom"/>
            <w:gridSpan w:val="3"/>
          </w:tcPr>
          <w:p>
            <w:pPr>
              <w:ind w:left="2300"/>
              <w:spacing w:after="0"/>
              <w:rPr>
                <w:sz w:val="20"/>
                <w:szCs w:val="20"/>
                <w:color w:val="auto"/>
              </w:rPr>
            </w:pPr>
            <w:r>
              <w:rPr>
                <w:rFonts w:ascii="Arial" w:cs="Arial" w:eastAsia="Arial" w:hAnsi="Arial"/>
                <w:sz w:val="18"/>
                <w:szCs w:val="18"/>
                <w:color w:val="auto"/>
                <w:w w:val="86"/>
              </w:rPr>
              <w:t>208</w:t>
            </w:r>
          </w:p>
        </w:tc>
        <w:tc>
          <w:tcPr>
            <w:tcW w:w="46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208</w:t>
            </w:r>
          </w:p>
        </w:tc>
        <w:tc>
          <w:tcPr>
            <w:tcW w:w="1740" w:type="dxa"/>
            <w:vAlign w:val="bottom"/>
            <w:gridSpan w:val="3"/>
          </w:tcPr>
          <w:p>
            <w:pPr>
              <w:jc w:val="right"/>
              <w:ind w:right="240"/>
              <w:spacing w:after="0"/>
              <w:rPr>
                <w:sz w:val="20"/>
                <w:szCs w:val="20"/>
                <w:color w:val="auto"/>
              </w:rPr>
            </w:pPr>
            <w:r>
              <w:rPr>
                <w:rFonts w:ascii="Arial" w:cs="Arial" w:eastAsia="Arial" w:hAnsi="Arial"/>
                <w:sz w:val="18"/>
                <w:szCs w:val="18"/>
                <w:color w:val="auto"/>
              </w:rPr>
              <w:t>0.4%</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2012</w:t>
            </w:r>
          </w:p>
        </w:tc>
        <w:tc>
          <w:tcPr>
            <w:tcW w:w="2580" w:type="dxa"/>
            <w:vAlign w:val="bottom"/>
            <w:gridSpan w:val="3"/>
            <w:shd w:val="clear" w:color="auto" w:fill="CCEEFF"/>
          </w:tcPr>
          <w:p>
            <w:pPr>
              <w:ind w:left="2300"/>
              <w:spacing w:after="0"/>
              <w:rPr>
                <w:sz w:val="20"/>
                <w:szCs w:val="20"/>
                <w:color w:val="auto"/>
              </w:rPr>
            </w:pPr>
            <w:r>
              <w:rPr>
                <w:rFonts w:ascii="Arial" w:cs="Arial" w:eastAsia="Arial" w:hAnsi="Arial"/>
                <w:sz w:val="18"/>
                <w:szCs w:val="18"/>
                <w:color w:val="auto"/>
                <w:w w:val="86"/>
              </w:rPr>
              <w:t>220</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0.5%</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580" w:type="dxa"/>
            <w:vAlign w:val="bottom"/>
            <w:gridSpan w:val="3"/>
          </w:tcPr>
          <w:p>
            <w:pPr>
              <w:ind w:left="440"/>
              <w:spacing w:after="0"/>
              <w:rPr>
                <w:sz w:val="20"/>
                <w:szCs w:val="20"/>
                <w:color w:val="auto"/>
              </w:rPr>
            </w:pPr>
            <w:r>
              <w:rPr>
                <w:rFonts w:ascii="Arial" w:cs="Arial" w:eastAsia="Arial" w:hAnsi="Arial"/>
                <w:sz w:val="18"/>
                <w:szCs w:val="18"/>
                <w:color w:val="auto"/>
              </w:rPr>
              <w:t>2013</w:t>
            </w:r>
          </w:p>
        </w:tc>
        <w:tc>
          <w:tcPr>
            <w:tcW w:w="2580" w:type="dxa"/>
            <w:vAlign w:val="bottom"/>
            <w:gridSpan w:val="3"/>
          </w:tcPr>
          <w:p>
            <w:pPr>
              <w:ind w:left="2300"/>
              <w:spacing w:after="0"/>
              <w:rPr>
                <w:sz w:val="20"/>
                <w:szCs w:val="20"/>
                <w:color w:val="auto"/>
              </w:rPr>
            </w:pPr>
            <w:r>
              <w:rPr>
                <w:rFonts w:ascii="Arial" w:cs="Arial" w:eastAsia="Arial" w:hAnsi="Arial"/>
                <w:sz w:val="18"/>
                <w:szCs w:val="18"/>
                <w:color w:val="auto"/>
                <w:w w:val="86"/>
              </w:rPr>
              <w:t>233</w:t>
            </w:r>
          </w:p>
        </w:tc>
        <w:tc>
          <w:tcPr>
            <w:tcW w:w="46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233</w:t>
            </w:r>
          </w:p>
        </w:tc>
        <w:tc>
          <w:tcPr>
            <w:tcW w:w="1740" w:type="dxa"/>
            <w:vAlign w:val="bottom"/>
            <w:gridSpan w:val="3"/>
          </w:tcPr>
          <w:p>
            <w:pPr>
              <w:jc w:val="right"/>
              <w:ind w:right="240"/>
              <w:spacing w:after="0"/>
              <w:rPr>
                <w:sz w:val="20"/>
                <w:szCs w:val="20"/>
                <w:color w:val="auto"/>
              </w:rPr>
            </w:pPr>
            <w:r>
              <w:rPr>
                <w:rFonts w:ascii="Arial" w:cs="Arial" w:eastAsia="Arial" w:hAnsi="Arial"/>
                <w:sz w:val="18"/>
                <w:szCs w:val="18"/>
                <w:color w:val="auto"/>
              </w:rPr>
              <w:t>0.5%</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Thereafter</w:t>
            </w:r>
          </w:p>
        </w:tc>
        <w:tc>
          <w:tcPr>
            <w:tcW w:w="2580" w:type="dxa"/>
            <w:vAlign w:val="bottom"/>
            <w:gridSpan w:val="3"/>
            <w:shd w:val="clear" w:color="auto" w:fill="CCEEFF"/>
          </w:tcPr>
          <w:p>
            <w:pPr>
              <w:ind w:left="2300"/>
              <w:spacing w:after="0"/>
              <w:rPr>
                <w:sz w:val="20"/>
                <w:szCs w:val="20"/>
                <w:color w:val="auto"/>
              </w:rPr>
            </w:pPr>
            <w:r>
              <w:rPr>
                <w:rFonts w:ascii="Arial" w:cs="Arial" w:eastAsia="Arial" w:hAnsi="Arial"/>
                <w:sz w:val="18"/>
                <w:szCs w:val="18"/>
                <w:color w:val="auto"/>
                <w:w w:val="86"/>
              </w:rPr>
              <w:t>142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22,396</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22,538</w:t>
            </w:r>
          </w:p>
        </w:tc>
        <w:tc>
          <w:tcPr>
            <w:tcW w:w="1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47.7%</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w:t>
            </w:r>
          </w:p>
        </w:tc>
        <w:tc>
          <w:tcPr>
            <w:tcW w:w="2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$1,429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$ 45,796</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$47,225</w:t>
            </w:r>
          </w:p>
        </w:tc>
        <w:tc>
          <w:tcPr>
            <w:tcW w:w="1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5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3141980</wp:posOffset>
            </wp:positionH>
            <wp:positionV relativeFrom="paragraph">
              <wp:posOffset>-172720</wp:posOffset>
            </wp:positionV>
            <wp:extent cx="50165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-172720</wp:posOffset>
            </wp:positionV>
            <wp:extent cx="1270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-172720</wp:posOffset>
            </wp:positionV>
            <wp:extent cx="1270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-172720</wp:posOffset>
            </wp:positionV>
            <wp:extent cx="2159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-172720</wp:posOffset>
            </wp:positionV>
            <wp:extent cx="37274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-172720</wp:posOffset>
            </wp:positionV>
            <wp:extent cx="1270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-172720</wp:posOffset>
            </wp:positionV>
            <wp:extent cx="38735"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77"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Interest only until maturity.</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Loan is interest only until July 5, 2007, after which principal and interest payments are due based on a 30-year amortization schedule.</w:t>
      </w:r>
    </w:p>
    <w:p>
      <w:pPr>
        <w:spacing w:after="0" w:line="17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860"/>
          </w:cols>
          <w:pgMar w:left="240" w:top="274" w:right="79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Acquisitions and Dispositions -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Through December 31, 2004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Acquisitions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Date</w:t>
            </w:r>
          </w:p>
        </w:tc>
        <w:tc>
          <w:tcPr>
            <w:tcW w:w="2300" w:type="dxa"/>
            <w:vAlign w:val="bottom"/>
            <w:gridSpan w:val="3"/>
          </w:tcPr>
          <w:p>
            <w:pPr>
              <w:ind w:left="180"/>
              <w:spacing w:after="0"/>
              <w:rPr>
                <w:sz w:val="20"/>
                <w:szCs w:val="20"/>
                <w:color w:val="auto"/>
              </w:rPr>
            </w:pPr>
            <w:r>
              <w:rPr>
                <w:rFonts w:ascii="Arial" w:cs="Arial" w:eastAsia="Arial" w:hAnsi="Arial"/>
                <w:sz w:val="14"/>
                <w:szCs w:val="14"/>
                <w:b w:val="1"/>
                <w:bCs w:val="1"/>
                <w:color w:val="auto"/>
              </w:rPr>
              <w:t>Property</w:t>
            </w:r>
          </w:p>
        </w:tc>
        <w:tc>
          <w:tcPr>
            <w:tcW w:w="3240" w:type="dxa"/>
            <w:vAlign w:val="bottom"/>
            <w:gridSpan w:val="3"/>
          </w:tcPr>
          <w:p>
            <w:pPr>
              <w:ind w:left="560"/>
              <w:spacing w:after="0"/>
              <w:rPr>
                <w:sz w:val="20"/>
                <w:szCs w:val="20"/>
                <w:color w:val="auto"/>
              </w:rPr>
            </w:pPr>
            <w:r>
              <w:rPr>
                <w:rFonts w:ascii="Arial" w:cs="Arial" w:eastAsia="Arial" w:hAnsi="Arial"/>
                <w:sz w:val="14"/>
                <w:szCs w:val="14"/>
                <w:b w:val="1"/>
                <w:bCs w:val="1"/>
                <w:color w:val="auto"/>
              </w:rPr>
              <w:t>City / State</w:t>
            </w:r>
          </w:p>
        </w:tc>
        <w:tc>
          <w:tcPr>
            <w:tcW w:w="580" w:type="dxa"/>
            <w:vAlign w:val="bottom"/>
          </w:tcPr>
          <w:p>
            <w:pPr>
              <w:jc w:val="right"/>
              <w:ind w:right="56"/>
              <w:spacing w:after="0"/>
              <w:rPr>
                <w:sz w:val="20"/>
                <w:szCs w:val="20"/>
                <w:color w:val="auto"/>
              </w:rPr>
            </w:pPr>
            <w:r>
              <w:rPr>
                <w:rFonts w:ascii="Arial" w:cs="Arial" w:eastAsia="Arial" w:hAnsi="Arial"/>
                <w:sz w:val="14"/>
                <w:szCs w:val="14"/>
                <w:b w:val="1"/>
                <w:bCs w:val="1"/>
                <w:color w:val="auto"/>
              </w:rPr>
              <w:t>GLA</w:t>
            </w:r>
          </w:p>
        </w:tc>
        <w:tc>
          <w:tcPr>
            <w:tcW w:w="220" w:type="dxa"/>
            <w:vAlign w:val="bottom"/>
          </w:tcPr>
          <w:p>
            <w:pPr>
              <w:spacing w:after="0"/>
              <w:rPr>
                <w:sz w:val="15"/>
                <w:szCs w:val="15"/>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3"/>
              </w:rPr>
              <w:t>Purchase price</w:t>
            </w:r>
          </w:p>
        </w:tc>
        <w:tc>
          <w:tcPr>
            <w:tcW w:w="2480" w:type="dxa"/>
            <w:vAlign w:val="bottom"/>
            <w:gridSpan w:val="3"/>
          </w:tcPr>
          <w:p>
            <w:pPr>
              <w:ind w:left="100"/>
              <w:spacing w:after="0"/>
              <w:rPr>
                <w:sz w:val="20"/>
                <w:szCs w:val="20"/>
                <w:color w:val="auto"/>
              </w:rPr>
            </w:pPr>
            <w:r>
              <w:rPr>
                <w:rFonts w:ascii="Arial" w:cs="Arial" w:eastAsia="Arial" w:hAnsi="Arial"/>
                <w:sz w:val="14"/>
                <w:szCs w:val="14"/>
                <w:b w:val="1"/>
                <w:bCs w:val="1"/>
                <w:color w:val="auto"/>
              </w:rPr>
              <w:t>Anchor tenants</w:t>
            </w:r>
          </w:p>
        </w:tc>
      </w:tr>
      <w:tr>
        <w:trPr>
          <w:trHeight w:val="95"/>
        </w:trPr>
        <w:tc>
          <w:tcPr>
            <w:tcW w:w="3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7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220" w:type="dxa"/>
            <w:vAlign w:val="bottom"/>
          </w:tcPr>
          <w:p>
            <w:pPr>
              <w:spacing w:after="0"/>
              <w:rPr>
                <w:sz w:val="8"/>
                <w:szCs w:val="8"/>
                <w:color w:val="auto"/>
              </w:rPr>
            </w:pPr>
          </w:p>
        </w:tc>
      </w:tr>
      <w:tr>
        <w:trPr>
          <w:trHeight w:val="250"/>
        </w:trPr>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16"/>
        </w:trPr>
        <w:tc>
          <w:tcPr>
            <w:tcW w:w="1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1, 2004</w:t>
            </w:r>
          </w:p>
        </w:tc>
        <w:tc>
          <w:tcPr>
            <w:tcW w:w="2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Plaza del Mercado (1)</w:t>
            </w:r>
          </w:p>
        </w:tc>
        <w:tc>
          <w:tcPr>
            <w:tcW w:w="32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Silver Spring, MD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20,578</w:t>
            </w:r>
          </w:p>
        </w:tc>
        <w:tc>
          <w:tcPr>
            <w:tcW w:w="24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Giant Food, CVS</w:t>
            </w:r>
          </w:p>
        </w:tc>
      </w:tr>
      <w:tr>
        <w:trPr>
          <w:trHeight w:val="208"/>
        </w:trPr>
        <w:tc>
          <w:tcPr>
            <w:tcW w:w="1620" w:type="dxa"/>
            <w:vAlign w:val="bottom"/>
            <w:gridSpan w:val="3"/>
          </w:tcPr>
          <w:p>
            <w:pPr>
              <w:spacing w:after="0"/>
              <w:rPr>
                <w:sz w:val="20"/>
                <w:szCs w:val="20"/>
                <w:color w:val="auto"/>
              </w:rPr>
            </w:pPr>
            <w:r>
              <w:rPr>
                <w:rFonts w:ascii="Arial" w:cs="Arial" w:eastAsia="Arial" w:hAnsi="Arial"/>
                <w:sz w:val="18"/>
                <w:szCs w:val="18"/>
                <w:color w:val="auto"/>
                <w:w w:val="98"/>
              </w:rPr>
              <w:t>September 20, 2004</w:t>
            </w:r>
          </w:p>
        </w:tc>
        <w:tc>
          <w:tcPr>
            <w:tcW w:w="2300" w:type="dxa"/>
            <w:vAlign w:val="bottom"/>
            <w:gridSpan w:val="3"/>
          </w:tcPr>
          <w:p>
            <w:pPr>
              <w:ind w:left="180"/>
              <w:spacing w:after="0"/>
              <w:rPr>
                <w:sz w:val="20"/>
                <w:szCs w:val="20"/>
                <w:color w:val="auto"/>
              </w:rPr>
            </w:pPr>
            <w:r>
              <w:rPr>
                <w:rFonts w:ascii="Arial" w:cs="Arial" w:eastAsia="Arial" w:hAnsi="Arial"/>
                <w:sz w:val="18"/>
                <w:szCs w:val="18"/>
                <w:color w:val="auto"/>
              </w:rPr>
              <w:t>Campus Plaza (2)</w:t>
            </w:r>
          </w:p>
        </w:tc>
        <w:tc>
          <w:tcPr>
            <w:tcW w:w="3240" w:type="dxa"/>
            <w:vAlign w:val="bottom"/>
            <w:gridSpan w:val="3"/>
          </w:tcPr>
          <w:p>
            <w:pPr>
              <w:ind w:left="560"/>
              <w:spacing w:after="0"/>
              <w:rPr>
                <w:sz w:val="20"/>
                <w:szCs w:val="20"/>
                <w:color w:val="auto"/>
              </w:rPr>
            </w:pPr>
            <w:r>
              <w:rPr>
                <w:rFonts w:ascii="Arial" w:cs="Arial" w:eastAsia="Arial" w:hAnsi="Arial"/>
                <w:sz w:val="18"/>
                <w:szCs w:val="18"/>
                <w:color w:val="auto"/>
              </w:rPr>
              <w:t>Bridgewater, MA</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3"/>
          </w:tcPr>
          <w:p>
            <w:pPr>
              <w:ind w:left="100"/>
              <w:spacing w:after="0"/>
              <w:rPr>
                <w:sz w:val="20"/>
                <w:szCs w:val="20"/>
                <w:color w:val="auto"/>
              </w:rPr>
            </w:pPr>
            <w:r>
              <w:rPr>
                <w:rFonts w:ascii="Arial" w:cs="Arial" w:eastAsia="Arial" w:hAnsi="Arial"/>
                <w:sz w:val="18"/>
                <w:szCs w:val="18"/>
                <w:color w:val="auto"/>
                <w:w w:val="99"/>
              </w:rPr>
              <w:t>Roche Brothers Supermarket,</w:t>
            </w:r>
          </w:p>
        </w:tc>
      </w:tr>
      <w:tr>
        <w:trPr>
          <w:trHeight w:val="222"/>
        </w:trPr>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115,000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18,450</w:t>
            </w:r>
          </w:p>
        </w:tc>
        <w:tc>
          <w:tcPr>
            <w:tcW w:w="2480" w:type="dxa"/>
            <w:vAlign w:val="bottom"/>
            <w:gridSpan w:val="3"/>
          </w:tcPr>
          <w:p>
            <w:pPr>
              <w:ind w:left="100"/>
              <w:spacing w:after="0"/>
              <w:rPr>
                <w:sz w:val="20"/>
                <w:szCs w:val="20"/>
                <w:color w:val="auto"/>
              </w:rPr>
            </w:pPr>
            <w:r>
              <w:rPr>
                <w:rFonts w:ascii="Arial" w:cs="Arial" w:eastAsia="Arial" w:hAnsi="Arial"/>
                <w:sz w:val="18"/>
                <w:szCs w:val="18"/>
                <w:color w:val="auto"/>
              </w:rPr>
              <w:t>Burlington Coat Factory</w:t>
            </w:r>
          </w:p>
        </w:tc>
      </w:tr>
      <w:tr>
        <w:trPr>
          <w:trHeight w:val="210"/>
        </w:trPr>
        <w:tc>
          <w:tcPr>
            <w:tcW w:w="16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September 20, 2004</w:t>
            </w:r>
          </w:p>
        </w:tc>
        <w:tc>
          <w:tcPr>
            <w:tcW w:w="2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Pleasant Shops</w:t>
            </w:r>
          </w:p>
        </w:tc>
        <w:tc>
          <w:tcPr>
            <w:tcW w:w="32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Weymouth, MA</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Foodmaster Supermarket,</w:t>
            </w:r>
          </w:p>
        </w:tc>
      </w:tr>
      <w:tr>
        <w:trPr>
          <w:trHeight w:val="224"/>
        </w:trPr>
        <w:tc>
          <w:tcPr>
            <w:tcW w:w="3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128,000</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20,275</w:t>
            </w:r>
          </w:p>
        </w:tc>
        <w:tc>
          <w:tcPr>
            <w:tcW w:w="24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Marshalls</w:t>
            </w:r>
          </w:p>
        </w:tc>
      </w:tr>
      <w:tr>
        <w:trPr>
          <w:trHeight w:val="208"/>
        </w:trPr>
        <w:tc>
          <w:tcPr>
            <w:tcW w:w="1620" w:type="dxa"/>
            <w:vAlign w:val="bottom"/>
            <w:gridSpan w:val="3"/>
          </w:tcPr>
          <w:p>
            <w:pPr>
              <w:spacing w:after="0"/>
              <w:rPr>
                <w:sz w:val="20"/>
                <w:szCs w:val="20"/>
                <w:color w:val="auto"/>
              </w:rPr>
            </w:pPr>
            <w:r>
              <w:rPr>
                <w:rFonts w:ascii="Arial" w:cs="Arial" w:eastAsia="Arial" w:hAnsi="Arial"/>
                <w:sz w:val="18"/>
                <w:szCs w:val="18"/>
                <w:color w:val="auto"/>
              </w:rPr>
              <w:t>December 1, 2004</w:t>
            </w:r>
          </w:p>
        </w:tc>
        <w:tc>
          <w:tcPr>
            <w:tcW w:w="2300" w:type="dxa"/>
            <w:vAlign w:val="bottom"/>
            <w:gridSpan w:val="3"/>
          </w:tcPr>
          <w:p>
            <w:pPr>
              <w:ind w:left="180"/>
              <w:spacing w:after="0"/>
              <w:rPr>
                <w:sz w:val="20"/>
                <w:szCs w:val="20"/>
                <w:color w:val="auto"/>
              </w:rPr>
            </w:pPr>
            <w:r>
              <w:rPr>
                <w:rFonts w:ascii="Arial" w:cs="Arial" w:eastAsia="Arial" w:hAnsi="Arial"/>
                <w:sz w:val="18"/>
                <w:szCs w:val="18"/>
                <w:color w:val="auto"/>
              </w:rPr>
              <w:t>Atlantic Plaza</w:t>
            </w:r>
          </w:p>
        </w:tc>
        <w:tc>
          <w:tcPr>
            <w:tcW w:w="3240" w:type="dxa"/>
            <w:vAlign w:val="bottom"/>
            <w:gridSpan w:val="3"/>
          </w:tcPr>
          <w:p>
            <w:pPr>
              <w:ind w:left="560"/>
              <w:spacing w:after="0"/>
              <w:rPr>
                <w:sz w:val="20"/>
                <w:szCs w:val="20"/>
                <w:color w:val="auto"/>
              </w:rPr>
            </w:pPr>
            <w:r>
              <w:rPr>
                <w:rFonts w:ascii="Arial" w:cs="Arial" w:eastAsia="Arial" w:hAnsi="Arial"/>
                <w:sz w:val="18"/>
                <w:szCs w:val="18"/>
                <w:color w:val="auto"/>
              </w:rPr>
              <w:t>North Reading, MA</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3"/>
          </w:tcPr>
          <w:p>
            <w:pPr>
              <w:ind w:left="100"/>
              <w:spacing w:after="0"/>
              <w:rPr>
                <w:sz w:val="20"/>
                <w:szCs w:val="20"/>
                <w:color w:val="auto"/>
              </w:rPr>
            </w:pPr>
            <w:r>
              <w:rPr>
                <w:rFonts w:ascii="Arial" w:cs="Arial" w:eastAsia="Arial" w:hAnsi="Arial"/>
                <w:sz w:val="18"/>
                <w:szCs w:val="18"/>
                <w:color w:val="auto"/>
              </w:rPr>
              <w:t>Shaw’s Supermarket, Sears</w:t>
            </w:r>
          </w:p>
        </w:tc>
      </w:tr>
      <w:tr>
        <w:trPr>
          <w:trHeight w:val="222"/>
        </w:trPr>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126,000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16,500</w:t>
            </w:r>
          </w:p>
        </w:tc>
        <w:tc>
          <w:tcPr>
            <w:tcW w:w="2480" w:type="dxa"/>
            <w:vAlign w:val="bottom"/>
            <w:gridSpan w:val="3"/>
          </w:tcPr>
          <w:p>
            <w:pPr>
              <w:ind w:left="100"/>
              <w:spacing w:after="0"/>
              <w:rPr>
                <w:sz w:val="20"/>
                <w:szCs w:val="20"/>
                <w:color w:val="auto"/>
              </w:rPr>
            </w:pPr>
            <w:r>
              <w:rPr>
                <w:rFonts w:ascii="Arial" w:cs="Arial" w:eastAsia="Arial" w:hAnsi="Arial"/>
                <w:sz w:val="18"/>
                <w:szCs w:val="18"/>
                <w:color w:val="auto"/>
              </w:rPr>
              <w:t>Hardware</w:t>
            </w:r>
          </w:p>
        </w:tc>
      </w:tr>
      <w:tr>
        <w:trPr>
          <w:trHeight w:val="110"/>
        </w:trPr>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102"/>
        </w:trPr>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20" w:type="dxa"/>
            <w:vAlign w:val="bottom"/>
          </w:tcPr>
          <w:p>
            <w:pPr>
              <w:spacing w:after="0"/>
              <w:rPr>
                <w:sz w:val="8"/>
                <w:szCs w:val="8"/>
                <w:color w:val="auto"/>
              </w:rPr>
            </w:pPr>
          </w:p>
        </w:tc>
      </w:tr>
      <w:tr>
        <w:trPr>
          <w:trHeight w:val="216"/>
        </w:trPr>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465,000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75,803</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32"/>
        </w:trPr>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213"/>
        </w:trPr>
        <w:tc>
          <w:tcPr>
            <w:tcW w:w="3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-172720</wp:posOffset>
            </wp:positionV>
            <wp:extent cx="105918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059180"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77"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July 1, 2004, we contributed Plaza del Mercado to a newly formed joint venture in which we own 30% of the equity.</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Purchase price includes $725,000 paid on December 22, 2004 for a 1.5 acre vacant land parcel adjacent to the shopping center.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Status Report -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Mortgage or</w:t>
            </w: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w w:val="89"/>
              </w:rPr>
              <w:t>Grocery</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Year</w:t>
            </w:r>
          </w:p>
        </w:tc>
        <w:tc>
          <w:tcPr>
            <w:tcW w:w="820" w:type="dxa"/>
            <w:vAlign w:val="bottom"/>
          </w:tcPr>
          <w:p>
            <w:pPr>
              <w:jc w:val="right"/>
              <w:ind w:right="178"/>
              <w:spacing w:after="0" w:line="149"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Capital Lease</w:t>
            </w:r>
          </w:p>
        </w:tc>
        <w:tc>
          <w:tcPr>
            <w:tcW w:w="520" w:type="dxa"/>
            <w:vAlign w:val="bottom"/>
          </w:tcPr>
          <w:p>
            <w:pPr>
              <w:ind w:left="40"/>
              <w:spacing w:after="0" w:line="149" w:lineRule="exact"/>
              <w:rPr>
                <w:sz w:val="20"/>
                <w:szCs w:val="20"/>
                <w:color w:val="auto"/>
              </w:rPr>
            </w:pPr>
            <w:r>
              <w:rPr>
                <w:rFonts w:ascii="Arial" w:cs="Arial" w:eastAsia="Arial" w:hAnsi="Arial"/>
                <w:sz w:val="14"/>
                <w:szCs w:val="14"/>
                <w:b w:val="1"/>
                <w:bCs w:val="1"/>
                <w:color w:val="auto"/>
                <w:w w:val="93"/>
              </w:rPr>
              <w:t>Anchor</w:t>
            </w:r>
          </w:p>
        </w:tc>
        <w:tc>
          <w:tcPr>
            <w:tcW w:w="220" w:type="dxa"/>
            <w:vAlign w:val="bottom"/>
          </w:tcPr>
          <w:p>
            <w:pPr>
              <w:spacing w:after="0"/>
              <w:rPr>
                <w:sz w:val="12"/>
                <w:szCs w:val="12"/>
                <w:color w:val="auto"/>
              </w:rPr>
            </w:pPr>
          </w:p>
        </w:tc>
        <w:tc>
          <w:tcPr>
            <w:tcW w:w="1240" w:type="dxa"/>
            <w:vAlign w:val="bottom"/>
          </w:tcPr>
          <w:p>
            <w:pPr>
              <w:ind w:left="380"/>
              <w:spacing w:after="0" w:line="149" w:lineRule="exact"/>
              <w:rPr>
                <w:sz w:val="20"/>
                <w:szCs w:val="20"/>
                <w:color w:val="auto"/>
              </w:rPr>
            </w:pPr>
            <w:r>
              <w:rPr>
                <w:rFonts w:ascii="Arial" w:cs="Arial" w:eastAsia="Arial" w:hAnsi="Arial"/>
                <w:sz w:val="14"/>
                <w:szCs w:val="14"/>
                <w:b w:val="1"/>
                <w:bCs w:val="1"/>
                <w:color w:val="auto"/>
              </w:rPr>
              <w:t>Grocery</w:t>
            </w:r>
          </w:p>
        </w:tc>
        <w:tc>
          <w:tcPr>
            <w:tcW w:w="2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Other Principal</w:t>
            </w:r>
          </w:p>
        </w:tc>
        <w:tc>
          <w:tcPr>
            <w:tcW w:w="0" w:type="dxa"/>
            <w:vAlign w:val="bottom"/>
          </w:tcPr>
          <w:p>
            <w:pPr>
              <w:spacing w:after="0"/>
              <w:rPr>
                <w:sz w:val="1"/>
                <w:szCs w:val="1"/>
                <w:color w:val="auto"/>
              </w:rPr>
            </w:pPr>
          </w:p>
        </w:tc>
      </w:tr>
      <w:tr>
        <w:trPr>
          <w:trHeight w:val="174"/>
        </w:trPr>
        <w:tc>
          <w:tcPr>
            <w:tcW w:w="1920" w:type="dxa"/>
            <w:vAlign w:val="bottom"/>
            <w:gridSpan w:val="10"/>
          </w:tcPr>
          <w:p>
            <w:pPr>
              <w:spacing w:after="0"/>
              <w:rPr>
                <w:sz w:val="20"/>
                <w:szCs w:val="20"/>
                <w:color w:val="auto"/>
              </w:rPr>
            </w:pPr>
            <w:r>
              <w:rPr>
                <w:rFonts w:ascii="Arial" w:cs="Arial" w:eastAsia="Arial" w:hAnsi="Arial"/>
                <w:sz w:val="14"/>
                <w:szCs w:val="14"/>
                <w:b w:val="1"/>
                <w:bCs w:val="1"/>
                <w:color w:val="auto"/>
              </w:rPr>
              <w:t>Property Name</w:t>
            </w:r>
          </w:p>
        </w:tc>
        <w:tc>
          <w:tcPr>
            <w:tcW w:w="1240" w:type="dxa"/>
            <w:vAlign w:val="bottom"/>
          </w:tcPr>
          <w:p>
            <w:pPr>
              <w:ind w:left="140"/>
              <w:spacing w:after="0"/>
              <w:rPr>
                <w:sz w:val="20"/>
                <w:szCs w:val="20"/>
                <w:color w:val="auto"/>
              </w:rPr>
            </w:pPr>
            <w:r>
              <w:rPr>
                <w:rFonts w:ascii="Arial" w:cs="Arial" w:eastAsia="Arial" w:hAnsi="Arial"/>
                <w:sz w:val="14"/>
                <w:szCs w:val="14"/>
                <w:b w:val="1"/>
                <w:bCs w:val="1"/>
                <w:color w:val="auto"/>
                <w:w w:val="96"/>
              </w:rPr>
              <w:t>MSA Description</w:t>
            </w:r>
          </w:p>
        </w:tc>
        <w:tc>
          <w:tcPr>
            <w:tcW w:w="22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Acquired</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97"/>
              </w:rPr>
              <w:t>Investment</w:t>
            </w:r>
          </w:p>
        </w:tc>
        <w:tc>
          <w:tcPr>
            <w:tcW w:w="220" w:type="dxa"/>
            <w:vAlign w:val="bottom"/>
          </w:tcPr>
          <w:p>
            <w:pPr>
              <w:spacing w:after="0"/>
              <w:rPr>
                <w:sz w:val="15"/>
                <w:szCs w:val="15"/>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b w:val="1"/>
                <w:bCs w:val="1"/>
                <w:color w:val="auto"/>
              </w:rPr>
              <w:t>GLA</w:t>
            </w:r>
          </w:p>
        </w:tc>
        <w:tc>
          <w:tcPr>
            <w:tcW w:w="220" w:type="dxa"/>
            <w:vAlign w:val="bottom"/>
          </w:tcPr>
          <w:p>
            <w:pPr>
              <w:spacing w:after="0"/>
              <w:rPr>
                <w:sz w:val="15"/>
                <w:szCs w:val="15"/>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6"/>
              </w:rPr>
              <w:t>% Leased</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Obligation</w:t>
            </w: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w w:val="94"/>
              </w:rPr>
              <w:t>GLA (1)</w:t>
            </w:r>
          </w:p>
        </w:tc>
        <w:tc>
          <w:tcPr>
            <w:tcW w:w="220" w:type="dxa"/>
            <w:vAlign w:val="bottom"/>
          </w:tcPr>
          <w:p>
            <w:pPr>
              <w:spacing w:after="0"/>
              <w:rPr>
                <w:sz w:val="15"/>
                <w:szCs w:val="15"/>
                <w:color w:val="auto"/>
              </w:rPr>
            </w:pPr>
          </w:p>
        </w:tc>
        <w:tc>
          <w:tcPr>
            <w:tcW w:w="1240" w:type="dxa"/>
            <w:vAlign w:val="bottom"/>
          </w:tcPr>
          <w:p>
            <w:pPr>
              <w:ind w:left="300"/>
              <w:spacing w:after="0"/>
              <w:rPr>
                <w:sz w:val="20"/>
                <w:szCs w:val="20"/>
                <w:color w:val="auto"/>
              </w:rPr>
            </w:pPr>
            <w:r>
              <w:rPr>
                <w:rFonts w:ascii="Arial" w:cs="Arial" w:eastAsia="Arial" w:hAnsi="Arial"/>
                <w:sz w:val="14"/>
                <w:szCs w:val="14"/>
                <w:b w:val="1"/>
                <w:bCs w:val="1"/>
                <w:color w:val="auto"/>
              </w:rPr>
              <w:t>Anchor (1)</w:t>
            </w:r>
          </w:p>
        </w:tc>
        <w:tc>
          <w:tcPr>
            <w:tcW w:w="2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1"/>
              </w:rPr>
              <w:t>Tenants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82"/>
              </w:rPr>
              <w:t>(in thousands)</w:t>
            </w: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(in thousands)</w:t>
            </w: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Borders>
              <w:bottom w:val="single" w:sz="8" w:color="auto"/>
            </w:tcBorders>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4"/>
              </w:rPr>
              <w:t>East Region</w:t>
            </w:r>
          </w:p>
        </w:tc>
        <w:tc>
          <w:tcPr>
            <w:tcW w:w="1000" w:type="dxa"/>
            <w:vAlign w:val="bottom"/>
            <w:tcBorders>
              <w:bottom w:val="single" w:sz="8" w:color="CCEEFF"/>
            </w:tcBorders>
            <w:gridSpan w:val="5"/>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1920" w:type="dxa"/>
            <w:vAlign w:val="bottom"/>
            <w:gridSpan w:val="10"/>
          </w:tcPr>
          <w:p>
            <w:pPr>
              <w:spacing w:after="0"/>
              <w:rPr>
                <w:sz w:val="20"/>
                <w:szCs w:val="20"/>
                <w:color w:val="auto"/>
              </w:rPr>
            </w:pPr>
            <w:r>
              <w:rPr>
                <w:rFonts w:ascii="Arial" w:cs="Arial" w:eastAsia="Arial" w:hAnsi="Arial"/>
                <w:sz w:val="18"/>
                <w:szCs w:val="18"/>
                <w:b w:val="1"/>
                <w:bCs w:val="1"/>
                <w:color w:val="auto"/>
              </w:rPr>
              <w:t>Washington</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gridSpan w:val="8"/>
          </w:tcPr>
          <w:p>
            <w:pPr>
              <w:spacing w:after="0" w:line="196" w:lineRule="exact"/>
              <w:rPr>
                <w:sz w:val="20"/>
                <w:szCs w:val="20"/>
                <w:color w:val="auto"/>
              </w:rPr>
            </w:pPr>
            <w:r>
              <w:rPr>
                <w:rFonts w:ascii="Arial" w:cs="Arial" w:eastAsia="Arial" w:hAnsi="Arial"/>
                <w:sz w:val="18"/>
                <w:szCs w:val="18"/>
                <w:b w:val="1"/>
                <w:bCs w:val="1"/>
                <w:color w:val="auto"/>
              </w:rPr>
              <w:t>Metropolitan Area</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19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Plaza del Mercado</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w w:val="88"/>
              </w:rPr>
              <w:t>Washington, DC-</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MD-VA</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2004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96,000</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96%</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13,325</w:t>
            </w: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3"/>
              </w:rPr>
              <w:t>25,000</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Giant Food</w:t>
            </w:r>
          </w:p>
        </w:tc>
        <w:tc>
          <w:tcPr>
            <w:tcW w:w="1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CVS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Total</w:t>
            </w: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Washington</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Metropolitan</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Area</w:t>
            </w: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96,000</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96%</w:t>
            </w: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1920" w:type="dxa"/>
            <w:vAlign w:val="bottom"/>
            <w:gridSpan w:val="10"/>
          </w:tcPr>
          <w:p>
            <w:pPr>
              <w:spacing w:after="0"/>
              <w:rPr>
                <w:sz w:val="20"/>
                <w:szCs w:val="20"/>
                <w:color w:val="auto"/>
              </w:rPr>
            </w:pPr>
            <w:r>
              <w:rPr>
                <w:rFonts w:ascii="Arial" w:cs="Arial" w:eastAsia="Arial" w:hAnsi="Arial"/>
                <w:sz w:val="18"/>
                <w:szCs w:val="18"/>
                <w:b w:val="1"/>
                <w:bCs w:val="1"/>
                <w:color w:val="auto"/>
              </w:rPr>
              <w:t>New England</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19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Atlantic Plaza</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Boston-</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Worcester-</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Lawrence-</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Lowell-</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Shaw’s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Brockton, MA</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2004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121,000</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10,500</w:t>
            </w: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3"/>
              </w:rPr>
              <w:t>63,000</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Supermarket</w:t>
            </w:r>
          </w:p>
        </w:tc>
        <w:tc>
          <w:tcPr>
            <w:tcW w:w="1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Sears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00" w:type="dxa"/>
            <w:vAlign w:val="bottom"/>
            <w:gridSpan w:val="9"/>
          </w:tcPr>
          <w:p>
            <w:pPr>
              <w:spacing w:after="0"/>
              <w:rPr>
                <w:sz w:val="20"/>
                <w:szCs w:val="20"/>
                <w:color w:val="auto"/>
              </w:rPr>
            </w:pPr>
            <w:r>
              <w:rPr>
                <w:rFonts w:ascii="Arial" w:cs="Arial" w:eastAsia="Arial" w:hAnsi="Arial"/>
                <w:sz w:val="18"/>
                <w:szCs w:val="18"/>
                <w:color w:val="auto"/>
              </w:rPr>
              <w:t>Campus Plaza</w:t>
            </w:r>
          </w:p>
        </w:tc>
        <w:tc>
          <w:tcPr>
            <w:tcW w:w="1240" w:type="dxa"/>
            <w:vAlign w:val="bottom"/>
          </w:tcPr>
          <w:p>
            <w:pPr>
              <w:spacing w:after="0"/>
              <w:rPr>
                <w:sz w:val="20"/>
                <w:szCs w:val="20"/>
                <w:color w:val="auto"/>
              </w:rPr>
            </w:pPr>
            <w:r>
              <w:rPr>
                <w:rFonts w:ascii="Arial" w:cs="Arial" w:eastAsia="Arial" w:hAnsi="Arial"/>
                <w:sz w:val="18"/>
                <w:szCs w:val="18"/>
                <w:color w:val="auto"/>
              </w:rPr>
              <w:t>Boston-</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Worcester-</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Lawrence-</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Lowell-</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60" w:type="dxa"/>
            <w:vAlign w:val="bottom"/>
            <w:gridSpan w:val="2"/>
          </w:tcPr>
          <w:p>
            <w:pPr>
              <w:ind w:left="220"/>
              <w:spacing w:after="0"/>
              <w:rPr>
                <w:sz w:val="20"/>
                <w:szCs w:val="20"/>
                <w:color w:val="auto"/>
              </w:rPr>
            </w:pPr>
            <w:r>
              <w:rPr>
                <w:rFonts w:ascii="Arial" w:cs="Arial" w:eastAsia="Arial" w:hAnsi="Arial"/>
                <w:sz w:val="18"/>
                <w:szCs w:val="18"/>
                <w:color w:val="auto"/>
                <w:w w:val="98"/>
              </w:rPr>
              <w:t>Burlington Coat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Brockton, MA</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2004</w:t>
            </w:r>
          </w:p>
        </w:tc>
        <w:tc>
          <w:tcPr>
            <w:tcW w:w="820" w:type="dxa"/>
            <w:vAlign w:val="bottom"/>
          </w:tcPr>
          <w:p>
            <w:pPr>
              <w:jc w:val="right"/>
              <w:spacing w:after="0"/>
              <w:rPr>
                <w:sz w:val="20"/>
                <w:szCs w:val="20"/>
                <w:color w:val="auto"/>
              </w:rPr>
            </w:pPr>
            <w:r>
              <w:rPr>
                <w:rFonts w:ascii="Arial" w:cs="Arial" w:eastAsia="Arial" w:hAnsi="Arial"/>
                <w:sz w:val="18"/>
                <w:szCs w:val="18"/>
                <w:color w:val="auto"/>
              </w:rPr>
              <w:t>21,610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115,000</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99%</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11,000</w:t>
            </w:r>
          </w:p>
        </w:tc>
        <w:tc>
          <w:tcPr>
            <w:tcW w:w="520" w:type="dxa"/>
            <w:vAlign w:val="bottom"/>
          </w:tcPr>
          <w:p>
            <w:pPr>
              <w:ind w:left="40"/>
              <w:spacing w:after="0"/>
              <w:rPr>
                <w:sz w:val="20"/>
                <w:szCs w:val="20"/>
                <w:color w:val="auto"/>
              </w:rPr>
            </w:pPr>
            <w:r>
              <w:rPr>
                <w:rFonts w:ascii="Arial" w:cs="Arial" w:eastAsia="Arial" w:hAnsi="Arial"/>
                <w:sz w:val="18"/>
                <w:szCs w:val="18"/>
                <w:color w:val="auto"/>
                <w:w w:val="83"/>
              </w:rPr>
              <w:t>46,000</w:t>
            </w:r>
          </w:p>
        </w:tc>
        <w:tc>
          <w:tcPr>
            <w:tcW w:w="22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8"/>
                <w:szCs w:val="18"/>
                <w:color w:val="auto"/>
                <w:w w:val="97"/>
              </w:rPr>
              <w:t>Roche Brothers</w:t>
            </w:r>
          </w:p>
        </w:tc>
        <w:tc>
          <w:tcPr>
            <w:tcW w:w="1460" w:type="dxa"/>
            <w:vAlign w:val="bottom"/>
            <w:gridSpan w:val="2"/>
          </w:tcPr>
          <w:p>
            <w:pPr>
              <w:ind w:left="220"/>
              <w:spacing w:after="0"/>
              <w:rPr>
                <w:sz w:val="20"/>
                <w:szCs w:val="20"/>
                <w:color w:val="auto"/>
              </w:rPr>
            </w:pPr>
            <w:r>
              <w:rPr>
                <w:rFonts w:ascii="Arial" w:cs="Arial" w:eastAsia="Arial" w:hAnsi="Arial"/>
                <w:sz w:val="18"/>
                <w:szCs w:val="18"/>
                <w:color w:val="auto"/>
              </w:rPr>
              <w:t>Factory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Pleasant Shops</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Boston-</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Worcester-</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Lawrence-</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Lowell-</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Brockton, MA</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2004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128,000</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12,400</w:t>
            </w: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3"/>
              </w:rPr>
              <w:t>38,000</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Foodmaster</w:t>
            </w:r>
          </w:p>
        </w:tc>
        <w:tc>
          <w:tcPr>
            <w:tcW w:w="1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Marshalls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Total New</w:t>
            </w: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England</w:t>
            </w: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60,239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364,000</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b w:val="1"/>
                <w:bCs w:val="1"/>
                <w:color w:val="auto"/>
              </w:rPr>
              <w:t>Total East</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8"/>
                <w:szCs w:val="18"/>
                <w:b w:val="1"/>
                <w:bCs w:val="1"/>
                <w:color w:val="auto"/>
              </w:rPr>
              <w:t>Region</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80,969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460,000</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99%</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Total</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80,969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460,000</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99%</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47,225</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920" w:type="dxa"/>
            <w:vAlign w:val="bottom"/>
            <w:gridSpan w:val="10"/>
          </w:tcPr>
          <w:p>
            <w:pPr>
              <w:spacing w:after="0"/>
              <w:rPr>
                <w:sz w:val="20"/>
                <w:szCs w:val="20"/>
                <w:color w:val="auto"/>
              </w:rPr>
            </w:pPr>
            <w:r>
              <w:rPr>
                <w:rFonts w:ascii="Arial" w:cs="Arial" w:eastAsia="Arial" w:hAnsi="Arial"/>
                <w:sz w:val="18"/>
                <w:szCs w:val="18"/>
                <w:color w:val="auto"/>
              </w:rPr>
              <w:t>Notes:</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5620" w:right="5260" w:hanging="5612"/>
        <w:spacing w:after="0" w:line="408" w:lineRule="auto"/>
        <w:tabs>
          <w:tab w:leader="none" w:pos="448" w:val="left"/>
        </w:tabs>
        <w:numPr>
          <w:ilvl w:val="0"/>
          <w:numId w:val="26"/>
        </w:numPr>
        <w:rPr>
          <w:rFonts w:ascii="Arial" w:cs="Arial" w:eastAsia="Arial" w:hAnsi="Arial"/>
          <w:sz w:val="15"/>
          <w:szCs w:val="15"/>
          <w:color w:val="auto"/>
        </w:rPr>
      </w:pPr>
      <w:r>
        <w:rPr>
          <w:rFonts w:ascii="Arial" w:cs="Arial" w:eastAsia="Arial" w:hAnsi="Arial"/>
          <w:sz w:val="15"/>
          <w:szCs w:val="15"/>
          <w:color w:val="auto"/>
        </w:rPr>
        <w:t>Grocery anchor is defined as a grocery tenant leasing 15,000 square feet or more. 30</w:t>
      </w:r>
    </w:p>
    <w:p>
      <w:pPr>
        <w:sectPr>
          <w:pgSz w:w="11900" w:h="16838" w:orient="portrait"/>
          <w:cols w:equalWidth="0" w:num="1">
            <w:col w:w="11420"/>
          </w:cols>
          <w:pgMar w:left="240" w:top="274" w:right="2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Glossary of Terms</w:t>
      </w:r>
    </w:p>
    <w:p>
      <w:pPr>
        <w:spacing w:after="0" w:line="158"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Adjusted EBITDA</w:t>
      </w:r>
      <w:r>
        <w:rPr>
          <w:rFonts w:ascii="Arial" w:cs="Arial" w:eastAsia="Arial" w:hAnsi="Arial"/>
          <w:sz w:val="16"/>
          <w:szCs w:val="16"/>
          <w:color w:val="auto"/>
        </w:rPr>
        <w:t>: EBITDA is a non-GAAP measure that means net income or loss plus interest expense, income taxes, depreciation and amortization; adjusted</w:t>
      </w:r>
      <w:r>
        <w:rPr>
          <w:rFonts w:ascii="Arial" w:cs="Arial" w:eastAsia="Arial" w:hAnsi="Arial"/>
          <w:sz w:val="16"/>
          <w:szCs w:val="16"/>
          <w:b w:val="1"/>
          <w:bCs w:val="1"/>
          <w:color w:val="auto"/>
        </w:rPr>
        <w:t xml:space="preserve"> </w:t>
      </w:r>
      <w:r>
        <w:rPr>
          <w:rFonts w:ascii="Arial" w:cs="Arial" w:eastAsia="Arial" w:hAnsi="Arial"/>
          <w:sz w:val="16"/>
          <w:szCs w:val="16"/>
          <w:color w:val="auto"/>
        </w:rPr>
        <w:t>for gain or loss on sale of assets, impairment provisions, provision for loss on equity securities and other nonrecurring expenses. EBITDA is presented because it provides useful information regarding our ability to service debt. Adjusted EBITDA should not be considered an alternative measure of operating results or cash flow from operations as determined in accordance with GAAP. The reconciliation of EBITDA, adjusted for discontinued operations, to net income for the twelve months ended December 31, 2004 and 2003 is as follows:</w:t>
      </w:r>
    </w:p>
    <w:p>
      <w:pPr>
        <w:spacing w:after="0" w:line="96"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For the Twelve Months Ended</w:t>
      </w:r>
    </w:p>
    <w:p>
      <w:pPr>
        <w:spacing w:after="0" w:line="1"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60325</wp:posOffset>
            </wp:positionV>
            <wp:extent cx="129476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5"/>
          </w:tcPr>
          <w:p>
            <w:pPr>
              <w:ind w:left="460"/>
              <w:spacing w:after="0"/>
              <w:rPr>
                <w:sz w:val="20"/>
                <w:szCs w:val="20"/>
                <w:color w:val="auto"/>
              </w:rPr>
            </w:pPr>
            <w:r>
              <w:rPr>
                <w:rFonts w:ascii="Arial" w:cs="Arial" w:eastAsia="Arial" w:hAnsi="Arial"/>
                <w:sz w:val="14"/>
                <w:szCs w:val="14"/>
                <w:b w:val="1"/>
                <w:bCs w:val="1"/>
                <w:color w:val="auto"/>
                <w:w w:val="84"/>
              </w:rPr>
              <w:t>(in thousands)</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198"/>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96"/>
              <w:spacing w:after="0"/>
              <w:rPr>
                <w:sz w:val="20"/>
                <w:szCs w:val="20"/>
                <w:color w:val="auto"/>
              </w:rPr>
            </w:pPr>
            <w:r>
              <w:rPr>
                <w:rFonts w:ascii="Arial" w:cs="Arial" w:eastAsia="Arial" w:hAnsi="Arial"/>
                <w:sz w:val="14"/>
                <w:szCs w:val="14"/>
                <w:b w:val="1"/>
                <w:bCs w:val="1"/>
                <w:color w:val="auto"/>
                <w:w w:val="96"/>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6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84,156</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89,709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75,089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85,058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(Gain) on sale of real estate</w:t>
            </w:r>
          </w:p>
        </w:tc>
        <w:tc>
          <w:tcPr>
            <w:tcW w:w="2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(14,052)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(20,053)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6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244,871</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224,765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-29210</wp:posOffset>
            </wp:positionV>
            <wp:extent cx="1270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-29210</wp:posOffset>
            </wp:positionV>
            <wp:extent cx="2159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38735"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553085"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53085" cy="29845"/>
                    </a:xfrm>
                    <a:prstGeom prst="rect">
                      <a:avLst/>
                    </a:prstGeom>
                    <a:noFill/>
                  </pic:spPr>
                </pic:pic>
              </a:graphicData>
            </a:graphic>
          </wp:anchor>
        </w:drawing>
      </w:r>
    </w:p>
    <w:p>
      <w:pPr>
        <w:spacing w:after="0" w:line="219"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color w:val="auto"/>
        </w:rPr>
        <w:t xml:space="preserve">Funds From Operations (FFO): </w:t>
      </w:r>
      <w:r>
        <w:rPr>
          <w:rFonts w:ascii="Arial" w:cs="Arial" w:eastAsia="Arial" w:hAnsi="Arial"/>
          <w:sz w:val="16"/>
          <w:szCs w:val="16"/>
          <w:color w:val="auto"/>
        </w:rPr>
        <w:t>FFO is a supplemental measure of real estate companies’ operating performances. The National Association of Real Estate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Trusts (“NAREIT”) defines FFO as follows: income available for common shareholders before depreciation and amortization of real estate assets and before extraordinary items less gains and losses on sale of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because it primarily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Property Operating Income: </w:t>
      </w:r>
      <w:r>
        <w:rPr>
          <w:rFonts w:ascii="Arial" w:cs="Arial" w:eastAsia="Arial" w:hAnsi="Arial"/>
          <w:sz w:val="18"/>
          <w:szCs w:val="18"/>
          <w:color w:val="auto"/>
        </w:rPr>
        <w:t>Gross revenues, including interest income, less rental expenses and real estate taxes.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 Portfolio</w:t>
      </w:r>
      <w:r>
        <w:rPr>
          <w:rFonts w:ascii="Arial" w:cs="Arial" w:eastAsia="Arial" w:hAnsi="Arial"/>
          <w:sz w:val="18"/>
          <w:szCs w:val="18"/>
          <w:color w:val="auto"/>
        </w:rPr>
        <w:t>: Includes all operating properties owned in reporting period.</w:t>
      </w:r>
    </w:p>
    <w:p>
      <w:pPr>
        <w:spacing w:after="0" w:line="158"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color w:val="auto"/>
        </w:rPr>
        <w:t xml:space="preserve">Same Center: </w:t>
      </w:r>
      <w:r>
        <w:rPr>
          <w:rFonts w:ascii="Arial" w:cs="Arial" w:eastAsia="Arial" w:hAnsi="Arial"/>
          <w:sz w:val="18"/>
          <w:szCs w:val="18"/>
          <w:color w:val="auto"/>
        </w:rPr>
        <w:t>Information provided on a same center basis is provided for only those properties that were owned and operated for the entirety of both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being compared, excludes properties that were redeveloped, expanded or under development and properties purchased or sold at any time during the periods being compared.</w:t>
      </w:r>
    </w:p>
    <w:p>
      <w:pPr>
        <w:spacing w:after="0" w:line="119" w:lineRule="exact"/>
        <w:rPr>
          <w:sz w:val="20"/>
          <w:szCs w:val="20"/>
          <w:color w:val="auto"/>
        </w:rPr>
      </w:pPr>
    </w:p>
    <w:p>
      <w:pPr>
        <w:ind w:right="440"/>
        <w:spacing w:after="0" w:line="339" w:lineRule="auto"/>
        <w:rPr>
          <w:sz w:val="20"/>
          <w:szCs w:val="20"/>
          <w:color w:val="auto"/>
        </w:rPr>
      </w:pPr>
      <w:r>
        <w:rPr>
          <w:rFonts w:ascii="Arial" w:cs="Arial" w:eastAsia="Arial" w:hAnsi="Arial"/>
          <w:sz w:val="16"/>
          <w:szCs w:val="16"/>
          <w:b w:val="1"/>
          <w:bCs w:val="1"/>
          <w:color w:val="auto"/>
        </w:rPr>
        <w:t>Tenant improvements</w:t>
      </w:r>
      <w:r>
        <w:rPr>
          <w:rFonts w:ascii="Arial" w:cs="Arial" w:eastAsia="Arial" w:hAnsi="Arial"/>
          <w:sz w:val="16"/>
          <w:szCs w:val="16"/>
          <w:color w:val="auto"/>
        </w:rPr>
        <w:t>: Represents not only the total dollars committed for the improvement (fit-out) of a space as it relates to a specific lease but may also</w:t>
      </w:r>
      <w:r>
        <w:rPr>
          <w:rFonts w:ascii="Arial" w:cs="Arial" w:eastAsia="Arial" w:hAnsi="Arial"/>
          <w:sz w:val="16"/>
          <w:szCs w:val="16"/>
          <w:b w:val="1"/>
          <w:bCs w:val="1"/>
          <w:color w:val="auto"/>
        </w:rPr>
        <w:t xml:space="preserve"> </w:t>
      </w:r>
      <w:r>
        <w:rPr>
          <w:rFonts w:ascii="Arial" w:cs="Arial" w:eastAsia="Arial" w:hAnsi="Arial"/>
          <w:sz w:val="16"/>
          <w:szCs w:val="16"/>
          <w:color w:val="auto"/>
        </w:rPr>
        <w:t>include base building costs (i.e. expansion, escalators or new entrances) which are required to make the space leasable.</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decimal"/>
      <w:start w:val="3"/>
    </w:lvl>
  </w:abstractNum>
  <w:abstractNum w:abstractNumId="2">
    <w:nsid w:val="7FDCC233"/>
    <w:multiLevelType w:val="hybridMultilevel"/>
    <w:lvl w:ilvl="0">
      <w:lvlJc w:val="left"/>
      <w:lvlText w:val="%1."/>
      <w:numFmt w:val="decimal"/>
      <w:start w:val="8"/>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lvl w:ilvl="1">
      <w:lvlJc w:val="left"/>
      <w:lvlText w:val="\endash "/>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lvl w:ilvl="1">
      <w:lvlJc w:val="left"/>
      <w:lvlText w:val="\endash "/>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lowerLetter"/>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2019-12-11T17:56:09Z</dcterms:created>
  <dcterms:modified xsi:type="dcterms:W3CDTF">2019-12-11T17:56:09Z</dcterms:modified>
</cp:coreProperties>
</file>