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9,409.802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1.436 shares acquired through the dividend reinvestment program since the last Form 4 filing.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2019-12-17T11:31:58Z</dcterms:created>
  <dcterms:modified xsi:type="dcterms:W3CDTF">2019-12-17T11:31:58Z</dcterms:modified>
</cp:coreProperties>
</file>