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PURSUANT TO RULE 424(b)(2)</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033-51029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7, 1995)</w:t>
      </w:r>
    </w:p>
    <w:p>
      <w:pPr>
        <w:spacing w:after="0"/>
        <w:rPr>
          <w:sz w:val="20"/>
          <w:szCs w:val="20"/>
          <w:color w:val="auto"/>
        </w:rPr>
      </w:pPr>
      <w:r>
        <w:rPr>
          <w:rFonts w:ascii="Courier New" w:cs="Courier New" w:eastAsia="Courier New" w:hAnsi="Courier New"/>
          <w:sz w:val="18"/>
          <w:szCs w:val="18"/>
          <w:color w:val="auto"/>
        </w:rPr>
        <w:t>1,818,182 Shares</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 LOGO]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38" w:lineRule="auto"/>
        <w:rPr>
          <w:sz w:val="20"/>
          <w:szCs w:val="20"/>
          <w:color w:val="auto"/>
        </w:rPr>
      </w:pPr>
      <w:r>
        <w:rPr>
          <w:rFonts w:ascii="Courier New" w:cs="Courier New" w:eastAsia="Courier New" w:hAnsi="Courier New"/>
          <w:sz w:val="18"/>
          <w:szCs w:val="18"/>
          <w:color w:val="auto"/>
        </w:rPr>
        <w:t>(no par or stated value)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Founded in 1962, Federal Realty Investment Trust (the "Trust") is an owner, operator and redeveloper of community and neighborhood shopping centers. At May 21, 1996, the Trust owned 73 retail properties, principally community and neighborhood shopping centers. The Trust is offering 1,818,182 common shares of beneficial interest, no par or stated value (the "Shares"). The Trust's Shares are listed on the New York Stock Exchange under the symbol "FRT." The last reported sale price for the Shares on May 21, 1996 was $21 1/8.</w:t>
      </w:r>
    </w:p>
    <w:p>
      <w:pPr>
        <w:spacing w:after="0" w:line="211" w:lineRule="exact"/>
        <w:rPr>
          <w:sz w:val="24"/>
          <w:szCs w:val="24"/>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ACCOMPANYING PROSPECTUS. ANY REPRESENTATION TO THE CONTRARY IS A CRIMINAL OFFENSE.</w:t>
      </w: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160" w:right="3039"/>
        <w:spacing w:after="0" w:line="235" w:lineRule="auto"/>
        <w:rPr>
          <w:sz w:val="20"/>
          <w:szCs w:val="20"/>
          <w:color w:val="auto"/>
        </w:rPr>
      </w:pPr>
      <w:r>
        <w:rPr>
          <w:rFonts w:ascii="Courier New" w:cs="Courier New" w:eastAsia="Courier New" w:hAnsi="Courier New"/>
          <w:sz w:val="18"/>
          <w:szCs w:val="18"/>
          <w:color w:val="auto"/>
        </w:rPr>
        <w:t>PRICE TO UNDERWRITING PROCEEDS TO PUBLIC DISCOUNT (1) TRUST (2)</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Per Share</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$22.00</w:t>
            </w:r>
          </w:p>
        </w:tc>
        <w:tc>
          <w:tcPr>
            <w:tcW w:w="2260" w:type="dxa"/>
            <w:vAlign w:val="bottom"/>
          </w:tcPr>
          <w:p>
            <w:pPr>
              <w:ind w:left="620"/>
              <w:spacing w:after="0"/>
              <w:rPr>
                <w:sz w:val="20"/>
                <w:szCs w:val="20"/>
                <w:color w:val="auto"/>
              </w:rPr>
            </w:pPr>
            <w:r>
              <w:rPr>
                <w:rFonts w:ascii="Courier New" w:cs="Courier New" w:eastAsia="Courier New" w:hAnsi="Courier New"/>
                <w:sz w:val="18"/>
                <w:szCs w:val="18"/>
                <w:color w:val="auto"/>
              </w:rPr>
              <w:t>$0.33</w:t>
            </w:r>
          </w:p>
        </w:tc>
        <w:tc>
          <w:tcPr>
            <w:tcW w:w="2160" w:type="dxa"/>
            <w:vAlign w:val="bottom"/>
          </w:tcPr>
          <w:p>
            <w:pPr>
              <w:ind w:left="800"/>
              <w:spacing w:after="0"/>
              <w:rPr>
                <w:sz w:val="20"/>
                <w:szCs w:val="20"/>
                <w:color w:val="auto"/>
              </w:rPr>
            </w:pPr>
            <w:r>
              <w:rPr>
                <w:rFonts w:ascii="Courier New" w:cs="Courier New" w:eastAsia="Courier New" w:hAnsi="Courier New"/>
                <w:sz w:val="18"/>
                <w:szCs w:val="18"/>
                <w:color w:val="auto"/>
              </w:rPr>
              <w:t>$21.67</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$40,000,004</w:t>
            </w:r>
          </w:p>
        </w:tc>
        <w:tc>
          <w:tcPr>
            <w:tcW w:w="2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$600,000</w:t>
            </w:r>
          </w:p>
        </w:tc>
        <w:tc>
          <w:tcPr>
            <w:tcW w:w="21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$39,400,004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(1)The Trust has agreed to indemnify the Underwriter against certain liabilities, including liabilities under the Securities Act of 1933, as amended. See "Underwriting."</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(2)Before deducting expenses payable by the Trust estimated at $60,000.</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Shares offered by this Prospectus Supplement are being offered by the Underwriter, subject to prior sale, when, as and if delivered to and accepted by the Underwriter, and subject to approval of certain legal matters by Brown &amp; Wood, counsel for the Underwriter, and certain other conditions. It is expected that delivery of the Shares will be made against payment therefor in immediately available funds on or about May 24, 1996 at the offices of J.P. Morgan Securities Inc., 60 Wall Street, New York, New York 10260.</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J.P. MORGAN &amp;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21, 1996</w:t>
      </w:r>
    </w:p>
    <w:p>
      <w:pPr>
        <w:sectPr>
          <w:pgSz w:w="11900" w:h="16838" w:orient="portrait"/>
          <w:cols w:equalWidth="0" w:num="1">
            <w:col w:w="10219"/>
          </w:cols>
          <w:pgMar w:left="240" w:top="447" w:right="1440" w:bottom="1440" w:gutter="0" w:footer="0" w:header="0"/>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IN CONNECTION WITH THIS OFFERING, THE UNDERWRITER MAY OVER-ALLOT OR EFFECT TRANSACTIONS WHICH STABILIZE OR MAINTAIN THE MARKET PRICE OF THE SHARES OF THE TRUST AT A LEVEL ABOVE THAT WHICH MIGHT OTHERWISE PREVAIL IN THE OPEN MARKET. SUCH TRANSACTIONS MAY BE EFFECTED ON THE NEW YORK STOCK EXCHANGE OR OTHERWISE. SUCH STABILIZING, IF COMMENCED, MAY BE DISCONTINUED AT ANY TIME.</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No person has been authorized in connection with the offering made hereby to give any information or to make any representation not contained in this Prospectus Supplement or the Prospectus and, if given or made, such information or representation must not be relied upon as having been authorized by the Trust or the Underwriter. This Prospectus Supplement and the Prospectus do not constitute an offer to sell or a solicitation of an offer to buy any of the Shares offered hereby to any person or by anyone in any jurisdiction in which it is unlawful to make such offer or solicitation. Neither the delivery of this Prospectus Supplement and Prospectus nor any sale made hereunder shall, under any circumstances, create any implication that the information contained herein is correct as of any date subsequent to the date hereof.</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TABLE OF</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CONTENTS</w:t>
            </w:r>
          </w:p>
        </w:tc>
      </w:tr>
      <w:tr>
        <w:trPr>
          <w:trHeight w:val="405"/>
        </w:trPr>
        <w:tc>
          <w:tcPr>
            <w:tcW w:w="306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PROSPECTUS SUPPLEMENT</w:t>
            </w:r>
          </w:p>
        </w:tc>
      </w:tr>
      <w:tr>
        <w:trPr>
          <w:trHeight w:val="810"/>
        </w:trPr>
        <w:tc>
          <w:tcPr>
            <w:tcW w:w="30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060" w:type="dxa"/>
            <w:vAlign w:val="bottom"/>
          </w:tcPr>
          <w:p>
            <w:pPr>
              <w:spacing w:after="0"/>
              <w:rPr>
                <w:sz w:val="24"/>
                <w:szCs w:val="24"/>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80"/>
              </w:rPr>
              <w:t>The Trust .........................</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S-3</w:t>
            </w:r>
          </w:p>
        </w:tc>
        <w:tc>
          <w:tcPr>
            <w:tcW w:w="106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Use of Proceeds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Price Range of the Shares and</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9"/>
              </w:rPr>
              <w:t>Distributions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Underwriting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S-4</w:t>
            </w:r>
          </w:p>
        </w:tc>
        <w:tc>
          <w:tcPr>
            <w:tcW w:w="1060" w:type="dxa"/>
            <w:vAlign w:val="bottom"/>
          </w:tcPr>
          <w:p>
            <w:pPr>
              <w:spacing w:after="0"/>
              <w:rPr>
                <w:sz w:val="17"/>
                <w:szCs w:val="17"/>
                <w:color w:val="auto"/>
              </w:rPr>
            </w:pPr>
          </w:p>
        </w:tc>
      </w:tr>
      <w:tr>
        <w:trPr>
          <w:trHeight w:val="608"/>
        </w:trPr>
        <w:tc>
          <w:tcPr>
            <w:tcW w:w="30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PROSPECTUS</w:t>
            </w:r>
          </w:p>
        </w:tc>
      </w:tr>
      <w:tr>
        <w:trPr>
          <w:trHeight w:val="810"/>
        </w:trPr>
        <w:tc>
          <w:tcPr>
            <w:tcW w:w="30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060" w:type="dxa"/>
            <w:vAlign w:val="bottom"/>
          </w:tcPr>
          <w:p>
            <w:pPr>
              <w:spacing w:after="0"/>
              <w:rPr>
                <w:sz w:val="24"/>
                <w:szCs w:val="24"/>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80"/>
              </w:rPr>
              <w:t>Available Information .............</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1060" w:type="dxa"/>
            <w:vAlign w:val="bottom"/>
          </w:tcPr>
          <w:p>
            <w:pPr>
              <w:spacing w:after="0"/>
              <w:rPr>
                <w:sz w:val="24"/>
                <w:szCs w:val="24"/>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of Certain Documents</w:t>
            </w: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9"/>
              </w:rPr>
              <w:t>by Reference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The Trust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Use of Proceeds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Ratios of Earnings to Fixed</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9"/>
              </w:rPr>
              <w:t>Charges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Description of Debt Securities ....   4</w:t>
            </w:r>
          </w:p>
        </w:tc>
        <w:tc>
          <w:tcPr>
            <w:tcW w:w="106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Description of Preferred Shares ...  15</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Common Shares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21</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Plan of Distribution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Legal Opinions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Experts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spacing w:after="0"/>
              <w:rPr>
                <w:sz w:val="17"/>
                <w:szCs w:val="17"/>
                <w:color w:val="auto"/>
              </w:rPr>
            </w:pPr>
          </w:p>
        </w:tc>
      </w:tr>
      <w:tr>
        <w:trPr>
          <w:trHeight w:val="608"/>
        </w:trPr>
        <w:tc>
          <w:tcPr>
            <w:tcW w:w="306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2"/>
              </w:rPr>
              <w:t>S-2</w:t>
            </w:r>
          </w:p>
        </w:tc>
      </w:tr>
    </w:tbl>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retail properties, principally community and neighborhood shopping centers. Founded in 1962, the Trust is a self-administered real estate investment trust that manages, leases and supervises renovation of its properties. At May 21, 1996, the Trust owned 73 retail properties. At March 31, 1996, the occupancy rate of the core retail portfolio (which excludes properties acquired in the previous twelve months and centers under redevelopment) was 95%. Including all retail properties owned at March 31, 1996, the occupancy rate was 95%.</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Trust intends to continue its acquisition of retail properties, both shopping center and main street retail buildings, and redevelopment activities in 1996. Acquisitions are targeted for the Trust's core major metropolitan markets of New York/New Jersey, Philadelphia, Baltimore/Washington, D.C., Chicago, Illinois, and Boston, Massachusetts. In addition, the Trust is also pursuing site acquisitions in its core markets to permit the Trust to develop new shopping centers. The Trust, a District of Columbia business trust of unlimited duration, maintains its offices at 4800 Hampden Lane, Bethesda, Maryland 20814 (telephone 301/652-3360).</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net proceeds to the Trust from the sale of the Shares offered hereby, are estimated to be $39,340,000. The Trust intends to use the proceeds to repay debt, principally the Trust's revolving credit facilities.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PRICE RANGE OF THE SHARES AND DISTRIBUTIONS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Trust's Shares are listed on the New York Stock Exchange under the symbol "FRT." The following table sets forth the high and low sale prices of the Shares for the periods indicated and the distributions made per Share in such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DISTRIBUTIONS</w:t>
            </w:r>
          </w:p>
        </w:tc>
      </w:tr>
      <w:tr>
        <w:trPr>
          <w:trHeight w:val="203"/>
        </w:trPr>
        <w:tc>
          <w:tcPr>
            <w:tcW w:w="3900" w:type="dxa"/>
            <w:vAlign w:val="bottom"/>
          </w:tcPr>
          <w:p>
            <w:pPr>
              <w:spacing w:after="0"/>
              <w:rPr>
                <w:sz w:val="17"/>
                <w:szCs w:val="17"/>
                <w:color w:val="auto"/>
              </w:rPr>
            </w:pPr>
          </w:p>
        </w:tc>
        <w:tc>
          <w:tcPr>
            <w:tcW w:w="1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HIGH</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LOW</w:t>
            </w:r>
          </w:p>
        </w:tc>
        <w:tc>
          <w:tcPr>
            <w:tcW w:w="42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MADE</w:t>
            </w:r>
          </w:p>
        </w:tc>
      </w:tr>
      <w:tr>
        <w:trPr>
          <w:trHeight w:val="203"/>
        </w:trPr>
        <w:tc>
          <w:tcPr>
            <w:tcW w:w="3900" w:type="dxa"/>
            <w:vAlign w:val="bottom"/>
          </w:tcPr>
          <w:p>
            <w:pPr>
              <w:spacing w:after="0"/>
              <w:rPr>
                <w:sz w:val="17"/>
                <w:szCs w:val="17"/>
                <w:color w:val="auto"/>
              </w:rPr>
            </w:pP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1st Quarter</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 1/2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.390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2nd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3rd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4th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1st Quarter</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83"/>
              </w:rPr>
              <w:t>22</w:t>
            </w:r>
          </w:p>
        </w:tc>
        <w:tc>
          <w:tcPr>
            <w:tcW w:w="48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2nd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3rd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4th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1st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2nd Quarter (through May 21, 1996)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w:t>
            </w:r>
          </w:p>
        </w:tc>
      </w:tr>
    </w:tbl>
    <w:p>
      <w:pPr>
        <w:spacing w:after="0" w:line="200" w:lineRule="exact"/>
        <w:rPr>
          <w:sz w:val="20"/>
          <w:szCs w:val="20"/>
          <w:color w:val="auto"/>
        </w:rPr>
      </w:pP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last reported sale price of the Shares on the New York Stock Exchange on May 21, 1996 was $21 1/8 per Share. As of December 31, 1995, there were 5,342 registered holders of Shares.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The Trust has made 134 consecutive quarterly distributions and has increased its distribution rate every year for each of the last 28 years. The current indicated annual distribution rate is $1.64 per Share. The Trust's ability to make distributions depends on a number of factors, including its net cash provided by operating activities, capital commitments and debt repayment schedules.</w:t>
      </w:r>
    </w:p>
    <w:p>
      <w:pPr>
        <w:spacing w:after="0" w:line="210"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1991, cash distributions per Share made to shareholders have been taxable as set forth below.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396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260" w:type="dxa"/>
            <w:vAlign w:val="bottom"/>
          </w:tcPr>
          <w:p>
            <w:pPr>
              <w:spacing w:after="0"/>
              <w:rPr>
                <w:sz w:val="17"/>
                <w:szCs w:val="17"/>
                <w:color w:val="auto"/>
              </w:rPr>
            </w:pPr>
          </w:p>
        </w:tc>
        <w:tc>
          <w:tcPr>
            <w:tcW w:w="39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Ordinary income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.83</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.610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$1.095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.815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$1.165</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Return of capital</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w:t>
            </w:r>
          </w:p>
        </w:tc>
      </w:tr>
    </w:tbl>
    <w:p>
      <w:pPr>
        <w:ind w:left="4020" w:hanging="641"/>
        <w:spacing w:after="0" w:line="238" w:lineRule="auto"/>
        <w:tabs>
          <w:tab w:leader="none" w:pos="40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distributions made  $1.49 $1.525 $1.545 $1.565 $1.595</w:t>
      </w:r>
    </w:p>
    <w:p>
      <w:pPr>
        <w:jc w:val="center"/>
        <w:ind w:right="-20"/>
        <w:spacing w:after="0"/>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Trust offers a dividend reinvestment plan which allows its shareholders to automatically reinvest distributions, as well as make voluntary cash payments towards the purchase of additional Shares.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Under the terms and subject to the conditions contained in an Underwriting Agreement dated the date hereof (the "Underwriting Agreement"), the Underwriter, J.P. Morgan Securities Inc., has agreed to purchase, and the Trust has agreed to sell, all of the Shares. The Underwriting Agreement provides that the obligations of the Underwriter to pay for and accept delivery of the Shares offered hereby are subject to the approval of certain legal matters by its counsel and to certain other conditions. The Underwriter is committed to take and pay for all of the Shares offered hereby if any are taken.</w:t>
      </w:r>
    </w:p>
    <w:p>
      <w:pPr>
        <w:spacing w:after="0" w:line="18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the Underwriting Agreement, the Trust has agreed to indemnify the Underwriter against certain liabilities, including liabilities under the Securities Act of 1933, as amended, or to contribute to payments the Underwriter may be required to make in respect thereof.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23"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[FEDERAL REALTY INVESTMENT TRUST LOGO]</w:t>
      </w:r>
    </w:p>
    <w:p>
      <w:pPr>
        <w:jc w:val="center"/>
        <w:ind w:right="1999"/>
        <w:spacing w:after="0" w:line="238" w:lineRule="auto"/>
        <w:rPr>
          <w:sz w:val="20"/>
          <w:szCs w:val="20"/>
          <w:color w:val="auto"/>
        </w:rPr>
      </w:pPr>
      <w:r>
        <w:rPr>
          <w:rFonts w:ascii="Courier New" w:cs="Courier New" w:eastAsia="Courier New" w:hAnsi="Courier New"/>
          <w:sz w:val="18"/>
          <w:szCs w:val="18"/>
          <w:color w:val="auto"/>
        </w:rPr>
        <w:t>$480,000,000</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999"/>
        <w:spacing w:after="0" w:line="273"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20" w:right="2099" w:firstLine="105"/>
        <w:spacing w:after="0" w:line="290"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7, 1995.</w:t>
      </w:r>
    </w:p>
    <w:p>
      <w:pPr>
        <w:sectPr>
          <w:pgSz w:w="11900" w:h="16838" w:orient="portrait"/>
          <w:cols w:equalWidth="0" w:num="1">
            <w:col w:w="10219"/>
          </w:cols>
          <w:pgMar w:left="240" w:top="919" w:right="1440" w:bottom="767"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90" w:lineRule="auto"/>
        <w:tabs>
          <w:tab w:leader="none" w:pos="74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210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420"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SIX</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MONTHS</w:t>
            </w:r>
          </w:p>
        </w:tc>
      </w:tr>
      <w:tr>
        <w:trPr>
          <w:trHeight w:val="203"/>
        </w:trPr>
        <w:tc>
          <w:tcPr>
            <w:tcW w:w="1040" w:type="dxa"/>
            <w:vAlign w:val="bottom"/>
          </w:tcPr>
          <w:p>
            <w:pPr>
              <w:spacing w:after="0"/>
              <w:rPr>
                <w:sz w:val="17"/>
                <w:szCs w:val="17"/>
                <w:color w:val="auto"/>
              </w:rPr>
            </w:pPr>
          </w:p>
        </w:tc>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8"/>
                <w:szCs w:val="8"/>
                <w:color w:val="auto"/>
                <w:w w:val="75"/>
              </w:rPr>
              <w:t>-----------------------------------------------------------</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1.06X</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1.09X</w:t>
            </w:r>
          </w:p>
        </w:tc>
        <w:tc>
          <w:tcPr>
            <w:tcW w:w="1680" w:type="dxa"/>
            <w:vAlign w:val="bottom"/>
          </w:tcPr>
          <w:p>
            <w:pPr>
              <w:ind w:left="460"/>
              <w:spacing w:after="0"/>
              <w:rPr>
                <w:sz w:val="20"/>
                <w:szCs w:val="20"/>
                <w:color w:val="auto"/>
              </w:rPr>
            </w:pPr>
            <w:r>
              <w:rPr>
                <w:rFonts w:ascii="Courier New" w:cs="Courier New" w:eastAsia="Courier New" w:hAnsi="Courier New"/>
                <w:sz w:val="18"/>
                <w:szCs w:val="18"/>
                <w:color w:val="auto"/>
              </w:rPr>
              <w:t>1.19X</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1.50X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1.61X</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1.56X</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1.61X</w:t>
            </w:r>
          </w:p>
        </w:tc>
      </w:tr>
    </w:tbl>
    <w:p>
      <w:pPr>
        <w:spacing w:after="0" w:line="200" w:lineRule="exact"/>
        <w:rPr>
          <w:sz w:val="20"/>
          <w:szCs w:val="20"/>
          <w:color w:val="auto"/>
        </w:rPr>
      </w:pPr>
    </w:p>
    <w:p>
      <w:pPr>
        <w:spacing w:after="0" w:line="209"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220"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2220"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440"/>
          </w:cols>
          <w:pgMar w:left="240" w:top="717" w:right="1219" w:bottom="1440" w:gutter="0" w:footer="0" w:header="0"/>
        </w:sectPr>
      </w:pPr>
    </w:p>
    <w:bookmarkStart w:id="8" w:name="page9"/>
    <w:bookmarkEnd w:id="8"/>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9" w:name="page10"/>
    <w:bookmarkEnd w:id="9"/>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59"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w:t>
      </w:r>
    </w:p>
    <w:p>
      <w:pPr>
        <w:sectPr>
          <w:pgSz w:w="11900" w:h="16838" w:orient="portrait"/>
          <w:cols w:equalWidth="0" w:num="1">
            <w:col w:w="10219"/>
          </w:cols>
          <w:pgMar w:left="240" w:top="717" w:right="1440" w:bottom="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4" w:name="page15"/>
    <w:bookmarkEnd w:id="14"/>
    <w:p>
      <w:pPr>
        <w:ind w:right="2419"/>
        <w:spacing w:after="0" w:line="237" w:lineRule="auto"/>
        <w:rPr>
          <w:sz w:val="20"/>
          <w:szCs w:val="20"/>
          <w:color w:val="auto"/>
        </w:rPr>
      </w:pPr>
      <w:r>
        <w:rPr>
          <w:rFonts w:ascii="Courier New" w:cs="Courier New" w:eastAsia="Courier New" w:hAnsi="Courier New"/>
          <w:sz w:val="18"/>
          <w:szCs w:val="18"/>
          <w:color w:val="auto"/>
        </w:rPr>
        <w:t>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15" w:name="page16"/>
    <w:bookmarkEnd w:id="15"/>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w:t>
      </w:r>
    </w:p>
    <w:p>
      <w:pPr>
        <w:spacing w:after="0" w:line="187" w:lineRule="exact"/>
        <w:rPr>
          <w:sz w:val="20"/>
          <w:szCs w:val="20"/>
          <w:color w:val="auto"/>
        </w:rPr>
      </w:pPr>
    </w:p>
    <w:p>
      <w:pPr>
        <w:ind w:right="2099" w:firstLine="8"/>
        <w:spacing w:after="0" w:line="237"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6" w:name="page17"/>
    <w:bookmarkEnd w:id="16"/>
    <w:p>
      <w:pPr>
        <w:ind w:right="1999"/>
        <w:spacing w:after="0" w:line="238" w:lineRule="auto"/>
        <w:rPr>
          <w:sz w:val="20"/>
          <w:szCs w:val="20"/>
          <w:color w:val="auto"/>
        </w:rPr>
      </w:pPr>
      <w:r>
        <w:rPr>
          <w:rFonts w:ascii="Courier New" w:cs="Courier New" w:eastAsia="Courier New" w:hAnsi="Courier New"/>
          <w:sz w:val="18"/>
          <w:szCs w:val="18"/>
          <w:color w:val="auto"/>
        </w:rPr>
        <w:t>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09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17" w:name="page18"/>
    <w:bookmarkEnd w:id="17"/>
    <w:p>
      <w:pPr>
        <w:ind w:right="2099"/>
        <w:spacing w:after="0" w:line="268" w:lineRule="auto"/>
        <w:rPr>
          <w:sz w:val="20"/>
          <w:szCs w:val="20"/>
          <w:color w:val="auto"/>
        </w:rPr>
      </w:pPr>
      <w:r>
        <w:rPr>
          <w:rFonts w:ascii="Courier New" w:cs="Courier New" w:eastAsia="Courier New" w:hAnsi="Courier New"/>
          <w:sz w:val="16"/>
          <w:szCs w:val="16"/>
          <w:color w:val="auto"/>
        </w:rPr>
        <w:t>obligation or liability is not superior in right of payment to the Subordinated Securities or ranks pari passu with the Subordinated Securities,</w:t>
      </w:r>
    </w:p>
    <w:p>
      <w:pPr>
        <w:ind w:right="209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18" w:name="page19"/>
    <w:bookmarkEnd w:id="18"/>
    <w:p>
      <w:pPr>
        <w:ind w:right="1999"/>
        <w:spacing w:after="0" w:line="238" w:lineRule="auto"/>
        <w:rPr>
          <w:sz w:val="20"/>
          <w:szCs w:val="20"/>
          <w:color w:val="auto"/>
        </w:rPr>
      </w:pPr>
      <w:r>
        <w:rPr>
          <w:rFonts w:ascii="Courier New" w:cs="Courier New" w:eastAsia="Courier New" w:hAnsi="Courier New"/>
          <w:sz w:val="18"/>
          <w:szCs w:val="18"/>
          <w:color w:val="auto"/>
        </w:rPr>
        <w:t>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w:t>
      </w:r>
    </w:p>
    <w:p>
      <w:pPr>
        <w:spacing w:after="0" w:line="393" w:lineRule="exact"/>
        <w:rPr>
          <w:sz w:val="20"/>
          <w:szCs w:val="20"/>
          <w:color w:val="auto"/>
        </w:rPr>
      </w:pPr>
    </w:p>
    <w:p>
      <w:pPr>
        <w:ind w:right="1999" w:firstLine="8"/>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10"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564" w:gutter="0" w:footer="0" w:header="0"/>
        </w:sectPr>
      </w:pPr>
    </w:p>
    <w:bookmarkStart w:id="19" w:name="page20"/>
    <w:bookmarkEnd w:id="19"/>
    <w:p>
      <w:pPr>
        <w:ind w:right="1999"/>
        <w:spacing w:after="0" w:line="237" w:lineRule="auto"/>
        <w:rPr>
          <w:sz w:val="20"/>
          <w:szCs w:val="20"/>
          <w:color w:val="auto"/>
        </w:rPr>
      </w:pPr>
      <w:r>
        <w:rPr>
          <w:rFonts w:ascii="Courier New" w:cs="Courier New" w:eastAsia="Courier New" w:hAnsi="Courier New"/>
          <w:sz w:val="18"/>
          <w:szCs w:val="18"/>
          <w:color w:val="auto"/>
        </w:rPr>
        <w:t>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of which no Preferred Shares are outstanding.</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564" w:gutter="0" w:footer="0" w:header="0"/>
        </w:sectPr>
      </w:pPr>
    </w:p>
    <w:bookmarkStart w:id="20" w:name="page21"/>
    <w:bookmarkEnd w:id="20"/>
    <w:p>
      <w:pPr>
        <w:ind w:left="220" w:right="2839" w:firstLine="209"/>
        <w:spacing w:after="0" w:line="235" w:lineRule="auto"/>
        <w:tabs>
          <w:tab w:leader="none" w:pos="9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8" w:lineRule="exact"/>
        <w:rPr>
          <w:rFonts w:ascii="Courier New" w:cs="Courier New" w:eastAsia="Courier New" w:hAnsi="Courier New"/>
          <w:sz w:val="18"/>
          <w:szCs w:val="18"/>
          <w:color w:val="auto"/>
        </w:rPr>
      </w:pPr>
    </w:p>
    <w:p>
      <w:pPr>
        <w:jc w:val="both"/>
        <w:ind w:left="220" w:right="2319" w:firstLine="209"/>
        <w:spacing w:after="0" w:line="236" w:lineRule="auto"/>
        <w:tabs>
          <w:tab w:leader="none" w:pos="9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59"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362" w:gutter="0" w:footer="0" w:header="0"/>
        </w:sectPr>
      </w:pPr>
    </w:p>
    <w:bookmarkStart w:id="22" w:name="page23"/>
    <w:bookmarkEnd w:id="22"/>
    <w:p>
      <w:pPr>
        <w:ind w:right="1999"/>
        <w:spacing w:after="0" w:line="269" w:lineRule="auto"/>
        <w:rPr>
          <w:sz w:val="20"/>
          <w:szCs w:val="20"/>
          <w:color w:val="auto"/>
        </w:rPr>
      </w:pPr>
      <w:r>
        <w:rPr>
          <w:rFonts w:ascii="Courier New" w:cs="Courier New" w:eastAsia="Courier New" w:hAnsi="Courier New"/>
          <w:sz w:val="16"/>
          <w:szCs w:val="16"/>
          <w:color w:val="auto"/>
        </w:rPr>
        <w:t>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0" w:lineRule="exact"/>
        <w:rPr>
          <w:sz w:val="20"/>
          <w:szCs w:val="20"/>
          <w:color w:val="auto"/>
        </w:rPr>
      </w:pPr>
    </w:p>
    <w:p>
      <w:pPr>
        <w:spacing w:after="0" w:line="39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97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4" w:name="page25"/>
    <w:bookmarkEnd w:id="24"/>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5" w:name="page26"/>
    <w:bookmarkEnd w:id="25"/>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564" w:gutter="0" w:footer="0" w:header="0"/>
        </w:sectPr>
      </w:pPr>
    </w:p>
    <w:bookmarkStart w:id="26" w:name="page27"/>
    <w:bookmarkEnd w:id="26"/>
    <w:p>
      <w:pPr>
        <w:ind w:right="2099"/>
        <w:spacing w:after="0" w:line="237" w:lineRule="auto"/>
        <w:rPr>
          <w:sz w:val="20"/>
          <w:szCs w:val="20"/>
          <w:color w:val="auto"/>
        </w:rPr>
      </w:pPr>
      <w:r>
        <w:rPr>
          <w:rFonts w:ascii="Courier New" w:cs="Courier New" w:eastAsia="Courier New" w:hAnsi="Courier New"/>
          <w:sz w:val="18"/>
          <w:szCs w:val="18"/>
          <w:color w:val="auto"/>
        </w:rPr>
        <w:t>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767" w:gutter="0" w:footer="0" w:header="0"/>
        </w:sectPr>
      </w:pPr>
    </w:p>
    <w:bookmarkStart w:id="27" w:name="page28"/>
    <w:bookmarkEnd w:id="27"/>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8" w:name="page29"/>
    <w:bookmarkEnd w:id="28"/>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9" w:name="page30"/>
    <w:bookmarkEnd w:id="29"/>
    <w:p>
      <w:pPr>
        <w:ind w:left="80"/>
        <w:spacing w:after="0"/>
        <w:rPr>
          <w:sz w:val="20"/>
          <w:szCs w:val="20"/>
          <w:color w:val="auto"/>
        </w:rPr>
      </w:pPr>
      <w:r>
        <w:rPr>
          <w:rFonts w:ascii="Courier New" w:cs="Courier New" w:eastAsia="Courier New" w:hAnsi="Courier New"/>
          <w:sz w:val="16"/>
          <w:szCs w:val="16"/>
          <w:color w:val="auto"/>
        </w:rPr>
        <w:t>[LOGO OF FEDERAL REALTY INVESTMENT TRUST APPEARS HERE]</w:t>
      </w:r>
    </w:p>
    <w:sectPr>
      <w:pgSz w:w="11900" w:h="16838" w:orient="portrait"/>
      <w:cols w:equalWidth="0" w:num="1">
        <w:col w:w="9019"/>
      </w:cols>
      <w:pgMar w:left="14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Roman"/>
      <w:start w:val="2"/>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0"/>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lowerRoman"/>
      <w:start w:val="10"/>
    </w:lvl>
  </w:abstractNum>
  <w:abstractNum w:abstractNumId="7">
    <w:nsid w:val="3352255A"/>
    <w:multiLevelType w:val="hybridMultilevel"/>
    <w:lvl w:ilvl="0">
      <w:lvlJc w:val="left"/>
      <w:lvlText w:val="(%1)"/>
      <w:numFmt w:val="lowerRoman"/>
      <w:start w:val="3"/>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4"/>
    </w:lvl>
  </w:abstractNum>
  <w:abstractNum w:abstractNumId="10">
    <w:nsid w:val="7FDCC233"/>
    <w:multiLevelType w:val="hybridMultilevel"/>
    <w:lvl w:ilvl="0">
      <w:lvlJc w:val="left"/>
      <w:lvlText w:val="(%1)"/>
      <w:numFmt w:val="lowerLetter"/>
      <w:start w:val="6"/>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lowerRoman"/>
      <w:start w:val="3"/>
    </w:lvl>
  </w:abstractNum>
  <w:abstractNum w:abstractNumId="13">
    <w:nsid w:val="6B68079A"/>
    <w:multiLevelType w:val="hybridMultilevel"/>
    <w:lvl w:ilvl="0">
      <w:lvlJc w:val="left"/>
      <w:lvlText w:val="(%1)"/>
      <w:numFmt w:val="lowerLetter"/>
      <w:start w:val="7"/>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0"/>
    </w:lvl>
  </w:abstractNum>
  <w:abstractNum w:abstractNumId="16">
    <w:nsid w:val="519B500D"/>
    <w:multiLevelType w:val="hybridMultilevel"/>
    <w:lvl w:ilvl="0">
      <w:lvlJc w:val="left"/>
      <w:lvlText w:val="(%1)"/>
      <w:numFmt w:val="lowerRoman"/>
      <w:start w:val="5"/>
    </w:lvl>
  </w:abstractNum>
  <w:abstractNum w:abstractNumId="17">
    <w:nsid w:val="431BD7B7"/>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2019-12-12T06:06:00Z</dcterms:created>
  <dcterms:modified xsi:type="dcterms:W3CDTF">2019-12-12T06:06:00Z</dcterms:modified>
</cp:coreProperties>
</file>