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Washington, DC 20549</w:t>
      </w:r>
    </w:p>
    <w:p>
      <w:pPr>
        <w:spacing w:after="0" w:line="18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Form 10-Q</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QUARTERLY REPORT UNDER SECTION 13 OR 15(d)</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OF THE SECURITIES EXCHANGE ACT OF 1934</w:t>
      </w:r>
    </w:p>
    <w:p>
      <w:pPr>
        <w:spacing w:after="0" w:line="1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 the Quarter Ended: March 31, 2004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No. 1-07533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jc w:val="center"/>
              <w:ind w:left="530"/>
              <w:spacing w:after="0"/>
              <w:rPr>
                <w:sz w:val="20"/>
                <w:szCs w:val="20"/>
                <w:color w:val="auto"/>
              </w:rPr>
            </w:pPr>
            <w:r>
              <w:rPr>
                <w:rFonts w:ascii="Arial" w:cs="Arial" w:eastAsia="Arial" w:hAnsi="Arial"/>
                <w:sz w:val="18"/>
                <w:szCs w:val="18"/>
                <w:color w:val="auto"/>
                <w:w w:val="94"/>
              </w:rPr>
              <w:t>Maryland</w:t>
            </w:r>
          </w:p>
        </w:tc>
        <w:tc>
          <w:tcPr>
            <w:tcW w:w="662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52-0782497</w:t>
            </w:r>
          </w:p>
        </w:tc>
      </w:tr>
      <w:tr>
        <w:trPr>
          <w:trHeight w:val="95"/>
        </w:trPr>
        <w:tc>
          <w:tcPr>
            <w:tcW w:w="48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Borders>
              <w:bottom w:val="single" w:sz="8" w:color="808080"/>
            </w:tcBorders>
          </w:tcPr>
          <w:p>
            <w:pPr>
              <w:spacing w:after="0"/>
              <w:rPr>
                <w:sz w:val="8"/>
                <w:szCs w:val="8"/>
                <w:color w:val="auto"/>
              </w:rPr>
            </w:pPr>
          </w:p>
        </w:tc>
      </w:tr>
      <w:tr>
        <w:trPr>
          <w:trHeight w:val="276"/>
        </w:trPr>
        <w:tc>
          <w:tcPr>
            <w:tcW w:w="4800" w:type="dxa"/>
            <w:vAlign w:val="bottom"/>
          </w:tcPr>
          <w:p>
            <w:pPr>
              <w:jc w:val="center"/>
              <w:ind w:left="550"/>
              <w:spacing w:after="0"/>
              <w:rPr>
                <w:sz w:val="20"/>
                <w:szCs w:val="20"/>
                <w:color w:val="auto"/>
              </w:rPr>
            </w:pPr>
            <w:r>
              <w:rPr>
                <w:rFonts w:ascii="Arial" w:cs="Arial" w:eastAsia="Arial" w:hAnsi="Arial"/>
                <w:sz w:val="18"/>
                <w:szCs w:val="18"/>
                <w:color w:val="auto"/>
                <w:w w:val="92"/>
              </w:rPr>
              <w:t>(State or other jurisdiction of</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800" w:type="dxa"/>
            <w:vAlign w:val="bottom"/>
          </w:tcPr>
          <w:p>
            <w:pPr>
              <w:jc w:val="center"/>
              <w:ind w:left="550"/>
              <w:spacing w:after="0"/>
              <w:rPr>
                <w:sz w:val="20"/>
                <w:szCs w:val="20"/>
                <w:color w:val="auto"/>
              </w:rPr>
            </w:pPr>
            <w:r>
              <w:rPr>
                <w:rFonts w:ascii="Arial" w:cs="Arial" w:eastAsia="Arial" w:hAnsi="Arial"/>
                <w:sz w:val="18"/>
                <w:szCs w:val="18"/>
                <w:color w:val="auto"/>
                <w:w w:val="92"/>
              </w:rPr>
              <w:t>incorporation or organization)</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9"/>
        </w:trPr>
        <w:tc>
          <w:tcPr>
            <w:tcW w:w="4800" w:type="dxa"/>
            <w:vAlign w:val="bottom"/>
          </w:tcPr>
          <w:p>
            <w:pPr>
              <w:jc w:val="center"/>
              <w:ind w:left="530"/>
              <w:spacing w:after="0"/>
              <w:rPr>
                <w:sz w:val="20"/>
                <w:szCs w:val="20"/>
                <w:color w:val="auto"/>
              </w:rPr>
            </w:pPr>
            <w:r>
              <w:rPr>
                <w:rFonts w:ascii="Arial" w:cs="Arial" w:eastAsia="Arial" w:hAnsi="Arial"/>
                <w:sz w:val="18"/>
                <w:szCs w:val="18"/>
                <w:color w:val="auto"/>
                <w:w w:val="91"/>
              </w:rPr>
              <w:t>1626 East Jefferson Street, Rockville, Maryland</w:t>
            </w:r>
          </w:p>
        </w:tc>
        <w:tc>
          <w:tcPr>
            <w:tcW w:w="662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20852-4041</w:t>
            </w:r>
          </w:p>
        </w:tc>
      </w:tr>
      <w:tr>
        <w:trPr>
          <w:trHeight w:val="215"/>
        </w:trPr>
        <w:tc>
          <w:tcPr>
            <w:tcW w:w="4800" w:type="dxa"/>
            <w:vAlign w:val="bottom"/>
            <w:tcBorders>
              <w:top w:val="single" w:sz="8" w:color="808080"/>
            </w:tcBorders>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Borders>
              <w:top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230"/>
        </w:trPr>
        <w:tc>
          <w:tcPr>
            <w:tcW w:w="4800" w:type="dxa"/>
            <w:vAlign w:val="bottom"/>
          </w:tcPr>
          <w:p>
            <w:pPr>
              <w:spacing w:after="0"/>
              <w:rPr>
                <w:sz w:val="20"/>
                <w:szCs w:val="20"/>
                <w:color w:val="auto"/>
              </w:rPr>
            </w:pPr>
          </w:p>
        </w:tc>
        <w:tc>
          <w:tcPr>
            <w:tcW w:w="6620" w:type="dxa"/>
            <w:vAlign w:val="bottom"/>
            <w:gridSpan w:val="3"/>
          </w:tcPr>
          <w:p>
            <w:pPr>
              <w:jc w:val="right"/>
              <w:ind w:right="5050"/>
              <w:spacing w:after="0"/>
              <w:rPr>
                <w:sz w:val="20"/>
                <w:szCs w:val="20"/>
                <w:color w:val="auto"/>
              </w:rPr>
            </w:pPr>
            <w:r>
              <w:rPr>
                <w:rFonts w:ascii="Arial" w:cs="Arial" w:eastAsia="Arial" w:hAnsi="Arial"/>
                <w:sz w:val="18"/>
                <w:szCs w:val="18"/>
                <w:color w:val="auto"/>
              </w:rPr>
              <w:t>(301) 998-8100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200" w:type="dxa"/>
            <w:vAlign w:val="bottom"/>
          </w:tcPr>
          <w:p>
            <w:pPr>
              <w:spacing w:after="0" w:line="207" w:lineRule="exact"/>
              <w:rPr>
                <w:sz w:val="20"/>
                <w:szCs w:val="20"/>
                <w:color w:val="auto"/>
              </w:rPr>
            </w:pPr>
            <w:r>
              <w:rPr>
                <w:rFonts w:ascii="Arial" w:cs="Arial" w:eastAsia="Arial" w:hAnsi="Arial"/>
                <w:sz w:val="18"/>
                <w:szCs w:val="18"/>
                <w:color w:val="auto"/>
                <w:w w:val="94"/>
              </w:rPr>
              <w:t xml:space="preserve">requirements for the past 90 days.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Yes</w:t>
            </w:r>
          </w:p>
        </w:tc>
        <w:tc>
          <w:tcPr>
            <w:tcW w:w="2220" w:type="dxa"/>
            <w:vAlign w:val="bottom"/>
          </w:tcPr>
          <w:p>
            <w:pPr>
              <w:ind w:left="160"/>
              <w:spacing w:after="0"/>
              <w:rPr>
                <w:sz w:val="20"/>
                <w:szCs w:val="20"/>
                <w:color w:val="auto"/>
              </w:rPr>
            </w:pPr>
            <w:r>
              <w:rPr>
                <w:rFonts w:ascii="Arial" w:cs="Arial" w:eastAsia="Arial" w:hAnsi="Arial"/>
                <w:sz w:val="18"/>
                <w:szCs w:val="18"/>
                <w:color w:val="auto"/>
              </w:rPr>
              <w:t>o No</w:t>
            </w:r>
          </w:p>
        </w:tc>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50"/>
        </w:trPr>
        <w:tc>
          <w:tcPr>
            <w:tcW w:w="920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an accelerated filer (as defined in Rule 12b-2 of the Exchange Act).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Yes</w:t>
            </w:r>
          </w:p>
        </w:tc>
        <w:tc>
          <w:tcPr>
            <w:tcW w:w="2220" w:type="dxa"/>
            <w:vAlign w:val="bottom"/>
          </w:tcPr>
          <w:p>
            <w:pPr>
              <w:ind w:left="100"/>
              <w:spacing w:after="0"/>
              <w:rPr>
                <w:sz w:val="20"/>
                <w:szCs w:val="20"/>
                <w:color w:val="auto"/>
              </w:rPr>
            </w:pPr>
            <w:r>
              <w:rPr>
                <w:rFonts w:ascii="Arial" w:cs="Arial" w:eastAsia="Arial" w:hAnsi="Arial"/>
                <w:sz w:val="18"/>
                <w:szCs w:val="18"/>
                <w:color w:val="auto"/>
              </w:rPr>
              <w:t>o No</w:t>
            </w:r>
          </w:p>
        </w:tc>
      </w:tr>
      <w:tr>
        <w:trPr>
          <w:trHeight w:val="385"/>
        </w:trPr>
        <w:tc>
          <w:tcPr>
            <w:tcW w:w="9200" w:type="dxa"/>
            <w:vAlign w:val="bottom"/>
            <w:gridSpan w:val="4"/>
          </w:tcPr>
          <w:p>
            <w:pPr>
              <w:spacing w:after="0"/>
              <w:rPr>
                <w:sz w:val="20"/>
                <w:szCs w:val="20"/>
                <w:color w:val="auto"/>
              </w:rPr>
            </w:pPr>
            <w:r>
              <w:rPr>
                <w:rFonts w:ascii="Arial" w:cs="Arial" w:eastAsia="Arial" w:hAnsi="Arial"/>
                <w:sz w:val="18"/>
                <w:szCs w:val="18"/>
                <w:color w:val="auto"/>
                <w:w w:val="93"/>
              </w:rPr>
              <w:t>Indicate the number of shares outstanding of each of the issuer’s classes of common stock, as of the latest practicable date.</w:t>
            </w:r>
          </w:p>
        </w:tc>
        <w:tc>
          <w:tcPr>
            <w:tcW w:w="2220" w:type="dxa"/>
            <w:vAlign w:val="bottom"/>
          </w:tcPr>
          <w:p>
            <w:pPr>
              <w:spacing w:after="0"/>
              <w:rPr>
                <w:sz w:val="24"/>
                <w:szCs w:val="24"/>
                <w:color w:val="auto"/>
              </w:rPr>
            </w:pPr>
          </w:p>
        </w:tc>
      </w:tr>
      <w:tr>
        <w:trPr>
          <w:trHeight w:val="608"/>
        </w:trPr>
        <w:tc>
          <w:tcPr>
            <w:tcW w:w="3200" w:type="dxa"/>
            <w:vAlign w:val="bottom"/>
          </w:tcPr>
          <w:p>
            <w:pPr>
              <w:jc w:val="center"/>
              <w:ind w:left="2150"/>
              <w:spacing w:after="0"/>
              <w:rPr>
                <w:sz w:val="20"/>
                <w:szCs w:val="20"/>
                <w:color w:val="auto"/>
              </w:rPr>
            </w:pPr>
            <w:r>
              <w:rPr>
                <w:rFonts w:ascii="Arial" w:cs="Arial" w:eastAsia="Arial" w:hAnsi="Arial"/>
                <w:sz w:val="18"/>
                <w:szCs w:val="18"/>
                <w:color w:val="auto"/>
                <w:w w:val="88"/>
              </w:rPr>
              <w:t>Class</w:t>
            </w: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gridSpan w:val="2"/>
          </w:tcPr>
          <w:p>
            <w:pPr>
              <w:jc w:val="center"/>
              <w:spacing w:after="0"/>
              <w:rPr>
                <w:sz w:val="20"/>
                <w:szCs w:val="20"/>
                <w:color w:val="auto"/>
              </w:rPr>
            </w:pPr>
            <w:r>
              <w:rPr>
                <w:rFonts w:ascii="Arial" w:cs="Arial" w:eastAsia="Arial" w:hAnsi="Arial"/>
                <w:sz w:val="18"/>
                <w:szCs w:val="18"/>
                <w:color w:val="auto"/>
                <w:w w:val="92"/>
              </w:rPr>
              <w:t>Outstanding at April 30, 2004</w:t>
            </w:r>
          </w:p>
        </w:tc>
      </w:tr>
      <w:tr>
        <w:trPr>
          <w:trHeight w:val="95"/>
        </w:trPr>
        <w:tc>
          <w:tcPr>
            <w:tcW w:w="5420" w:type="dxa"/>
            <w:vAlign w:val="bottom"/>
            <w:tcBorders>
              <w:bottom w:val="single" w:sz="8" w:color="808080"/>
            </w:tcBorders>
            <w:gridSpan w:val="2"/>
          </w:tcPr>
          <w:p>
            <w:pPr>
              <w:spacing w:after="0"/>
              <w:rPr>
                <w:sz w:val="8"/>
                <w:szCs w:val="8"/>
                <w:color w:val="auto"/>
              </w:rPr>
            </w:pPr>
          </w:p>
        </w:tc>
        <w:tc>
          <w:tcPr>
            <w:tcW w:w="580" w:type="dxa"/>
            <w:vAlign w:val="bottom"/>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r>
      <w:tr>
        <w:trPr>
          <w:trHeight w:val="291"/>
        </w:trPr>
        <w:tc>
          <w:tcPr>
            <w:tcW w:w="5420" w:type="dxa"/>
            <w:vAlign w:val="bottom"/>
            <w:gridSpan w:val="2"/>
          </w:tcPr>
          <w:p>
            <w:pPr>
              <w:jc w:val="center"/>
              <w:spacing w:after="0"/>
              <w:rPr>
                <w:sz w:val="20"/>
                <w:szCs w:val="20"/>
                <w:color w:val="auto"/>
              </w:rPr>
            </w:pPr>
            <w:r>
              <w:rPr>
                <w:rFonts w:ascii="Arial" w:cs="Arial" w:eastAsia="Arial" w:hAnsi="Arial"/>
                <w:sz w:val="18"/>
                <w:szCs w:val="18"/>
                <w:color w:val="auto"/>
                <w:w w:val="91"/>
              </w:rPr>
              <w:t>Common Shares of Beneficial Interest</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51,566,576</w:t>
            </w:r>
          </w:p>
        </w:tc>
        <w:tc>
          <w:tcPr>
            <w:tcW w:w="2220" w:type="dxa"/>
            <w:vAlign w:val="bottom"/>
          </w:tcPr>
          <w:p>
            <w:pPr>
              <w:spacing w:after="0"/>
              <w:rPr>
                <w:sz w:val="24"/>
                <w:szCs w:val="24"/>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gridSpan w:val="2"/>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840" w:type="dxa"/>
            <w:vAlign w:val="bottom"/>
            <w:gridSpan w:val="4"/>
            <w:vMerge w:val="restart"/>
          </w:tcPr>
          <w:p>
            <w:pPr>
              <w:spacing w:after="0"/>
              <w:rPr>
                <w:sz w:val="16"/>
                <w:szCs w:val="16"/>
                <w:color w:val="auto"/>
              </w:rPr>
            </w:pPr>
          </w:p>
        </w:tc>
        <w:tc>
          <w:tcPr>
            <w:tcW w:w="2260" w:type="dxa"/>
            <w:vAlign w:val="bottom"/>
            <w:gridSpan w:val="7"/>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5620" w:type="dxa"/>
            <w:vAlign w:val="bottom"/>
            <w:gridSpan w:val="11"/>
            <w:vMerge w:val="restart"/>
          </w:tcPr>
          <w:p>
            <w:pPr>
              <w:spacing w:after="0"/>
              <w:rPr>
                <w:sz w:val="16"/>
                <w:szCs w:val="16"/>
                <w:color w:val="auto"/>
              </w:rPr>
            </w:pPr>
          </w:p>
        </w:tc>
        <w:tc>
          <w:tcPr>
            <w:tcW w:w="2100" w:type="dxa"/>
            <w:vAlign w:val="bottom"/>
          </w:tcPr>
          <w:p>
            <w:pPr>
              <w:jc w:val="right"/>
              <w:ind w:right="7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6"/>
        </w:trPr>
        <w:tc>
          <w:tcPr>
            <w:tcW w:w="600" w:type="dxa"/>
            <w:vAlign w:val="bottom"/>
            <w:tcBorders>
              <w:bottom w:val="single" w:sz="8" w:color="0000EE"/>
            </w:tcBorders>
            <w:gridSpan w:val="2"/>
            <w:vMerge w:val="continue"/>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2260" w:type="dxa"/>
            <w:vAlign w:val="bottom"/>
            <w:tcBorders>
              <w:bottom w:val="single" w:sz="8" w:color="0000EE"/>
            </w:tcBorders>
            <w:gridSpan w:val="7"/>
            <w:vMerge w:val="continue"/>
          </w:tcPr>
          <w:p>
            <w:pPr>
              <w:spacing w:after="0"/>
              <w:rPr>
                <w:sz w:val="13"/>
                <w:szCs w:val="13"/>
                <w:color w:val="auto"/>
              </w:rPr>
            </w:pPr>
          </w:p>
        </w:tc>
        <w:tc>
          <w:tcPr>
            <w:tcW w:w="5620" w:type="dxa"/>
            <w:vAlign w:val="bottom"/>
            <w:gridSpan w:val="11"/>
            <w:vMerge w:val="continue"/>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40" w:type="dxa"/>
            <w:vAlign w:val="bottom"/>
            <w:gridSpan w:val="2"/>
          </w:tcPr>
          <w:p>
            <w:pPr>
              <w:jc w:val="right"/>
              <w:ind w:right="20"/>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760" w:type="dxa"/>
            <w:vAlign w:val="bottom"/>
            <w:gridSpan w:val="3"/>
          </w:tcPr>
          <w:p>
            <w:pPr>
              <w:spacing w:after="0"/>
              <w:rPr>
                <w:sz w:val="17"/>
                <w:szCs w:val="17"/>
                <w:color w:val="auto"/>
              </w:rPr>
            </w:pPr>
          </w:p>
        </w:tc>
        <w:tc>
          <w:tcPr>
            <w:tcW w:w="788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March 31, 2004 (unaudited) and December 31, 2003 (audited)</w:t>
              </w:r>
            </w:hyperlink>
          </w:p>
        </w:tc>
        <w:tc>
          <w:tcPr>
            <w:tcW w:w="1260" w:type="dxa"/>
            <w:vAlign w:val="bottom"/>
          </w:tcPr>
          <w:p>
            <w:pPr>
              <w:spacing w:after="0"/>
              <w:rPr>
                <w:sz w:val="17"/>
                <w:szCs w:val="17"/>
                <w:color w:val="auto"/>
              </w:rPr>
            </w:pPr>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w:t>
              </w:r>
            </w:hyperlink>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w w:val="97"/>
              </w:rPr>
              <w:t>Three months ended March 31, 2004 and 2003</w:t>
            </w:r>
          </w:p>
        </w:tc>
        <w:tc>
          <w:tcPr>
            <w:tcW w:w="4200" w:type="dxa"/>
            <w:vAlign w:val="bottom"/>
            <w:gridSpan w:val="6"/>
          </w:tcPr>
          <w:p>
            <w:pPr>
              <w:spacing w:after="0"/>
              <w:rPr>
                <w:sz w:val="19"/>
                <w:szCs w:val="19"/>
                <w:color w:val="auto"/>
              </w:rPr>
            </w:pP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80" w:type="dxa"/>
            <w:vAlign w:val="bottom"/>
            <w:gridSpan w:val="18"/>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(unaudited)</w:t>
              </w:r>
            </w:hyperlink>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Three months ended March 31, 2004 and 2003</w:t>
            </w:r>
          </w:p>
        </w:tc>
        <w:tc>
          <w:tcPr>
            <w:tcW w:w="3460" w:type="dxa"/>
            <w:vAlign w:val="bottom"/>
            <w:gridSpan w:val="3"/>
          </w:tcPr>
          <w:p>
            <w:pPr>
              <w:spacing w:after="0"/>
              <w:rPr>
                <w:sz w:val="19"/>
                <w:szCs w:val="19"/>
                <w:color w:val="auto"/>
              </w:rPr>
            </w:pP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80" w:type="dxa"/>
            <w:vAlign w:val="bottom"/>
            <w:gridSpan w:val="18"/>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w:t>
              </w:r>
            </w:hyperlink>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w w:val="98"/>
              </w:rPr>
              <w:t>Three months ended March 31, 2004 and 2003</w:t>
            </w:r>
          </w:p>
        </w:tc>
        <w:tc>
          <w:tcPr>
            <w:tcW w:w="4140" w:type="dxa"/>
            <w:vAlign w:val="bottom"/>
            <w:gridSpan w:val="5"/>
          </w:tcPr>
          <w:p>
            <w:pPr>
              <w:spacing w:after="0"/>
              <w:rPr>
                <w:sz w:val="19"/>
                <w:szCs w:val="19"/>
                <w:color w:val="auto"/>
              </w:rPr>
            </w:pP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80" w:type="dxa"/>
            <w:vAlign w:val="bottom"/>
            <w:gridSpan w:val="18"/>
          </w:tcPr>
          <w:p>
            <w:pPr>
              <w:spacing w:after="0" w:line="190"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100" w:type="dxa"/>
            <w:vAlign w:val="bottom"/>
          </w:tcPr>
          <w:p>
            <w:pPr>
              <w:jc w:val="right"/>
              <w:ind w:right="72"/>
              <w:spacing w:after="0" w:line="190"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740" w:type="dxa"/>
            <w:vAlign w:val="bottom"/>
            <w:gridSpan w:val="2"/>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420" w:type="dxa"/>
            <w:vAlign w:val="bottom"/>
            <w:gridSpan w:val="2"/>
          </w:tcPr>
          <w:p>
            <w:pPr>
              <w:spacing w:after="0"/>
              <w:rPr>
                <w:sz w:val="17"/>
                <w:szCs w:val="17"/>
                <w:color w:val="auto"/>
              </w:rPr>
            </w:pPr>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3520" w:type="dxa"/>
            <w:vAlign w:val="bottom"/>
            <w:gridSpan w:val="4"/>
          </w:tcPr>
          <w:p>
            <w:pPr>
              <w:spacing w:after="0"/>
              <w:rPr>
                <w:sz w:val="17"/>
                <w:szCs w:val="17"/>
                <w:color w:val="auto"/>
              </w:rPr>
            </w:pPr>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40" w:type="dxa"/>
            <w:vAlign w:val="bottom"/>
            <w:gridSpan w:val="2"/>
          </w:tcPr>
          <w:p>
            <w:pPr>
              <w:jc w:val="right"/>
              <w:ind w:right="20"/>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760" w:type="dxa"/>
            <w:vAlign w:val="bottom"/>
            <w:gridSpan w:val="3"/>
          </w:tcPr>
          <w:p>
            <w:pPr>
              <w:spacing w:after="0"/>
              <w:rPr>
                <w:sz w:val="17"/>
                <w:szCs w:val="17"/>
                <w:color w:val="auto"/>
              </w:rPr>
            </w:pPr>
          </w:p>
        </w:tc>
        <w:tc>
          <w:tcPr>
            <w:tcW w:w="788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jc w:val="right"/>
              <w:ind w:right="20"/>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PART II.</w:t>
              </w:r>
            </w:hyperlink>
          </w:p>
        </w:tc>
        <w:tc>
          <w:tcPr>
            <w:tcW w:w="760" w:type="dxa"/>
            <w:vAlign w:val="bottom"/>
            <w:gridSpan w:val="3"/>
          </w:tcPr>
          <w:p>
            <w:pPr>
              <w:spacing w:after="0"/>
              <w:rPr>
                <w:sz w:val="17"/>
                <w:szCs w:val="17"/>
                <w:color w:val="auto"/>
              </w:rPr>
            </w:pPr>
          </w:p>
        </w:tc>
        <w:tc>
          <w:tcPr>
            <w:tcW w:w="788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2"/>
          </w:tcPr>
          <w:p>
            <w:pPr>
              <w:jc w:val="right"/>
              <w:ind w:right="2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20" w:type="dxa"/>
            <w:vAlign w:val="bottom"/>
            <w:tcBorders>
              <w:bottom w:val="single" w:sz="8" w:color="0000EE"/>
            </w:tcBorders>
          </w:tcPr>
          <w:p>
            <w:pPr>
              <w:spacing w:after="0"/>
              <w:rPr>
                <w:sz w:val="17"/>
                <w:szCs w:val="17"/>
                <w:color w:val="auto"/>
              </w:rPr>
            </w:pPr>
          </w:p>
        </w:tc>
        <w:tc>
          <w:tcPr>
            <w:tcW w:w="74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17"/>
                <w:szCs w:val="17"/>
                <w:color w:val="auto"/>
              </w:rPr>
            </w:pPr>
          </w:p>
        </w:tc>
        <w:tc>
          <w:tcPr>
            <w:tcW w:w="6000" w:type="dxa"/>
            <w:vAlign w:val="bottom"/>
            <w:gridSpan w:val="12"/>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740" w:type="dxa"/>
            <w:vAlign w:val="bottom"/>
            <w:gridSpan w:val="2"/>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Changes in Securities</w:t>
              </w:r>
            </w:hyperlink>
          </w:p>
        </w:tc>
        <w:tc>
          <w:tcPr>
            <w:tcW w:w="6320" w:type="dxa"/>
            <w:vAlign w:val="bottom"/>
            <w:gridSpan w:val="14"/>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gridSpan w:val="3"/>
          </w:tcPr>
          <w:p>
            <w:pPr>
              <w:jc w:val="right"/>
              <w:ind w:right="4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7880" w:type="dxa"/>
            <w:vAlign w:val="bottom"/>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740" w:type="dxa"/>
            <w:vAlign w:val="bottom"/>
            <w:gridSpan w:val="2"/>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Submission of Matters to Vote to Security Holders</w:t>
              </w:r>
            </w:hyperlink>
          </w:p>
        </w:tc>
        <w:tc>
          <w:tcPr>
            <w:tcW w:w="4240" w:type="dxa"/>
            <w:vAlign w:val="bottom"/>
            <w:gridSpan w:val="7"/>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740" w:type="dxa"/>
            <w:vAlign w:val="bottom"/>
            <w:gridSpan w:val="2"/>
          </w:tcPr>
          <w:p>
            <w:pPr>
              <w:spacing w:after="0"/>
              <w:rPr>
                <w:sz w:val="17"/>
                <w:szCs w:val="17"/>
                <w:color w:val="auto"/>
              </w:rPr>
            </w:pPr>
          </w:p>
        </w:tc>
        <w:tc>
          <w:tcPr>
            <w:tcW w:w="13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6560" w:type="dxa"/>
            <w:vAlign w:val="bottom"/>
            <w:gridSpan w:val="17"/>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740" w:type="dxa"/>
            <w:vAlign w:val="bottom"/>
            <w:gridSpan w:val="2"/>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 and Reports on Form 8-K</w:t>
              </w:r>
            </w:hyperlink>
          </w:p>
        </w:tc>
        <w:tc>
          <w:tcPr>
            <w:tcW w:w="5380" w:type="dxa"/>
            <w:vAlign w:val="bottom"/>
            <w:gridSpan w:val="9"/>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26"/>
        </w:trPr>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gridSpan w:val="15"/>
          </w:tcPr>
          <w:p>
            <w:pPr>
              <w:ind w:left="41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 FORM 10-Q</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31, 2004</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w:t>
      </w:r>
    </w:p>
    <w:p>
      <w:pPr>
        <w:spacing w:after="0" w:line="198"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three months ended March 31, 2004, are not necessarily indicative of the results that may be expected for the full year. These financial statements should be read in conjunction with our audited consolidated financial statements and footnotes thereto included in the Trust’s Annual Report 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fiscal year ended December 31, 2003.</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(unaudited)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Real estate, at cost</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2,491,842</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2,342,315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Development</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105,106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127,834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2,596,948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2,470,149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5"/>
              </w:rPr>
              <w:t>(532,280)</w:t>
            </w: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5"/>
              </w:rPr>
              <w:t>(514,177)</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real estate investments</w:t>
            </w:r>
          </w:p>
        </w:tc>
        <w:tc>
          <w:tcPr>
            <w:tcW w:w="3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2,064,668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1,955,972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27,940</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34,968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Accounts and notes receivable</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34,916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31,207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Prepaid expenses and other assets, principally lease commissions and property taxes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68,529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Debt issuance costs, net of accumulated amortization of $3,731,and $3,111, respectively</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10,583</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10,453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2,249,055</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2,143,435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Obligations under capital leases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159,387</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159,486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Mortgages and construction loans payable</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254,141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254,871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426,537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361,323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69,624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61,018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26,080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Security deposit payable</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7,709</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7,208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Prepaid rents</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22,486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Senior notes and debentures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570,500</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535,000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1,536,464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1,422,479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28,952</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29,582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4"/>
              </w:rPr>
              <w:t>Preferred stock, authorized 15,000,000 shares $.01 Par: 8.5% Series B Cumulative Redeemable Preferred</w:t>
            </w:r>
          </w:p>
        </w:tc>
        <w:tc>
          <w:tcPr>
            <w:tcW w:w="38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Shares, (stated at liquidation preference $25 per share), 5,400,000 shares issued in 2001</w:t>
            </w:r>
          </w:p>
        </w:tc>
        <w:tc>
          <w:tcPr>
            <w:tcW w:w="380" w:type="dxa"/>
            <w:vAlign w:val="bottom"/>
            <w:tcBorders>
              <w:right w:val="single" w:sz="8" w:color="EEEEEE"/>
            </w:tcBorders>
            <w:shd w:val="clear" w:color="auto" w:fill="EEEEEE"/>
          </w:tcPr>
          <w:p>
            <w:pPr>
              <w:spacing w:after="0"/>
              <w:rPr>
                <w:sz w:val="20"/>
                <w:szCs w:val="20"/>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ind w:left="120"/>
              <w:spacing w:after="0" w:line="201" w:lineRule="exact"/>
              <w:rPr>
                <w:sz w:val="20"/>
                <w:szCs w:val="20"/>
                <w:color w:val="auto"/>
              </w:rPr>
            </w:pPr>
            <w:r>
              <w:rPr>
                <w:rFonts w:ascii="Arial" w:cs="Arial" w:eastAsia="Arial" w:hAnsi="Arial"/>
                <w:sz w:val="18"/>
                <w:szCs w:val="18"/>
                <w:color w:val="auto"/>
                <w:w w:val="93"/>
              </w:rPr>
              <w:t>Common shares of beneficial interest $.01 par, 100,000,000 shares authorized, 50,790,678 and 50,670,851</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issued respectively</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Additional paid in capital</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987,212</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980,227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Accumulated dividends in excess of Trust net income</w:t>
            </w: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(396,528)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(386,738)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726,191</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728,995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1,470,275 common shares in treasury, at cost</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(28,445)</w:t>
            </w: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Deferred compensation on restricted shares</w:t>
            </w: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(9,316)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Notes receivable from employees stock plans</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(3,762)</w:t>
            </w: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EEEEEE"/>
          </w:tcPr>
          <w:p>
            <w:pPr>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683,639</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691,374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2,249,055</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2,143,435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9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Rental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89,643</w:t>
            </w:r>
          </w:p>
        </w:tc>
        <w:tc>
          <w:tcPr>
            <w:tcW w:w="38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79,247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property income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5,091</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1,439</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96,173</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84,545</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Rental</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22,401</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21,527</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Real estate taxes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9,223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21,319</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17,579</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4,182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20,622</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17,333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3"/>
              </w:rPr>
              <w:t>77,747</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3"/>
              </w:rPr>
              <w:t>67,449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18,426</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17,096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Minority Interests</w:t>
            </w:r>
          </w:p>
        </w:tc>
        <w:tc>
          <w:tcPr>
            <w:tcW w:w="4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(1,189)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17,237</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16,026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20"/>
              <w:spacing w:after="0"/>
              <w:rPr>
                <w:sz w:val="20"/>
                <w:szCs w:val="20"/>
                <w:color w:val="auto"/>
              </w:rPr>
            </w:pPr>
            <w:r>
              <w:rPr>
                <w:rFonts w:ascii="Arial" w:cs="Arial" w:eastAsia="Arial" w:hAnsi="Arial"/>
                <w:sz w:val="18"/>
                <w:szCs w:val="18"/>
                <w:color w:val="auto"/>
              </w:rPr>
              <w:t>Operating income (loss) from discontinued operations</w:t>
            </w:r>
          </w:p>
        </w:tc>
        <w:tc>
          <w:tcPr>
            <w:tcW w:w="4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Gain on sale of real estate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17,246</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16,376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6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4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(2,869)</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14,377</w:t>
            </w:r>
          </w:p>
        </w:tc>
        <w:tc>
          <w:tcPr>
            <w:tcW w:w="380" w:type="dxa"/>
            <w:vAlign w:val="bottom"/>
            <w:tcBorders>
              <w:lef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11,520</w:t>
            </w:r>
          </w:p>
        </w:tc>
        <w:tc>
          <w:tcPr>
            <w:tcW w:w="4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4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80" w:type="dxa"/>
            <w:vAlign w:val="bottom"/>
            <w:tcBorders>
              <w:left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4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84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380" w:type="dxa"/>
            <w:vAlign w:val="bottom"/>
            <w:tcBorders>
              <w:lef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380" w:type="dxa"/>
            <w:vAlign w:val="bottom"/>
            <w:tcBorders>
              <w:lef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440" w:type="dxa"/>
            <w:vAlign w:val="bottom"/>
            <w:vMerge w:val="restart"/>
          </w:tcPr>
          <w:p>
            <w:pPr>
              <w:ind w:left="400"/>
              <w:spacing w:after="0"/>
              <w:rPr>
                <w:sz w:val="20"/>
                <w:szCs w:val="20"/>
                <w:color w:val="auto"/>
              </w:rPr>
            </w:pPr>
            <w:r>
              <w:rPr>
                <w:rFonts w:ascii="Arial" w:cs="Arial" w:eastAsia="Arial" w:hAnsi="Arial"/>
                <w:sz w:val="18"/>
                <w:szCs w:val="18"/>
                <w:color w:val="auto"/>
              </w:rPr>
              <w:t>Weighted average number of common shares, basic</w:t>
            </w:r>
          </w:p>
        </w:tc>
        <w:tc>
          <w:tcPr>
            <w:tcW w:w="4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80" w:type="dxa"/>
            <w:vAlign w:val="bottom"/>
            <w:tcBorders>
              <w:left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4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49,163</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44,271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EARNINGS PER COMMON SHARE, DILUTED</w:t>
            </w:r>
          </w:p>
        </w:tc>
        <w:tc>
          <w:tcPr>
            <w:tcW w:w="4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80" w:type="dxa"/>
            <w:vAlign w:val="bottom"/>
            <w:tcBorders>
              <w:lef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0.00</w:t>
            </w:r>
          </w:p>
        </w:tc>
        <w:tc>
          <w:tcPr>
            <w:tcW w:w="380" w:type="dxa"/>
            <w:vAlign w:val="bottom"/>
            <w:tcBorders>
              <w:lef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440" w:type="dxa"/>
            <w:vAlign w:val="bottom"/>
          </w:tcPr>
          <w:p>
            <w:pPr>
              <w:spacing w:after="0"/>
              <w:rPr>
                <w:sz w:val="6"/>
                <w:szCs w:val="6"/>
                <w:color w:val="auto"/>
              </w:rPr>
            </w:pPr>
          </w:p>
        </w:tc>
        <w:tc>
          <w:tcPr>
            <w:tcW w:w="4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80" w:type="dxa"/>
            <w:vAlign w:val="bottom"/>
            <w:tcBorders>
              <w:left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4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Weighted average number of common shares, diluted</w:t>
            </w:r>
          </w:p>
        </w:tc>
        <w:tc>
          <w:tcPr>
            <w:tcW w:w="4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50,613</w:t>
            </w:r>
          </w:p>
        </w:tc>
        <w:tc>
          <w:tcPr>
            <w:tcW w:w="380" w:type="dxa"/>
            <w:vAlign w:val="bottom"/>
            <w:tcBorders>
              <w:lef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45,354</w:t>
            </w:r>
          </w:p>
        </w:tc>
        <w:tc>
          <w:tcPr>
            <w:tcW w:w="4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w w:val="96"/>
              </w:rPr>
              <w:t>Three months ended March 31,</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b w:val="1"/>
                <w:bCs w:val="1"/>
                <w:color w:val="auto"/>
                <w:w w:val="89"/>
              </w:rPr>
              <w:t>2004</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2003</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Shares</w:t>
            </w:r>
          </w:p>
        </w:tc>
        <w:tc>
          <w:tcPr>
            <w:tcW w:w="40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1"/>
              </w:rPr>
              <w:t>Amount</w:t>
            </w:r>
          </w:p>
        </w:tc>
        <w:tc>
          <w:tcPr>
            <w:tcW w:w="34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Additional</w:t>
            </w:r>
          </w:p>
        </w:tc>
        <w:tc>
          <w:tcPr>
            <w:tcW w:w="46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6"/>
              </w:rPr>
              <w:t>Amount</w:t>
            </w:r>
          </w:p>
        </w:tc>
        <w:tc>
          <w:tcPr>
            <w:tcW w:w="3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Additional</w:t>
            </w:r>
          </w:p>
        </w:tc>
        <w:tc>
          <w:tcPr>
            <w:tcW w:w="0" w:type="dxa"/>
            <w:vAlign w:val="bottom"/>
          </w:tcPr>
          <w:p>
            <w:pPr>
              <w:spacing w:after="0"/>
              <w:rPr>
                <w:sz w:val="1"/>
                <w:szCs w:val="1"/>
                <w:color w:val="auto"/>
              </w:rPr>
            </w:pPr>
          </w:p>
        </w:tc>
      </w:tr>
      <w:tr>
        <w:trPr>
          <w:trHeight w:val="135"/>
        </w:trPr>
        <w:tc>
          <w:tcPr>
            <w:tcW w:w="462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share data)</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jc w:val="center"/>
              <w:ind w:left="106"/>
              <w:spacing w:after="0"/>
              <w:rPr>
                <w:sz w:val="20"/>
                <w:szCs w:val="20"/>
                <w:color w:val="auto"/>
              </w:rPr>
            </w:pPr>
            <w:r>
              <w:rPr>
                <w:rFonts w:ascii="Arial" w:cs="Arial" w:eastAsia="Arial" w:hAnsi="Arial"/>
                <w:sz w:val="11"/>
                <w:szCs w:val="11"/>
                <w:b w:val="1"/>
                <w:bCs w:val="1"/>
                <w:color w:val="auto"/>
                <w:w w:val="94"/>
              </w:rPr>
              <w:t>Paid-in Capital</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Paid-in Capital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Common Shares of Beneficial Interest</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1100" w:type="dxa"/>
            <w:vAlign w:val="bottom"/>
            <w:gridSpan w:val="3"/>
          </w:tcPr>
          <w:p>
            <w:pPr>
              <w:jc w:val="right"/>
              <w:ind w:right="400"/>
              <w:spacing w:after="0" w:line="122" w:lineRule="exact"/>
              <w:rPr>
                <w:sz w:val="20"/>
                <w:szCs w:val="20"/>
                <w:color w:val="auto"/>
              </w:rPr>
            </w:pPr>
            <w:r>
              <w:rPr>
                <w:rFonts w:ascii="Arial" w:cs="Arial" w:eastAsia="Arial" w:hAnsi="Arial"/>
                <w:sz w:val="11"/>
                <w:szCs w:val="11"/>
                <w:color w:val="auto"/>
              </w:rPr>
              <w:t>50,670,851</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506</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$980,227</w:t>
            </w:r>
          </w:p>
        </w:tc>
        <w:tc>
          <w:tcPr>
            <w:tcW w:w="360" w:type="dxa"/>
            <w:vAlign w:val="bottom"/>
          </w:tcPr>
          <w:p>
            <w:pPr>
              <w:spacing w:after="0"/>
              <w:rPr>
                <w:sz w:val="10"/>
                <w:szCs w:val="10"/>
                <w:color w:val="auto"/>
              </w:rPr>
            </w:pP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44,996,382</w:t>
            </w:r>
          </w:p>
        </w:tc>
        <w:tc>
          <w:tcPr>
            <w:tcW w:w="3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450</w:t>
            </w:r>
          </w:p>
        </w:tc>
        <w:tc>
          <w:tcPr>
            <w:tcW w:w="30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$ 818,290</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1100" w:type="dxa"/>
            <w:vAlign w:val="bottom"/>
            <w:gridSpan w:val="3"/>
            <w:shd w:val="clear" w:color="auto" w:fill="EEEEEE"/>
          </w:tcPr>
          <w:p>
            <w:pPr>
              <w:jc w:val="right"/>
              <w:ind w:right="400"/>
              <w:spacing w:after="0" w:line="122" w:lineRule="exact"/>
              <w:rPr>
                <w:sz w:val="20"/>
                <w:szCs w:val="20"/>
                <w:color w:val="auto"/>
              </w:rPr>
            </w:pPr>
            <w:r>
              <w:rPr>
                <w:rFonts w:ascii="Arial" w:cs="Arial" w:eastAsia="Arial" w:hAnsi="Arial"/>
                <w:sz w:val="11"/>
                <w:szCs w:val="11"/>
                <w:color w:val="auto"/>
              </w:rPr>
              <w:t>18,715</w:t>
            </w: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529</w:t>
            </w:r>
          </w:p>
        </w:tc>
        <w:tc>
          <w:tcPr>
            <w:tcW w:w="3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1,494,721</w:t>
            </w: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15</w:t>
            </w:r>
          </w:p>
        </w:tc>
        <w:tc>
          <w:tcPr>
            <w:tcW w:w="300" w:type="dxa"/>
            <w:vAlign w:val="bottom"/>
            <w:shd w:val="clear" w:color="auto" w:fill="EEEEEE"/>
          </w:tcPr>
          <w:p>
            <w:pPr>
              <w:spacing w:after="0"/>
              <w:rPr>
                <w:sz w:val="10"/>
                <w:szCs w:val="10"/>
                <w:color w:val="auto"/>
              </w:rPr>
            </w:pPr>
          </w:p>
        </w:tc>
        <w:tc>
          <w:tcPr>
            <w:tcW w:w="7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34,746</w:t>
            </w: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Shares issued under dividend reinvestment plan</w:t>
            </w:r>
          </w:p>
        </w:tc>
        <w:tc>
          <w:tcPr>
            <w:tcW w:w="1100" w:type="dxa"/>
            <w:vAlign w:val="bottom"/>
            <w:gridSpan w:val="3"/>
          </w:tcPr>
          <w:p>
            <w:pPr>
              <w:jc w:val="right"/>
              <w:ind w:right="400"/>
              <w:spacing w:after="0" w:line="122" w:lineRule="exact"/>
              <w:rPr>
                <w:sz w:val="20"/>
                <w:szCs w:val="20"/>
                <w:color w:val="auto"/>
              </w:rPr>
            </w:pPr>
            <w:r>
              <w:rPr>
                <w:rFonts w:ascii="Arial" w:cs="Arial" w:eastAsia="Arial" w:hAnsi="Arial"/>
                <w:sz w:val="11"/>
                <w:szCs w:val="11"/>
                <w:color w:val="auto"/>
              </w:rPr>
              <w:t>16,495</w:t>
            </w:r>
          </w:p>
        </w:tc>
        <w:tc>
          <w:tcPr>
            <w:tcW w:w="40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636</w:t>
            </w:r>
          </w:p>
        </w:tc>
        <w:tc>
          <w:tcPr>
            <w:tcW w:w="360" w:type="dxa"/>
            <w:vAlign w:val="bottom"/>
          </w:tcPr>
          <w:p>
            <w:pPr>
              <w:spacing w:after="0"/>
              <w:rPr>
                <w:sz w:val="10"/>
                <w:szCs w:val="10"/>
                <w:color w:val="auto"/>
              </w:rPr>
            </w:pP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29,784</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825</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Performance and Restricted Shares granted, net of Restricted Shares retired</w:t>
            </w:r>
          </w:p>
        </w:tc>
        <w:tc>
          <w:tcPr>
            <w:tcW w:w="1100" w:type="dxa"/>
            <w:vAlign w:val="bottom"/>
            <w:gridSpan w:val="3"/>
            <w:shd w:val="clear" w:color="auto" w:fill="EEEEEE"/>
          </w:tcPr>
          <w:p>
            <w:pPr>
              <w:jc w:val="right"/>
              <w:ind w:right="400"/>
              <w:spacing w:after="0" w:line="122" w:lineRule="exact"/>
              <w:rPr>
                <w:sz w:val="20"/>
                <w:szCs w:val="20"/>
                <w:color w:val="auto"/>
              </w:rPr>
            </w:pPr>
            <w:r>
              <w:rPr>
                <w:rFonts w:ascii="Arial" w:cs="Arial" w:eastAsia="Arial" w:hAnsi="Arial"/>
                <w:sz w:val="11"/>
                <w:szCs w:val="11"/>
                <w:color w:val="auto"/>
              </w:rPr>
              <w:t>84,617</w:t>
            </w: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1</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3,632</w:t>
            </w:r>
          </w:p>
        </w:tc>
        <w:tc>
          <w:tcPr>
            <w:tcW w:w="3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129,996</w:t>
            </w: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w:t>
            </w:r>
          </w:p>
        </w:tc>
        <w:tc>
          <w:tcPr>
            <w:tcW w:w="300" w:type="dxa"/>
            <w:vAlign w:val="bottom"/>
            <w:shd w:val="clear" w:color="auto" w:fill="EEEEEE"/>
          </w:tcPr>
          <w:p>
            <w:pPr>
              <w:spacing w:after="0"/>
              <w:rPr>
                <w:sz w:val="10"/>
                <w:szCs w:val="10"/>
                <w:color w:val="auto"/>
              </w:rPr>
            </w:pPr>
          </w:p>
        </w:tc>
        <w:tc>
          <w:tcPr>
            <w:tcW w:w="7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3,674</w:t>
            </w: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Stock compensation associated with variable accounting</w:t>
            </w:r>
          </w:p>
        </w:tc>
        <w:tc>
          <w:tcPr>
            <w:tcW w:w="22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2,188</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220" w:type="dxa"/>
            <w:vAlign w:val="bottom"/>
            <w:shd w:val="clear" w:color="auto" w:fill="EEEEEE"/>
          </w:tcPr>
          <w:p>
            <w:pPr>
              <w:spacing w:after="0"/>
              <w:rPr>
                <w:sz w:val="10"/>
                <w:szCs w:val="10"/>
                <w:color w:val="auto"/>
              </w:rPr>
            </w:pPr>
          </w:p>
        </w:tc>
        <w:tc>
          <w:tcPr>
            <w:tcW w:w="880" w:type="dxa"/>
            <w:vAlign w:val="bottom"/>
            <w:gridSpan w:val="2"/>
            <w:shd w:val="clear" w:color="auto" w:fill="EEEEEE"/>
          </w:tcPr>
          <w:p>
            <w:pPr>
              <w:jc w:val="right"/>
              <w:ind w:right="400"/>
              <w:spacing w:after="0" w:line="122" w:lineRule="exact"/>
              <w:rPr>
                <w:sz w:val="20"/>
                <w:szCs w:val="20"/>
                <w:color w:val="auto"/>
              </w:rPr>
            </w:pPr>
            <w:r>
              <w:rPr>
                <w:rFonts w:ascii="Arial" w:cs="Arial" w:eastAsia="Arial" w:hAnsi="Arial"/>
                <w:sz w:val="11"/>
                <w:szCs w:val="11"/>
                <w:color w:val="auto"/>
                <w:w w:val="83"/>
              </w:rPr>
              <w:t>50,790,678</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507</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$987,212</w:t>
            </w:r>
          </w:p>
        </w:tc>
        <w:tc>
          <w:tcPr>
            <w:tcW w:w="3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46,650,883</w:t>
            </w: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466</w:t>
            </w:r>
          </w:p>
        </w:tc>
        <w:tc>
          <w:tcPr>
            <w:tcW w:w="300" w:type="dxa"/>
            <w:vAlign w:val="bottom"/>
            <w:shd w:val="clear" w:color="auto" w:fill="EEEEEE"/>
          </w:tcPr>
          <w:p>
            <w:pPr>
              <w:spacing w:after="0"/>
              <w:rPr>
                <w:sz w:val="10"/>
                <w:szCs w:val="10"/>
                <w:color w:val="auto"/>
              </w:rPr>
            </w:pPr>
          </w:p>
        </w:tc>
        <w:tc>
          <w:tcPr>
            <w:tcW w:w="7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$ 857,335</w:t>
            </w: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1"/>
                <w:szCs w:val="11"/>
                <w:color w:val="auto"/>
              </w:rPr>
              <w:t>Accumulated Dividends in Excess of Trust Net Income</w:t>
            </w:r>
          </w:p>
        </w:tc>
        <w:tc>
          <w:tcPr>
            <w:tcW w:w="2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w w:val="89"/>
              </w:rPr>
              <w:t>(386,738)</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w w:val="89"/>
              </w:rPr>
              <w:t>(368,839)</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Net income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17,246</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16,376</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Dividends declared to common shareholders</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(24,167)</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(21,907)</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Dividends declared to preferred shareholders and redemption costs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(2,869)</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(4,856)</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w w:val="89"/>
              </w:rPr>
              <w:t>(396,528)</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w w:val="89"/>
              </w:rPr>
              <w:t>(379,226)</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1"/>
                <w:szCs w:val="11"/>
                <w:color w:val="auto"/>
              </w:rPr>
              <w:t>Common Shares of Beneficial Interest in Treasury</w:t>
            </w: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110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(1,470,275)</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(28,445)</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(1,461,147)</w:t>
            </w: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(28,193)</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Performance and Restricted Shares forfeited</w:t>
            </w:r>
          </w:p>
        </w:tc>
        <w:tc>
          <w:tcPr>
            <w:tcW w:w="22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1"/>
                <w:szCs w:val="11"/>
                <w:color w:val="auto"/>
              </w:rPr>
              <w:t>(1,619)</w:t>
            </w:r>
          </w:p>
        </w:tc>
        <w:tc>
          <w:tcPr>
            <w:tcW w:w="42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(46)</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220" w:type="dxa"/>
            <w:vAlign w:val="bottom"/>
            <w:shd w:val="clear" w:color="auto" w:fill="EEEEEE"/>
          </w:tcPr>
          <w:p>
            <w:pPr>
              <w:spacing w:after="0"/>
              <w:rPr>
                <w:sz w:val="10"/>
                <w:szCs w:val="10"/>
                <w:color w:val="auto"/>
              </w:rPr>
            </w:pPr>
          </w:p>
        </w:tc>
        <w:tc>
          <w:tcPr>
            <w:tcW w:w="880" w:type="dxa"/>
            <w:vAlign w:val="bottom"/>
            <w:gridSpan w:val="2"/>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w w:val="88"/>
              </w:rPr>
              <w:t>(1,470,275)</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(28,445)</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(1,462,766)</w:t>
            </w: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(28,239)</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1"/>
                <w:szCs w:val="11"/>
                <w:color w:val="auto"/>
              </w:rPr>
              <w:t>Deferred Compensation on Restricted Shares</w:t>
            </w:r>
          </w:p>
        </w:tc>
        <w:tc>
          <w:tcPr>
            <w:tcW w:w="2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110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(220,666)</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(5,474)</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(129,448)</w:t>
            </w: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(2,657)</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Performance and Restricted Shares issued, net of forfeitures</w:t>
            </w:r>
          </w:p>
        </w:tc>
        <w:tc>
          <w:tcPr>
            <w:tcW w:w="1100" w:type="dxa"/>
            <w:vAlign w:val="bottom"/>
            <w:gridSpan w:val="3"/>
          </w:tcPr>
          <w:p>
            <w:pPr>
              <w:jc w:val="right"/>
              <w:ind w:right="360"/>
              <w:spacing w:after="0" w:line="122" w:lineRule="exact"/>
              <w:rPr>
                <w:sz w:val="20"/>
                <w:szCs w:val="20"/>
                <w:color w:val="auto"/>
              </w:rPr>
            </w:pPr>
            <w:r>
              <w:rPr>
                <w:rFonts w:ascii="Arial" w:cs="Arial" w:eastAsia="Arial" w:hAnsi="Arial"/>
                <w:sz w:val="11"/>
                <w:szCs w:val="11"/>
                <w:color w:val="auto"/>
              </w:rPr>
              <w:t>(75,522)</w:t>
            </w:r>
          </w:p>
        </w:tc>
        <w:tc>
          <w:tcPr>
            <w:tcW w:w="400" w:type="dxa"/>
            <w:vAlign w:val="bottom"/>
          </w:tcPr>
          <w:p>
            <w:pPr>
              <w:spacing w:after="0"/>
              <w:rPr>
                <w:sz w:val="10"/>
                <w:szCs w:val="10"/>
                <w:color w:val="auto"/>
              </w:rPr>
            </w:pPr>
          </w:p>
        </w:tc>
        <w:tc>
          <w:tcPr>
            <w:tcW w:w="7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(4,955)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3"/>
          </w:tcPr>
          <w:p>
            <w:pPr>
              <w:jc w:val="right"/>
              <w:ind w:right="360"/>
              <w:spacing w:after="0" w:line="122" w:lineRule="exact"/>
              <w:rPr>
                <w:sz w:val="20"/>
                <w:szCs w:val="20"/>
                <w:color w:val="auto"/>
              </w:rPr>
            </w:pPr>
            <w:r>
              <w:rPr>
                <w:rFonts w:ascii="Arial" w:cs="Arial" w:eastAsia="Arial" w:hAnsi="Arial"/>
                <w:sz w:val="11"/>
                <w:szCs w:val="11"/>
                <w:color w:val="auto"/>
              </w:rPr>
              <w:t>(113,500)</w:t>
            </w:r>
          </w:p>
        </w:tc>
        <w:tc>
          <w:tcPr>
            <w:tcW w:w="420" w:type="dxa"/>
            <w:vAlign w:val="bottom"/>
          </w:tcPr>
          <w:p>
            <w:pPr>
              <w:spacing w:after="0"/>
              <w:rPr>
                <w:sz w:val="10"/>
                <w:szCs w:val="10"/>
                <w:color w:val="auto"/>
              </w:rPr>
            </w:pPr>
          </w:p>
        </w:tc>
        <w:tc>
          <w:tcPr>
            <w:tcW w:w="7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(3,179)</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Vesting of Performance and Restricted Shares</w:t>
            </w:r>
          </w:p>
        </w:tc>
        <w:tc>
          <w:tcPr>
            <w:tcW w:w="1100" w:type="dxa"/>
            <w:vAlign w:val="bottom"/>
            <w:gridSpan w:val="3"/>
            <w:shd w:val="clear" w:color="auto" w:fill="EEEEEE"/>
          </w:tcPr>
          <w:p>
            <w:pPr>
              <w:jc w:val="right"/>
              <w:ind w:right="400"/>
              <w:spacing w:after="0" w:line="122" w:lineRule="exact"/>
              <w:rPr>
                <w:sz w:val="20"/>
                <w:szCs w:val="20"/>
                <w:color w:val="auto"/>
              </w:rPr>
            </w:pPr>
            <w:r>
              <w:rPr>
                <w:rFonts w:ascii="Arial" w:cs="Arial" w:eastAsia="Arial" w:hAnsi="Arial"/>
                <w:sz w:val="11"/>
                <w:szCs w:val="11"/>
                <w:color w:val="auto"/>
              </w:rPr>
              <w:t>45,012</w:t>
            </w: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1,113</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18,263</w:t>
            </w: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367</w:t>
            </w: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2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vMerge w:val="continue"/>
          </w:tcPr>
          <w:p>
            <w:pPr>
              <w:spacing w:after="0"/>
              <w:rPr>
                <w:sz w:val="12"/>
                <w:szCs w:val="12"/>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1"/>
                <w:szCs w:val="11"/>
                <w:color w:val="auto"/>
              </w:rPr>
              <w:t>(251,176)</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(9,316)</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1"/>
                <w:szCs w:val="11"/>
                <w:color w:val="auto"/>
              </w:rPr>
              <w:t>(224,685)</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(5,469)</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Subscriptions receivable from employee stock plans</w:t>
            </w:r>
          </w:p>
        </w:tc>
        <w:tc>
          <w:tcPr>
            <w:tcW w:w="220" w:type="dxa"/>
            <w:vAlign w:val="bottom"/>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tcBorders>
              <w:top w:val="single" w:sz="8" w:color="808080"/>
            </w:tcBorders>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tcBorders>
              <w:top w:val="single" w:sz="8" w:color="808080"/>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tcBorders>
              <w:top w:val="single" w:sz="8" w:color="808080"/>
            </w:tcBorders>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1100" w:type="dxa"/>
            <w:vAlign w:val="bottom"/>
            <w:gridSpan w:val="3"/>
          </w:tcPr>
          <w:p>
            <w:pPr>
              <w:jc w:val="right"/>
              <w:ind w:right="360"/>
              <w:spacing w:after="0" w:line="122" w:lineRule="exact"/>
              <w:rPr>
                <w:sz w:val="20"/>
                <w:szCs w:val="20"/>
                <w:color w:val="auto"/>
              </w:rPr>
            </w:pPr>
            <w:r>
              <w:rPr>
                <w:rFonts w:ascii="Arial" w:cs="Arial" w:eastAsia="Arial" w:hAnsi="Arial"/>
                <w:sz w:val="11"/>
                <w:szCs w:val="11"/>
                <w:color w:val="auto"/>
              </w:rPr>
              <w:t>(156,274)</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(3,615)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3"/>
          </w:tcPr>
          <w:p>
            <w:pPr>
              <w:jc w:val="right"/>
              <w:ind w:right="360"/>
              <w:spacing w:after="0" w:line="122" w:lineRule="exact"/>
              <w:rPr>
                <w:sz w:val="20"/>
                <w:szCs w:val="20"/>
                <w:color w:val="auto"/>
              </w:rPr>
            </w:pPr>
            <w:r>
              <w:rPr>
                <w:rFonts w:ascii="Arial" w:cs="Arial" w:eastAsia="Arial" w:hAnsi="Arial"/>
                <w:sz w:val="11"/>
                <w:szCs w:val="11"/>
                <w:color w:val="auto"/>
              </w:rPr>
              <w:t>(184,063)</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(5,151)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Subscription loans issued</w:t>
            </w:r>
          </w:p>
        </w:tc>
        <w:tc>
          <w:tcPr>
            <w:tcW w:w="110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(7,000)</w:t>
            </w: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(147)</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(36,667)</w:t>
            </w:r>
          </w:p>
        </w:tc>
        <w:tc>
          <w:tcPr>
            <w:tcW w:w="42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(895)</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Subscription loans paid</w:t>
            </w:r>
          </w:p>
        </w:tc>
        <w:tc>
          <w:tcPr>
            <w:tcW w:w="22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50,000</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1,664</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220" w:type="dxa"/>
            <w:vAlign w:val="bottom"/>
            <w:shd w:val="clear" w:color="auto" w:fill="EEEEEE"/>
          </w:tcPr>
          <w:p>
            <w:pPr>
              <w:spacing w:after="0"/>
              <w:rPr>
                <w:sz w:val="10"/>
                <w:szCs w:val="10"/>
                <w:color w:val="auto"/>
              </w:rPr>
            </w:pPr>
          </w:p>
        </w:tc>
        <w:tc>
          <w:tcPr>
            <w:tcW w:w="880" w:type="dxa"/>
            <w:vAlign w:val="bottom"/>
            <w:gridSpan w:val="2"/>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(163,274)</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(3,762)</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60"/>
              <w:spacing w:after="0" w:line="122" w:lineRule="exact"/>
              <w:rPr>
                <w:sz w:val="20"/>
                <w:szCs w:val="20"/>
                <w:color w:val="auto"/>
              </w:rPr>
            </w:pPr>
            <w:r>
              <w:rPr>
                <w:rFonts w:ascii="Arial" w:cs="Arial" w:eastAsia="Arial" w:hAnsi="Arial"/>
                <w:sz w:val="11"/>
                <w:szCs w:val="11"/>
                <w:color w:val="auto"/>
              </w:rPr>
              <w:t>(170,730)</w:t>
            </w: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(4,382)</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1"/>
                <w:szCs w:val="11"/>
                <w:color w:val="auto"/>
              </w:rPr>
              <w:t>Accumulated other comprehensive income (loss)</w:t>
            </w:r>
          </w:p>
        </w:tc>
        <w:tc>
          <w:tcPr>
            <w:tcW w:w="2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(87)</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(4,613)</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Change due to recognizing (loss) gain on securities</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62</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Loss on interest rate hedge transaction</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(1,004)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1,017</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(1,029)</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(3,582)</w:t>
            </w: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1"/>
                <w:szCs w:val="11"/>
                <w:color w:val="auto"/>
              </w:rPr>
              <w:t>Comprehensive income</w:t>
            </w: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Net income</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17,246</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16,376</w:t>
            </w: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ind w:left="120"/>
              <w:spacing w:after="0" w:line="122" w:lineRule="exact"/>
              <w:rPr>
                <w:sz w:val="20"/>
                <w:szCs w:val="20"/>
                <w:color w:val="auto"/>
              </w:rPr>
            </w:pPr>
            <w:r>
              <w:rPr>
                <w:rFonts w:ascii="Arial" w:cs="Arial" w:eastAsia="Arial" w:hAnsi="Arial"/>
                <w:sz w:val="11"/>
                <w:szCs w:val="11"/>
                <w:color w:val="auto"/>
              </w:rPr>
              <w:t>Change due to recognizing loss on securities</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62</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700" w:type="dxa"/>
            <w:vAlign w:val="bottom"/>
            <w:gridSpan w:val="2"/>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ind w:left="120"/>
              <w:spacing w:after="0"/>
              <w:rPr>
                <w:sz w:val="20"/>
                <w:szCs w:val="20"/>
                <w:color w:val="auto"/>
              </w:rPr>
            </w:pPr>
            <w:r>
              <w:rPr>
                <w:rFonts w:ascii="Arial" w:cs="Arial" w:eastAsia="Arial" w:hAnsi="Arial"/>
                <w:sz w:val="11"/>
                <w:szCs w:val="11"/>
                <w:color w:val="auto"/>
              </w:rPr>
              <w:t>Loss on interest rate hedge transaction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(1,004)</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1,017</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Total comprehensive income</w:t>
            </w:r>
          </w:p>
        </w:tc>
        <w:tc>
          <w:tcPr>
            <w:tcW w:w="22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808080"/>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16,304</w:t>
            </w:r>
          </w:p>
        </w:tc>
        <w:tc>
          <w:tcPr>
            <w:tcW w:w="30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4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808080"/>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17,407</w:t>
            </w:r>
          </w:p>
        </w:tc>
        <w:tc>
          <w:tcPr>
            <w:tcW w:w="3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980" w:type="dxa"/>
            <w:vAlign w:val="bottom"/>
            <w:gridSpan w:val="5"/>
          </w:tcPr>
          <w:p>
            <w:pPr>
              <w:jc w:val="right"/>
              <w:ind w:right="100"/>
              <w:spacing w:after="0"/>
              <w:rPr>
                <w:sz w:val="20"/>
                <w:szCs w:val="20"/>
                <w:color w:val="auto"/>
              </w:rPr>
            </w:pPr>
            <w:r>
              <w:rPr>
                <w:rFonts w:ascii="Arial" w:cs="Arial" w:eastAsia="Arial" w:hAnsi="Arial"/>
                <w:sz w:val="14"/>
                <w:szCs w:val="14"/>
                <w:color w:val="auto"/>
                <w:w w:val="95"/>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4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20"/>
                <w:szCs w:val="20"/>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4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EEEEEE"/>
          </w:tcPr>
          <w:p>
            <w:pPr>
              <w:spacing w:after="0"/>
              <w:rPr>
                <w:sz w:val="20"/>
                <w:szCs w:val="20"/>
                <w:color w:val="auto"/>
              </w:rPr>
            </w:pPr>
            <w:r>
              <w:rPr>
                <w:rFonts w:ascii="Arial" w:cs="Arial" w:eastAsia="Arial" w:hAnsi="Arial"/>
                <w:sz w:val="18"/>
                <w:szCs w:val="18"/>
                <w:color w:val="auto"/>
              </w:rPr>
              <w:t>(In thousands)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17,246</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$ 16,376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Items not requiring cash outlays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20,622</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Increase in accounts receivable</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(3,709)</w:t>
            </w: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6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(1,615)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(Decrease) increase in operating accounts payable, security deposits and prepaid rent</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5,306</w:t>
            </w: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260"/>
              <w:spacing w:after="0"/>
              <w:rPr>
                <w:sz w:val="20"/>
                <w:szCs w:val="20"/>
                <w:color w:val="auto"/>
              </w:rPr>
            </w:pPr>
            <w:r>
              <w:rPr>
                <w:rFonts w:ascii="Arial" w:cs="Arial" w:eastAsia="Arial" w:hAnsi="Arial"/>
                <w:sz w:val="18"/>
                <w:szCs w:val="18"/>
                <w:color w:val="auto"/>
              </w:rPr>
              <w:t>(Decrease) increase in accrued expenses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4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38,976</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24,677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4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(97,134)</w:t>
            </w: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Capital expenditures — development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(11,137)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 — other</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(11,698)</w:t>
            </w: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Repayment of mortgage notes receivable, net</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(919)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4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0"/>
              </w:rPr>
              <w:t>(120,888)</w:t>
            </w: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(75,192)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EEEEEE"/>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Proceeds from borrowings on notes and senior debentures,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35,500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1,971</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35,687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Net proceeds (payments) on mortgages, capital leases and notes payable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64,385</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(26,342)</w:t>
            </w:r>
          </w:p>
        </w:tc>
        <w:tc>
          <w:tcPr>
            <w:tcW w:w="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120"/>
              <w:spacing w:after="0"/>
              <w:rPr>
                <w:sz w:val="20"/>
                <w:szCs w:val="20"/>
                <w:color w:val="auto"/>
              </w:rPr>
            </w:pPr>
            <w:r>
              <w:rPr>
                <w:rFonts w:ascii="Arial" w:cs="Arial" w:eastAsia="Arial" w:hAnsi="Arial"/>
                <w:sz w:val="18"/>
                <w:szCs w:val="18"/>
                <w:color w:val="auto"/>
              </w:rPr>
              <w:t>Decrease in minority interest, net</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(630)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100" w:type="dxa"/>
            <w:vAlign w:val="bottom"/>
            <w:tcBorders>
              <w:top w:val="single" w:sz="8" w:color="808080"/>
            </w:tcBorders>
          </w:tcPr>
          <w:p>
            <w:pPr>
              <w:spacing w:after="0"/>
              <w:rPr>
                <w:sz w:val="19"/>
                <w:szCs w:val="19"/>
                <w:color w:val="auto"/>
              </w:rPr>
            </w:pPr>
          </w:p>
        </w:tc>
        <w:tc>
          <w:tcPr>
            <w:tcW w:w="660" w:type="dxa"/>
            <w:vAlign w:val="bottom"/>
            <w:tcBorders>
              <w:top w:val="single" w:sz="8" w:color="808080"/>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74,884</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44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10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(7,028)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EEEEEE"/>
          </w:tcPr>
          <w:p>
            <w:pPr>
              <w:spacing w:after="0"/>
              <w:rPr>
                <w:sz w:val="20"/>
                <w:szCs w:val="20"/>
                <w:color w:val="auto"/>
              </w:rPr>
            </w:pPr>
            <w:r>
              <w:rPr>
                <w:rFonts w:ascii="Arial" w:cs="Arial" w:eastAsia="Arial" w:hAnsi="Arial"/>
                <w:sz w:val="18"/>
                <w:szCs w:val="18"/>
                <w:color w:val="auto"/>
              </w:rPr>
              <w:t>Cash at beginning of period</w:t>
            </w:r>
          </w:p>
        </w:tc>
        <w:tc>
          <w:tcPr>
            <w:tcW w:w="1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34,968</w:t>
            </w:r>
          </w:p>
        </w:tc>
        <w:tc>
          <w:tcPr>
            <w:tcW w:w="4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44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27,940</w:t>
            </w: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$ 18,113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9440" w:type="dxa"/>
            <w:vAlign w:val="bottom"/>
            <w:gridSpan w:val="2"/>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944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40" w:type="dxa"/>
            <w:vAlign w:val="bottom"/>
            <w:gridSpan w:val="2"/>
          </w:tcPr>
          <w:p>
            <w:pPr>
              <w:ind w:left="56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A — </w:t>
      </w:r>
      <w:r>
        <w:rPr>
          <w:rFonts w:ascii="Arial" w:cs="Arial" w:eastAsia="Arial" w:hAnsi="Arial"/>
          <w:sz w:val="18"/>
          <w:szCs w:val="18"/>
          <w:color w:val="auto"/>
        </w:rPr>
        <w:t>ACCOUNTING POLICIES AND OTHER DATA</w:t>
      </w:r>
    </w:p>
    <w:p>
      <w:pPr>
        <w:spacing w:after="0" w:line="18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 quality retail and mixed-use properties. As of March 31, 2004, we owned or had an interest in 63 community and neighborhood shopping centers, including the acquisition of Westgate Mall in March 2004, comprising approximately 14.2 million square feet, primarily located in densely populated and affluent communities throughout the Northeast and Mid-Atlantic United States. In addition, we own 49 urban and retail mixed-use properties comprising over 2.7 million square feet and one apartment complex, primarily located in strategic metropolitan markets in the Northeast and Mid-Atlantic regions and California. In total, our properties were 93.3% leased at March 31, 2004. We have paid quarterly dividends to our shareholders continuously since our founding in 1962, and have increased our dividend rate for 36 consecutive years.</w:t>
      </w:r>
    </w:p>
    <w:p>
      <w:pPr>
        <w:spacing w:after="0" w:line="162"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The accompanying unaudited financial statements have been prepared in conformity with generally accepted accounting principles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the Company’s Form 10-K for the year ended December 31, 2003.</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between basic and diluted EPS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w w:val="93"/>
              </w:rPr>
              <w:t>Three month ending March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532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8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Numerator</w:t>
            </w:r>
          </w:p>
        </w:tc>
        <w:tc>
          <w:tcPr>
            <w:tcW w:w="4600" w:type="dxa"/>
            <w:vAlign w:val="bottom"/>
            <w:shd w:val="clear" w:color="auto" w:fill="EEEEEE"/>
          </w:tcPr>
          <w:p>
            <w:pPr>
              <w:spacing w:after="0"/>
              <w:rPr>
                <w:sz w:val="15"/>
                <w:szCs w:val="15"/>
                <w:color w:val="auto"/>
              </w:rPr>
            </w:pPr>
          </w:p>
        </w:tc>
        <w:tc>
          <w:tcPr>
            <w:tcW w:w="720" w:type="dxa"/>
            <w:vAlign w:val="bottom"/>
            <w:tcBorders>
              <w:left w:val="single" w:sz="8" w:color="EEEEEE"/>
              <w:right w:val="single" w:sz="8" w:color="EEEEEE"/>
            </w:tcBorders>
            <w:shd w:val="clear" w:color="auto" w:fill="EEEEEE"/>
          </w:tcPr>
          <w:p>
            <w:pPr>
              <w:spacing w:after="0"/>
              <w:rPr>
                <w:sz w:val="15"/>
                <w:szCs w:val="15"/>
                <w:color w:val="auto"/>
              </w:rPr>
            </w:pPr>
          </w:p>
        </w:tc>
        <w:tc>
          <w:tcPr>
            <w:tcW w:w="440" w:type="dxa"/>
            <w:vAlign w:val="bottom"/>
            <w:tcBorders>
              <w:right w:val="single" w:sz="8" w:color="EEEEEE"/>
            </w:tcBorders>
            <w:shd w:val="clear" w:color="auto" w:fill="EEEEEE"/>
          </w:tcPr>
          <w:p>
            <w:pPr>
              <w:spacing w:after="0"/>
              <w:rPr>
                <w:sz w:val="15"/>
                <w:szCs w:val="15"/>
                <w:color w:val="auto"/>
              </w:rPr>
            </w:pPr>
          </w:p>
        </w:tc>
        <w:tc>
          <w:tcPr>
            <w:tcW w:w="680" w:type="dxa"/>
            <w:vAlign w:val="bottom"/>
            <w:tcBorders>
              <w:right w:val="single" w:sz="8" w:color="EEEEEE"/>
            </w:tcBorders>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3940" w:type="dxa"/>
            <w:vAlign w:val="bottom"/>
            <w:tcBorders>
              <w:top w:val="single" w:sz="8" w:color="EEEEEE"/>
            </w:tcBorders>
            <w:shd w:val="clear" w:color="auto" w:fill="EEEEEE"/>
          </w:tcPr>
          <w:p>
            <w:pPr>
              <w:spacing w:after="0" w:line="20" w:lineRule="exact"/>
              <w:rPr>
                <w:sz w:val="1"/>
                <w:szCs w:val="1"/>
                <w:color w:val="auto"/>
              </w:rPr>
            </w:pPr>
          </w:p>
        </w:tc>
        <w:tc>
          <w:tcPr>
            <w:tcW w:w="460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left w:val="single" w:sz="8" w:color="EEEEEE"/>
              <w:right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 — basic</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$ 14,377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$ 11,520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53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4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spacing w:after="0"/>
              <w:rPr>
                <w:sz w:val="20"/>
                <w:szCs w:val="20"/>
                <w:color w:val="auto"/>
              </w:rPr>
            </w:pPr>
            <w:r>
              <w:rPr>
                <w:rFonts w:ascii="Arial" w:cs="Arial" w:eastAsia="Arial" w:hAnsi="Arial"/>
                <w:sz w:val="18"/>
                <w:szCs w:val="18"/>
                <w:color w:val="auto"/>
              </w:rPr>
              <w:t>Net income available for common shareholders — diluted</w:t>
            </w:r>
          </w:p>
        </w:tc>
        <w:tc>
          <w:tcPr>
            <w:tcW w:w="46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4"/>
            <w:vMerge w:val="continue"/>
          </w:tcPr>
          <w:p>
            <w:pPr>
              <w:spacing w:after="0"/>
              <w:rPr>
                <w:sz w:val="19"/>
                <w:szCs w:val="19"/>
                <w:color w:val="auto"/>
              </w:rPr>
            </w:pPr>
          </w:p>
        </w:tc>
        <w:tc>
          <w:tcPr>
            <w:tcW w:w="4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6"/>
              </w:rPr>
              <w:t>$ 14,612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$ 11,726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600" w:type="dxa"/>
            <w:vAlign w:val="bottom"/>
          </w:tcPr>
          <w:p>
            <w:pPr>
              <w:spacing w:after="0"/>
              <w:rPr>
                <w:sz w:val="5"/>
                <w:szCs w:val="5"/>
                <w:color w:val="auto"/>
              </w:rPr>
            </w:pPr>
          </w:p>
        </w:tc>
        <w:tc>
          <w:tcPr>
            <w:tcW w:w="72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 w:type="dxa"/>
            <w:vAlign w:val="bottom"/>
            <w:tcBorders>
              <w:bottom w:val="single" w:sz="8" w:color="auto"/>
            </w:tcBorders>
            <w:gridSpan w:val="2"/>
            <w:shd w:val="clear" w:color="auto" w:fill="EEEEEE"/>
          </w:tcPr>
          <w:p>
            <w:pPr>
              <w:spacing w:after="0" w:line="186" w:lineRule="exact"/>
              <w:rPr>
                <w:sz w:val="20"/>
                <w:szCs w:val="20"/>
                <w:color w:val="auto"/>
              </w:rPr>
            </w:pPr>
            <w:r>
              <w:rPr>
                <w:rFonts w:ascii="Arial" w:cs="Arial" w:eastAsia="Arial" w:hAnsi="Arial"/>
                <w:sz w:val="18"/>
                <w:szCs w:val="18"/>
                <w:color w:val="auto"/>
                <w:w w:val="89"/>
              </w:rPr>
              <w:t>Denominator</w:t>
            </w:r>
          </w:p>
        </w:tc>
        <w:tc>
          <w:tcPr>
            <w:tcW w:w="3940" w:type="dxa"/>
            <w:vAlign w:val="bottom"/>
            <w:tcBorders>
              <w:bottom w:val="single" w:sz="8" w:color="EEEEEE"/>
            </w:tcBorders>
            <w:shd w:val="clear" w:color="auto" w:fill="EEEEEE"/>
          </w:tcPr>
          <w:p>
            <w:pPr>
              <w:spacing w:after="0"/>
              <w:rPr>
                <w:sz w:val="17"/>
                <w:szCs w:val="17"/>
                <w:color w:val="auto"/>
              </w:rPr>
            </w:pPr>
          </w:p>
        </w:tc>
        <w:tc>
          <w:tcPr>
            <w:tcW w:w="460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left w:val="single" w:sz="8" w:color="EEEEEE"/>
              <w:bottom w:val="single" w:sz="8" w:color="EEEEEE"/>
              <w:right w:val="single" w:sz="8" w:color="EEEEEE"/>
            </w:tcBorders>
            <w:shd w:val="clear" w:color="auto" w:fill="EEEEEE"/>
          </w:tcPr>
          <w:p>
            <w:pPr>
              <w:spacing w:after="0"/>
              <w:rPr>
                <w:sz w:val="17"/>
                <w:szCs w:val="17"/>
                <w:color w:val="auto"/>
              </w:rPr>
            </w:pPr>
          </w:p>
        </w:tc>
        <w:tc>
          <w:tcPr>
            <w:tcW w:w="440" w:type="dxa"/>
            <w:vAlign w:val="bottom"/>
            <w:tcBorders>
              <w:bottom w:val="single" w:sz="8" w:color="EEEEEE"/>
              <w:right w:val="single" w:sz="8" w:color="EEEEEE"/>
            </w:tcBorders>
            <w:shd w:val="clear" w:color="auto" w:fill="EEEEEE"/>
          </w:tcPr>
          <w:p>
            <w:pPr>
              <w:spacing w:after="0"/>
              <w:rPr>
                <w:sz w:val="17"/>
                <w:szCs w:val="17"/>
                <w:color w:val="auto"/>
              </w:rPr>
            </w:pPr>
          </w:p>
        </w:tc>
        <w:tc>
          <w:tcPr>
            <w:tcW w:w="680" w:type="dxa"/>
            <w:vAlign w:val="bottom"/>
            <w:tcBorders>
              <w:bottom w:val="single" w:sz="8" w:color="EEEEEE"/>
              <w:right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Denominator for basic EPS- weighted average shares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49,163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Effect of dilutive securities,</w:t>
            </w:r>
          </w:p>
        </w:tc>
        <w:tc>
          <w:tcPr>
            <w:tcW w:w="4600" w:type="dxa"/>
            <w:vAlign w:val="bottom"/>
            <w:shd w:val="clear" w:color="auto" w:fill="EEEEEE"/>
          </w:tcPr>
          <w:p>
            <w:pPr>
              <w:spacing w:after="0"/>
              <w:rPr>
                <w:sz w:val="18"/>
                <w:szCs w:val="18"/>
                <w:color w:val="auto"/>
              </w:rPr>
            </w:pPr>
          </w:p>
        </w:tc>
        <w:tc>
          <w:tcPr>
            <w:tcW w:w="72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Stock options and awards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Operating partnership units</w:t>
            </w:r>
          </w:p>
        </w:tc>
        <w:tc>
          <w:tcPr>
            <w:tcW w:w="53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834</w:t>
            </w:r>
          </w:p>
        </w:tc>
        <w:tc>
          <w:tcPr>
            <w:tcW w:w="4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spacing w:after="0"/>
              <w:rPr>
                <w:sz w:val="20"/>
                <w:szCs w:val="20"/>
                <w:color w:val="auto"/>
              </w:rPr>
            </w:pPr>
            <w:r>
              <w:rPr>
                <w:rFonts w:ascii="Arial" w:cs="Arial" w:eastAsia="Arial" w:hAnsi="Arial"/>
                <w:sz w:val="18"/>
                <w:szCs w:val="18"/>
                <w:color w:val="auto"/>
              </w:rPr>
              <w:t>Denominator of diluted EPS</w:t>
            </w:r>
          </w:p>
        </w:tc>
        <w:tc>
          <w:tcPr>
            <w:tcW w:w="5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gridSpan w:val="4"/>
            <w:vMerge w:val="continue"/>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50,613</w:t>
            </w:r>
          </w:p>
        </w:tc>
        <w:tc>
          <w:tcPr>
            <w:tcW w:w="440" w:type="dxa"/>
            <w:vAlign w:val="bottom"/>
          </w:tcPr>
          <w:p>
            <w:pPr>
              <w:spacing w:after="0"/>
              <w:rPr>
                <w:sz w:val="18"/>
                <w:szCs w:val="18"/>
                <w:color w:val="auto"/>
              </w:rPr>
            </w:pPr>
          </w:p>
        </w:tc>
        <w:tc>
          <w:tcPr>
            <w:tcW w:w="6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45,354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4600" w:type="dxa"/>
            <w:vAlign w:val="bottom"/>
            <w:vMerge w:val="restart"/>
          </w:tcPr>
          <w:p>
            <w:pPr>
              <w:jc w:val="right"/>
              <w:ind w:right="3593"/>
              <w:spacing w:after="0"/>
              <w:rPr>
                <w:sz w:val="20"/>
                <w:szCs w:val="20"/>
                <w:color w:val="auto"/>
              </w:rPr>
            </w:pPr>
            <w:r>
              <w:rPr>
                <w:rFonts w:ascii="Arial" w:cs="Arial" w:eastAsia="Arial" w:hAnsi="Arial"/>
                <w:sz w:val="18"/>
                <w:szCs w:val="18"/>
                <w:color w:val="auto"/>
              </w:rPr>
              <w:t>-8-</w:t>
            </w:r>
          </w:p>
        </w:tc>
        <w:tc>
          <w:tcPr>
            <w:tcW w:w="720" w:type="dxa"/>
            <w:vAlign w:val="bottom"/>
            <w:tcBorders>
              <w:left w:val="single" w:sz="8" w:color="808080"/>
              <w:right w:val="single" w:sz="8" w:color="808080"/>
            </w:tcBorders>
            <w:shd w:val="clear" w:color="auto" w:fill="808080"/>
          </w:tcPr>
          <w:p>
            <w:pPr>
              <w:spacing w:after="0"/>
              <w:rPr>
                <w:sz w:val="6"/>
                <w:szCs w:val="6"/>
                <w:color w:val="auto"/>
              </w:rPr>
            </w:pPr>
          </w:p>
        </w:tc>
        <w:tc>
          <w:tcPr>
            <w:tcW w:w="440" w:type="dxa"/>
            <w:vAlign w:val="bottom"/>
            <w:tcBorders>
              <w:right w:val="single" w:sz="8" w:color="808080"/>
            </w:tcBorders>
          </w:tcPr>
          <w:p>
            <w:pPr>
              <w:spacing w:after="0"/>
              <w:rPr>
                <w:sz w:val="6"/>
                <w:szCs w:val="6"/>
                <w:color w:val="auto"/>
              </w:rPr>
            </w:pPr>
          </w:p>
        </w:tc>
        <w:tc>
          <w:tcPr>
            <w:tcW w:w="68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Certain components of rental income, other property income, rental expense, real estate tax expense and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on the March 31, 2003 Consolidated Statements of Operations have been reclassified to Income From Operations of Discontinued Assets to assure comparability of all periods presented. In addition, certain December 31, 2003 Balance Sheet accounts and components of the March 31, 2004 Consolidated Statement of Cash Flows have been reclassified to assure comparability of all periods presented.</w:t>
      </w:r>
    </w:p>
    <w:p>
      <w:pPr>
        <w:spacing w:after="0" w:line="14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In December 2002 the FASB issued SFAS No. 148, “Accounting for Stock Based Compensation-Transition and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amending FASB Statement No. 123, “Accounting for Stock-Based Compensation”. SFAS No. 148 amends the disclosure provisions to require prominent disclosure about the effects on reported net income of an entity’s accounting policy decisions with respect to stock-based compensation. We account for stock options using the intrinsic method in accordance with APB No. 25, “Accounting for Stock Issued to Employees,” as interpreted, whereby if options are priced at fair market value or above at the date of grant, no compensation expense is recognized.</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 forma information is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for earnings per share)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6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14,377</w:t>
            </w: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11,520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Stock-based employee compensation cost included in net income as reported</w:t>
            </w:r>
          </w:p>
        </w:tc>
        <w:tc>
          <w:tcPr>
            <w:tcW w:w="240" w:type="dxa"/>
            <w:vAlign w:val="bottom"/>
          </w:tcPr>
          <w:p>
            <w:pPr>
              <w:spacing w:after="0"/>
              <w:rPr>
                <w:sz w:val="18"/>
                <w:szCs w:val="18"/>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88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700" w:type="dxa"/>
            <w:vAlign w:val="bottom"/>
            <w:gridSpan w:val="2"/>
          </w:tcPr>
          <w:p>
            <w:pPr>
              <w:spacing w:after="0"/>
              <w:rPr>
                <w:sz w:val="20"/>
                <w:szCs w:val="20"/>
                <w:color w:val="auto"/>
              </w:rPr>
            </w:pPr>
            <w:r>
              <w:rPr>
                <w:rFonts w:ascii="Arial" w:cs="Arial" w:eastAsia="Arial" w:hAnsi="Arial"/>
                <w:sz w:val="18"/>
                <w:szCs w:val="18"/>
                <w:color w:val="auto"/>
              </w:rPr>
              <w:t>Pro forma net income available to common shareholders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14,309</w:t>
            </w:r>
          </w:p>
        </w:tc>
        <w:tc>
          <w:tcPr>
            <w:tcW w:w="9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11,197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Earnings per common share, basic</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Pro forma earnings per common share, basic</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 forma earnings per common share, 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9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Statement of Financial Accounting Standards No. 149. </w:t>
      </w:r>
      <w:r>
        <w:rPr>
          <w:rFonts w:ascii="Arial" w:cs="Arial" w:eastAsia="Arial" w:hAnsi="Arial"/>
          <w:sz w:val="17"/>
          <w:szCs w:val="17"/>
          <w:color w:val="auto"/>
        </w:rPr>
        <w:t>In April 2003, the FASB issued SFAS No. 149, “Amendment of Statement 133 on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Hedging Activities” which clarifies the accounting and reporting for derivative instruments. The statement is effective for contracts entered into or modified after June 30, 2003. The adoption of SFAS No. 149 has not had a material effect on the Trust’s financial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 addresses the classification and measurement of freestanding financial instruments, including mandatory redeemable preferred and common stock, and requires an issuer to classify certain instruments as liabilities. The adoption of SFAS No. 150 has not had a material effect on the Trust’s financial Statements.</w:t>
      </w:r>
    </w:p>
    <w:p>
      <w:pPr>
        <w:spacing w:after="0" w:line="16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 On January 31, 2003, the FASB issued FASB Interpretation No. 46, “Consolidation of Variable Interest Entities” (“FIN 46”). FIN</w:t>
      </w:r>
      <w:r>
        <w:rPr>
          <w:rFonts w:ascii="Arial" w:cs="Arial" w:eastAsia="Arial" w:hAnsi="Arial"/>
          <w:sz w:val="18"/>
          <w:szCs w:val="18"/>
          <w:i w:val="1"/>
          <w:iCs w:val="1"/>
          <w:color w:val="auto"/>
        </w:rPr>
        <w:t xml:space="preserve"> </w:t>
      </w:r>
      <w:r>
        <w:rPr>
          <w:rFonts w:ascii="Arial" w:cs="Arial" w:eastAsia="Arial" w:hAnsi="Arial"/>
          <w:sz w:val="18"/>
          <w:szCs w:val="18"/>
          <w:color w:val="auto"/>
        </w:rPr>
        <w:t>46 clarifies existing accounting for whether interest entities should be consolidated in financial statements based upon the investee’s ability to finance its activities without additional financial support and whether investors possess characteristics of a controlling financial interest. We have evaluated the applicability of FIN 46 to our investments in certain restaurant joint ventures established in 2001 and 2002 at Santana Row and have determined that these joint ventures do not meet the definition of a Variable Interest Entity and therefore consolidation of these ventures is not required. Accordingly, these investments will continue to be accounted for using the equity method.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B — </w:t>
      </w:r>
      <w:r>
        <w:rPr>
          <w:rFonts w:ascii="Arial" w:cs="Arial" w:eastAsia="Arial" w:hAnsi="Arial"/>
          <w:sz w:val="18"/>
          <w:szCs w:val="18"/>
          <w:color w:val="auto"/>
        </w:rPr>
        <w:t>REAL ESTATE ASSETS AND ENCUMBRANCES</w:t>
      </w:r>
    </w:p>
    <w:p>
      <w:pPr>
        <w:spacing w:after="0" w:line="18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our rental income. We have agreed with the governmental authority on a condemnation value of $14.3 million, subject to certain terms, and anticipate closing of this transaction in mid-2004. Because the anticipated condemnation proceeds are in excess of our carrying value, we have not recorded any impairment in value of the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C — </w:t>
      </w:r>
      <w:r>
        <w:rPr>
          <w:rFonts w:ascii="Arial" w:cs="Arial" w:eastAsia="Arial" w:hAnsi="Arial"/>
          <w:sz w:val="18"/>
          <w:szCs w:val="18"/>
          <w:color w:val="auto"/>
        </w:rPr>
        <w:t>MORTGAGES AND CONSTRUCTION LOANS PAYABLE, NOTES PAYABLE AND OTHER LONG TERM DEBT</w:t>
      </w:r>
    </w:p>
    <w:p>
      <w:pPr>
        <w:spacing w:after="0" w:line="18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At March 31, 2004 there was $165 million borrowed under our $300 million revolving credit facility of which $98 million was repaid on April 7, 2004 using proceeds from a common equity offering. The maximum amount drawn during the first three months of 2004 was $165 million. The weighted average interest rate on borrowings under the revolving credit facility for the three months ended March 31, 2004 was 1.98%. The facility requires us to comply with various financial and other covenants, including the maintenance of a minimum shareholders’ equity and a maximum ratio of debt to net worth. At March 31, 2004, we were in compliance with all loan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D — </w:t>
      </w:r>
      <w:r>
        <w:rPr>
          <w:rFonts w:ascii="Arial" w:cs="Arial" w:eastAsia="Arial" w:hAnsi="Arial"/>
          <w:sz w:val="18"/>
          <w:szCs w:val="18"/>
          <w:color w:val="auto"/>
        </w:rPr>
        <w:t>SHAREHOLDERS’ EQUITY</w:t>
      </w:r>
    </w:p>
    <w:p>
      <w:pPr>
        <w:spacing w:after="0" w:line="18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On April 7, 2004 we issued 2,186,749 common shares at a net price of $45.33 (after taking into account underwriters discount and commissions) netting approximately $99 million in cash proceeds. The proceeds were used to repay borrowings outstanding under our revolving credit facility that we used to acquire Westgate Mall and for general corporate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E — </w:t>
      </w:r>
      <w:r>
        <w:rPr>
          <w:rFonts w:ascii="Arial" w:cs="Arial" w:eastAsia="Arial" w:hAnsi="Arial"/>
          <w:sz w:val="18"/>
          <w:szCs w:val="18"/>
          <w:color w:val="auto"/>
        </w:rPr>
        <w:t>INTEREST EXPENSE</w:t>
      </w:r>
    </w:p>
    <w:p>
      <w:pPr>
        <w:spacing w:after="0" w:line="202"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We incurred interest totaling $22.6 million during the first three months of 2004 and $22.8 million during the first three months of 2003, of which $1.3 million and $5.2 million, respectively, was capitalized in connection with development projects. Interest paid was $17.8 million in the first three months of 2004 and $17.2 million in the first three months of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F — </w:t>
      </w:r>
      <w:r>
        <w:rPr>
          <w:rFonts w:ascii="Arial" w:cs="Arial" w:eastAsia="Arial" w:hAnsi="Arial"/>
          <w:sz w:val="18"/>
          <w:szCs w:val="18"/>
          <w:color w:val="auto"/>
        </w:rPr>
        <w:t>COMMITMENTS AND CONTINGENCIES</w:t>
      </w:r>
    </w:p>
    <w:p>
      <w:pPr>
        <w:spacing w:after="0" w:line="189"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4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are committed to invest approximately $8.0 million in restaurant joint ventures at Santana Row, of which $7.8 million has been invested by March 31, 2004. These restaurant joint ventures are accounted for using the equity method as described in Note A, “Accounting Policies and Other Data — Variable Interest Entities.”</w:t>
      </w:r>
    </w:p>
    <w:p>
      <w:pPr>
        <w:spacing w:after="0" w:line="141"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from half to all of its 29.47% interest in Congressional Plaza at the interest’s then-current fair market value. Based on management’s current estimate of fair market value, our estimated liability upon exercise of the put option is approximately $21.0 million. In conjunction with the construction of the apartments at the property that were completed in 2003, 8.03% of the third party’s interest in Congressional Plaza was re-allocated to us, effective January 1, 2004, thereby lowering the third party’s ownership percentage from 37.5% to its current level of 29.47%, as a result of our having funded approximately $7 million of the third party’s share of the redevelopment cost.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Under the terms of various other partnerships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On January 5, 2004 we paid $199,000 to redeem 5,100 of these operating units and on March 3, 2004 we paid $200,000 to redeem 4,667 of these operating units. As of March 31, 2004, a total of 842,455 operating units remain outstanding.</w:t>
      </w:r>
    </w:p>
    <w:p>
      <w:pPr>
        <w:spacing w:after="0" w:line="14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interests, we may choose to purchase the limited partnership interests upon the same terms.</w:t>
      </w:r>
    </w:p>
    <w:p>
      <w:pPr>
        <w:spacing w:after="0" w:line="148"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is estimated to range from $1.6 million to $3.0 million of which approximately $360,000 was funded in 2003. We have accrued for additional payments of $1.2 million as part of the project costs in anticipation of a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G — </w:t>
      </w:r>
      <w:r>
        <w:rPr>
          <w:rFonts w:ascii="Arial" w:cs="Arial" w:eastAsia="Arial" w:hAnsi="Arial"/>
          <w:sz w:val="18"/>
          <w:szCs w:val="18"/>
          <w:color w:val="auto"/>
        </w:rPr>
        <w:t>COMPONENTS OF RENTAL INCOME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rental income for the periods ended March 31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60" w:type="dxa"/>
            <w:vAlign w:val="bottom"/>
            <w:gridSpan w:val="7"/>
          </w:tcPr>
          <w:p>
            <w:pPr>
              <w:ind w:left="140"/>
              <w:spacing w:after="0"/>
              <w:rPr>
                <w:sz w:val="20"/>
                <w:szCs w:val="20"/>
                <w:color w:val="auto"/>
              </w:rPr>
            </w:pPr>
            <w:r>
              <w:rPr>
                <w:rFonts w:ascii="Arial" w:cs="Arial" w:eastAsia="Arial" w:hAnsi="Arial"/>
                <w:sz w:val="14"/>
                <w:szCs w:val="14"/>
                <w:b w:val="1"/>
                <w:bCs w:val="1"/>
                <w:color w:val="auto"/>
                <w:w w:val="99"/>
              </w:rPr>
              <w:t>Three months ending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0"/>
                <w:szCs w:val="20"/>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Minimum Rents</w:t>
            </w: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Retail and Commercial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$69,020</w:t>
            </w: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$61,425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Residential</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2,942</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Cost Reimbursements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16,206</w:t>
            </w: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14,907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Percentage Rents</w:t>
            </w: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Rental Income</w:t>
            </w:r>
          </w:p>
        </w:tc>
        <w:tc>
          <w:tcPr>
            <w:tcW w:w="26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89,643</w:t>
            </w: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79,247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Minimum rents include $713,000 and $373,000 for the quarters ended March 31, 2004 and March 31, 2003, respectively, to recognize rent on a straight-line basis. Residential minimum rents comprises the rents at Rollingwood Apartments, Crest Apartments at Congressional Plaza and the residential rents at Santana Row.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H — </w:t>
      </w:r>
      <w:r>
        <w:rPr>
          <w:rFonts w:ascii="Arial" w:cs="Arial" w:eastAsia="Arial" w:hAnsi="Arial"/>
          <w:sz w:val="18"/>
          <w:szCs w:val="18"/>
          <w:color w:val="auto"/>
        </w:rPr>
        <w:t>SEGMENT INFORMATION</w:t>
      </w:r>
    </w:p>
    <w:p>
      <w:pPr>
        <w:spacing w:after="0" w:line="202"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We operate our portfolio of properties in three geographic operating regions: Northeast, Mid-Atlantic and West, which constitute our segments under Statement of Financial Accounting Standard No. 131, “Disclosures about Segments of an Enterprise and Related Information.”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operations by geographic region is presented below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80" w:type="dxa"/>
            <w:vAlign w:val="bottom"/>
            <w:gridSpan w:val="6"/>
          </w:tcPr>
          <w:p>
            <w:pPr>
              <w:jc w:val="right"/>
              <w:ind w:right="752"/>
              <w:spacing w:after="0"/>
              <w:rPr>
                <w:sz w:val="20"/>
                <w:szCs w:val="20"/>
                <w:color w:val="auto"/>
              </w:rPr>
            </w:pPr>
            <w:r>
              <w:rPr>
                <w:rFonts w:ascii="Arial" w:cs="Arial" w:eastAsia="Arial" w:hAnsi="Arial"/>
                <w:sz w:val="14"/>
                <w:szCs w:val="14"/>
                <w:b w:val="1"/>
                <w:bCs w:val="1"/>
                <w:color w:val="auto"/>
                <w:w w:val="96"/>
              </w:rPr>
              <w:t>Three Months ended March 31, 2004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4"/>
                <w:szCs w:val="14"/>
                <w:b w:val="1"/>
                <w:bCs w:val="1"/>
                <w:color w:val="auto"/>
                <w:w w:val="94"/>
              </w:rPr>
              <w:t>Northeast</w:t>
            </w:r>
          </w:p>
        </w:tc>
        <w:tc>
          <w:tcPr>
            <w:tcW w:w="2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Mid-Atlantic</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West</w:t>
            </w:r>
          </w:p>
        </w:tc>
        <w:tc>
          <w:tcPr>
            <w:tcW w:w="260" w:type="dxa"/>
            <w:vAlign w:val="bottom"/>
          </w:tcPr>
          <w:p>
            <w:pPr>
              <w:spacing w:after="0"/>
              <w:rPr>
                <w:sz w:val="19"/>
                <w:szCs w:val="19"/>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33,243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8"/>
              </w:rPr>
              <w:t>39,300</w:t>
            </w:r>
          </w:p>
        </w:tc>
        <w:tc>
          <w:tcPr>
            <w:tcW w:w="8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4"/>
              </w:rPr>
              <w:t>17,100</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89,643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2,438</w:t>
            </w:r>
          </w:p>
        </w:tc>
        <w:tc>
          <w:tcPr>
            <w:tcW w:w="2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(7,266)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(6,064)</w:t>
            </w:r>
          </w:p>
        </w:tc>
        <w:tc>
          <w:tcPr>
            <w:tcW w:w="2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Real estate taxes</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(4,433)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(3,389)</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(1,401)</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operating income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22,854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b w:val="1"/>
                <w:bCs w:val="1"/>
                <w:color w:val="auto"/>
                <w:w w:val="98"/>
              </w:rPr>
              <w:t>29,132</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w w:val="94"/>
              </w:rPr>
              <w:t>12,563</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b w:val="1"/>
                <w:bCs w:val="1"/>
                <w:color w:val="auto"/>
              </w:rPr>
              <w:t>64,549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color w:val="auto"/>
              </w:rPr>
              <w:t>$(21,319)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Administrative expense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(4,182)</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(7,411)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(7,318)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(5,484)</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(20,622)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4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Income before minority interests and</w:t>
            </w:r>
          </w:p>
        </w:tc>
        <w:tc>
          <w:tcPr>
            <w:tcW w:w="2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discontinued operations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15,443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b w:val="1"/>
                <w:bCs w:val="1"/>
                <w:color w:val="auto"/>
                <w:w w:val="98"/>
              </w:rPr>
              <w:t>21,814</w:t>
            </w:r>
          </w:p>
        </w:tc>
        <w:tc>
          <w:tcPr>
            <w:tcW w:w="8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7,079</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$(25,910)</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b w:val="1"/>
                <w:bCs w:val="1"/>
                <w:color w:val="auto"/>
              </w:rPr>
              <w:t>18,426</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 w:type="dxa"/>
            <w:vAlign w:val="bottom"/>
            <w:vMerge w:val="restart"/>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 and acquisitions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13,260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3,697</w:t>
            </w:r>
          </w:p>
        </w:tc>
        <w:tc>
          <w:tcPr>
            <w:tcW w:w="1680" w:type="dxa"/>
            <w:vAlign w:val="bottom"/>
            <w:gridSpan w:val="4"/>
            <w:shd w:val="clear" w:color="auto" w:fill="EEEEEE"/>
          </w:tcPr>
          <w:p>
            <w:pPr>
              <w:jc w:val="right"/>
              <w:ind w:right="252"/>
              <w:spacing w:after="0"/>
              <w:rPr>
                <w:sz w:val="20"/>
                <w:szCs w:val="20"/>
                <w:color w:val="auto"/>
              </w:rPr>
            </w:pPr>
            <w:r>
              <w:rPr>
                <w:rFonts w:ascii="Arial" w:cs="Arial" w:eastAsia="Arial" w:hAnsi="Arial"/>
                <w:sz w:val="18"/>
                <w:szCs w:val="18"/>
                <w:color w:val="auto"/>
              </w:rPr>
              <w:t>$109,843</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126,800</w:t>
            </w:r>
          </w:p>
        </w:tc>
        <w:tc>
          <w:tcPr>
            <w:tcW w:w="0" w:type="dxa"/>
            <w:vAlign w:val="bottom"/>
          </w:tcPr>
          <w:p>
            <w:pPr>
              <w:spacing w:after="0"/>
              <w:rPr>
                <w:sz w:val="1"/>
                <w:szCs w:val="1"/>
                <w:color w:val="auto"/>
              </w:rPr>
            </w:pPr>
          </w:p>
        </w:tc>
      </w:tr>
      <w:tr>
        <w:trPr>
          <w:trHeight w:val="78"/>
        </w:trPr>
        <w:tc>
          <w:tcPr>
            <w:tcW w:w="376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1680" w:type="dxa"/>
            <w:vAlign w:val="bottom"/>
            <w:gridSpan w:val="4"/>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76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0" w:type="dxa"/>
            <w:vAlign w:val="bottom"/>
            <w:gridSpan w:val="3"/>
            <w:shd w:val="clear" w:color="auto" w:fill="808080"/>
          </w:tcPr>
          <w:p>
            <w:pPr>
              <w:spacing w:after="0"/>
              <w:rPr>
                <w:sz w:val="5"/>
                <w:szCs w:val="5"/>
                <w:color w:val="auto"/>
              </w:rPr>
            </w:pPr>
          </w:p>
        </w:tc>
        <w:tc>
          <w:tcPr>
            <w:tcW w:w="1680" w:type="dxa"/>
            <w:vAlign w:val="bottom"/>
            <w:gridSpan w:val="4"/>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80" w:type="dxa"/>
            <w:vAlign w:val="bottom"/>
            <w:gridSpan w:val="2"/>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3760" w:type="dxa"/>
            <w:vAlign w:val="bottom"/>
            <w:gridSpan w:val="2"/>
          </w:tcPr>
          <w:p>
            <w:pPr>
              <w:spacing w:after="0"/>
              <w:rPr>
                <w:sz w:val="20"/>
                <w:szCs w:val="20"/>
                <w:color w:val="auto"/>
              </w:rPr>
            </w:pPr>
            <w:r>
              <w:rPr>
                <w:rFonts w:ascii="Arial" w:cs="Arial" w:eastAsia="Arial" w:hAnsi="Arial"/>
                <w:sz w:val="18"/>
                <w:szCs w:val="18"/>
                <w:color w:val="auto"/>
              </w:rPr>
              <w:t>Real estate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w w:val="89"/>
              </w:rPr>
              <w:t>833,405</w:t>
            </w: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$901,058</w:t>
            </w:r>
          </w:p>
        </w:tc>
        <w:tc>
          <w:tcPr>
            <w:tcW w:w="1680" w:type="dxa"/>
            <w:vAlign w:val="bottom"/>
            <w:gridSpan w:val="4"/>
          </w:tcPr>
          <w:p>
            <w:pPr>
              <w:jc w:val="right"/>
              <w:ind w:right="252"/>
              <w:spacing w:after="0"/>
              <w:rPr>
                <w:sz w:val="20"/>
                <w:szCs w:val="20"/>
                <w:color w:val="auto"/>
              </w:rPr>
            </w:pPr>
            <w:r>
              <w:rPr>
                <w:rFonts w:ascii="Arial" w:cs="Arial" w:eastAsia="Arial" w:hAnsi="Arial"/>
                <w:sz w:val="18"/>
                <w:szCs w:val="18"/>
                <w:color w:val="auto"/>
              </w:rPr>
              <w:t>$862,485</w:t>
            </w:r>
          </w:p>
        </w:tc>
        <w:tc>
          <w:tcPr>
            <w:tcW w:w="260" w:type="dxa"/>
            <w:vAlign w:val="bottom"/>
          </w:tcPr>
          <w:p>
            <w:pPr>
              <w:spacing w:after="0"/>
              <w:rPr>
                <w:sz w:val="24"/>
                <w:szCs w:val="24"/>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w w:val="87"/>
              </w:rPr>
              <w:t>2,596,948</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180" w:type="dxa"/>
            <w:vAlign w:val="bottom"/>
            <w:gridSpan w:val="6"/>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180" w:type="dxa"/>
            <w:vAlign w:val="bottom"/>
            <w:gridSpan w:val="6"/>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80" w:type="dxa"/>
            <w:vAlign w:val="bottom"/>
            <w:gridSpan w:val="6"/>
          </w:tcPr>
          <w:p>
            <w:pPr>
              <w:jc w:val="right"/>
              <w:ind w:right="752"/>
              <w:spacing w:after="0"/>
              <w:rPr>
                <w:sz w:val="20"/>
                <w:szCs w:val="20"/>
                <w:color w:val="auto"/>
              </w:rPr>
            </w:pPr>
            <w:r>
              <w:rPr>
                <w:rFonts w:ascii="Arial" w:cs="Arial" w:eastAsia="Arial" w:hAnsi="Arial"/>
                <w:sz w:val="14"/>
                <w:szCs w:val="14"/>
                <w:b w:val="1"/>
                <w:bCs w:val="1"/>
                <w:color w:val="auto"/>
                <w:w w:val="96"/>
              </w:rPr>
              <w:t>Three months ended March 31, 2003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4"/>
                <w:szCs w:val="14"/>
                <w:b w:val="1"/>
                <w:bCs w:val="1"/>
                <w:color w:val="auto"/>
                <w:w w:val="94"/>
              </w:rPr>
              <w:t>Northeast</w:t>
            </w:r>
          </w:p>
        </w:tc>
        <w:tc>
          <w:tcPr>
            <w:tcW w:w="2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Mid-Atlantic</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West</w:t>
            </w:r>
          </w:p>
        </w:tc>
        <w:tc>
          <w:tcPr>
            <w:tcW w:w="260" w:type="dxa"/>
            <w:vAlign w:val="bottom"/>
          </w:tcPr>
          <w:p>
            <w:pPr>
              <w:spacing w:after="0"/>
              <w:rPr>
                <w:sz w:val="19"/>
                <w:szCs w:val="19"/>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3"/>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920" w:type="dxa"/>
            <w:vAlign w:val="bottom"/>
            <w:tcBorders>
              <w:top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top w:val="single" w:sz="8" w:color="808080"/>
            </w:tcBorders>
          </w:tcPr>
          <w:p>
            <w:pPr>
              <w:spacing w:after="0"/>
              <w:rPr>
                <w:sz w:val="5"/>
                <w:szCs w:val="5"/>
                <w:color w:val="auto"/>
              </w:rPr>
            </w:pPr>
          </w:p>
        </w:tc>
        <w:tc>
          <w:tcPr>
            <w:tcW w:w="78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808080"/>
            </w:tcBorders>
          </w:tcPr>
          <w:p>
            <w:pPr>
              <w:spacing w:after="0"/>
              <w:rPr>
                <w:sz w:val="5"/>
                <w:szCs w:val="5"/>
                <w:color w:val="auto"/>
              </w:rPr>
            </w:pPr>
          </w:p>
        </w:tc>
        <w:tc>
          <w:tcPr>
            <w:tcW w:w="880" w:type="dxa"/>
            <w:vAlign w:val="bottom"/>
            <w:tcBorders>
              <w:top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Borders>
              <w:top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1140" w:type="dxa"/>
            <w:vAlign w:val="bottom"/>
            <w:tcBorders>
              <w:top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30,639</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8"/>
              </w:rPr>
              <w:t>36,650</w:t>
            </w:r>
          </w:p>
        </w:tc>
        <w:tc>
          <w:tcPr>
            <w:tcW w:w="8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4"/>
              </w:rPr>
              <w:t>11,958</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79,247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1,203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(7,333)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(8,886)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(5,308)</w:t>
            </w:r>
          </w:p>
        </w:tc>
        <w:tc>
          <w:tcPr>
            <w:tcW w:w="2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(21,527)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Real estate taxes</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(4,004)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(2,799)</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(933)</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operating income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20,923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b w:val="1"/>
                <w:bCs w:val="1"/>
                <w:color w:val="auto"/>
                <w:w w:val="98"/>
              </w:rPr>
              <w:t>27,123</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7,236</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b w:val="1"/>
                <w:bCs w:val="1"/>
                <w:color w:val="auto"/>
              </w:rPr>
              <w:t>55,282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color w:val="auto"/>
              </w:rPr>
              <w:t>$(17,579)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Administrative expense</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(3,274)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(6,831)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(6,949)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(3,383)</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271"/>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4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Income before minority interests and</w:t>
            </w:r>
          </w:p>
        </w:tc>
        <w:tc>
          <w:tcPr>
            <w:tcW w:w="2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discontinued operations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14,092</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b w:val="1"/>
                <w:bCs w:val="1"/>
                <w:color w:val="auto"/>
                <w:w w:val="98"/>
              </w:rPr>
              <w:t>20,174</w:t>
            </w:r>
          </w:p>
        </w:tc>
        <w:tc>
          <w:tcPr>
            <w:tcW w:w="8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3,853</w:t>
            </w:r>
          </w:p>
        </w:tc>
        <w:tc>
          <w:tcPr>
            <w:tcW w:w="15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$(21,023)</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b w:val="1"/>
                <w:bCs w:val="1"/>
                <w:color w:val="auto"/>
              </w:rPr>
              <w:t>17,096</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3"/>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 w:type="dxa"/>
            <w:vAlign w:val="bottom"/>
            <w:vMerge w:val="restart"/>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 and acquisitions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2,640</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98"/>
              </w:rPr>
              <w:t>39,387</w:t>
            </w:r>
          </w:p>
        </w:tc>
        <w:tc>
          <w:tcPr>
            <w:tcW w:w="8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94"/>
              </w:rPr>
              <w:t>43,218</w:t>
            </w:r>
          </w:p>
        </w:tc>
        <w:tc>
          <w:tcPr>
            <w:tcW w:w="2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85,245</w:t>
            </w:r>
          </w:p>
        </w:tc>
        <w:tc>
          <w:tcPr>
            <w:tcW w:w="0" w:type="dxa"/>
            <w:vAlign w:val="bottom"/>
          </w:tcPr>
          <w:p>
            <w:pPr>
              <w:spacing w:after="0"/>
              <w:rPr>
                <w:sz w:val="1"/>
                <w:szCs w:val="1"/>
                <w:color w:val="auto"/>
              </w:rPr>
            </w:pPr>
          </w:p>
        </w:tc>
      </w:tr>
      <w:tr>
        <w:trPr>
          <w:trHeight w:val="78"/>
        </w:trPr>
        <w:tc>
          <w:tcPr>
            <w:tcW w:w="376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1680" w:type="dxa"/>
            <w:vAlign w:val="bottom"/>
            <w:gridSpan w:val="4"/>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76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0" w:type="dxa"/>
            <w:vAlign w:val="bottom"/>
            <w:gridSpan w:val="3"/>
            <w:shd w:val="clear" w:color="auto" w:fill="808080"/>
          </w:tcPr>
          <w:p>
            <w:pPr>
              <w:spacing w:after="0"/>
              <w:rPr>
                <w:sz w:val="5"/>
                <w:szCs w:val="5"/>
                <w:color w:val="auto"/>
              </w:rPr>
            </w:pPr>
          </w:p>
        </w:tc>
        <w:tc>
          <w:tcPr>
            <w:tcW w:w="1680" w:type="dxa"/>
            <w:vAlign w:val="bottom"/>
            <w:gridSpan w:val="4"/>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80" w:type="dxa"/>
            <w:vAlign w:val="bottom"/>
            <w:gridSpan w:val="2"/>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3760" w:type="dxa"/>
            <w:vAlign w:val="bottom"/>
            <w:gridSpan w:val="2"/>
          </w:tcPr>
          <w:p>
            <w:pPr>
              <w:spacing w:after="0"/>
              <w:rPr>
                <w:sz w:val="20"/>
                <w:szCs w:val="20"/>
                <w:color w:val="auto"/>
              </w:rPr>
            </w:pPr>
            <w:r>
              <w:rPr>
                <w:rFonts w:ascii="Arial" w:cs="Arial" w:eastAsia="Arial" w:hAnsi="Arial"/>
                <w:sz w:val="18"/>
                <w:szCs w:val="18"/>
                <w:color w:val="auto"/>
              </w:rPr>
              <w:t>Real estate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w w:val="89"/>
              </w:rPr>
              <w:t>750,189</w:t>
            </w:r>
          </w:p>
        </w:tc>
        <w:tc>
          <w:tcPr>
            <w:tcW w:w="1400" w:type="dxa"/>
            <w:vAlign w:val="bottom"/>
            <w:gridSpan w:val="3"/>
          </w:tcPr>
          <w:p>
            <w:pPr>
              <w:jc w:val="right"/>
              <w:ind w:right="130"/>
              <w:spacing w:after="0"/>
              <w:rPr>
                <w:sz w:val="20"/>
                <w:szCs w:val="20"/>
                <w:color w:val="auto"/>
              </w:rPr>
            </w:pPr>
            <w:r>
              <w:rPr>
                <w:rFonts w:ascii="Arial" w:cs="Arial" w:eastAsia="Arial" w:hAnsi="Arial"/>
                <w:sz w:val="18"/>
                <w:szCs w:val="18"/>
                <w:color w:val="auto"/>
              </w:rPr>
              <w:t>$866,377</w:t>
            </w:r>
          </w:p>
        </w:tc>
        <w:tc>
          <w:tcPr>
            <w:tcW w:w="1680" w:type="dxa"/>
            <w:vAlign w:val="bottom"/>
            <w:gridSpan w:val="4"/>
          </w:tcPr>
          <w:p>
            <w:pPr>
              <w:jc w:val="right"/>
              <w:ind w:right="252"/>
              <w:spacing w:after="0"/>
              <w:rPr>
                <w:sz w:val="20"/>
                <w:szCs w:val="20"/>
                <w:color w:val="auto"/>
              </w:rPr>
            </w:pPr>
            <w:r>
              <w:rPr>
                <w:rFonts w:ascii="Arial" w:cs="Arial" w:eastAsia="Arial" w:hAnsi="Arial"/>
                <w:sz w:val="18"/>
                <w:szCs w:val="18"/>
                <w:color w:val="auto"/>
              </w:rPr>
              <w:t>$775,143</w:t>
            </w:r>
          </w:p>
        </w:tc>
        <w:tc>
          <w:tcPr>
            <w:tcW w:w="260" w:type="dxa"/>
            <w:vAlign w:val="bottom"/>
          </w:tcPr>
          <w:p>
            <w:pPr>
              <w:spacing w:after="0"/>
              <w:rPr>
                <w:sz w:val="24"/>
                <w:szCs w:val="24"/>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w w:val="87"/>
              </w:rPr>
              <w:t>2,391,709</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no transactions between geographic areas.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should be read in conjunction with the consolidated financial statements and notes thereto appearing in Item 1 of this report.</w:t>
      </w:r>
    </w:p>
    <w:p>
      <w:pPr>
        <w:spacing w:after="0" w:line="19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73" w:lineRule="exact"/>
        <w:rPr>
          <w:sz w:val="20"/>
          <w:szCs w:val="20"/>
          <w:color w:val="auto"/>
        </w:rPr>
      </w:pPr>
    </w:p>
    <w:p>
      <w:pPr>
        <w:ind w:left="560" w:hanging="21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w:t>
      </w:r>
    </w:p>
    <w:p>
      <w:pPr>
        <w:spacing w:after="0" w:line="225" w:lineRule="exact"/>
        <w:rPr>
          <w:rFonts w:ascii="Arial" w:cs="Arial" w:eastAsia="Arial" w:hAnsi="Arial"/>
          <w:sz w:val="18"/>
          <w:szCs w:val="18"/>
          <w:color w:val="auto"/>
        </w:rPr>
      </w:pPr>
    </w:p>
    <w:p>
      <w:pPr>
        <w:ind w:left="560" w:right="100" w:hanging="214"/>
        <w:spacing w:after="0" w:line="342" w:lineRule="auto"/>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23" w:lineRule="exact"/>
        <w:rPr>
          <w:rFonts w:ascii="Arial" w:cs="Arial" w:eastAsia="Arial" w:hAnsi="Arial"/>
          <w:sz w:val="16"/>
          <w:szCs w:val="16"/>
          <w:color w:val="auto"/>
        </w:rPr>
      </w:pPr>
    </w:p>
    <w:p>
      <w:pPr>
        <w:ind w:left="560" w:right="80" w:hanging="214"/>
        <w:spacing w:after="0" w:line="302" w:lineRule="auto"/>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we may be unable to renew leases or relet space at favorable rents as leases expire, that new acquisitions and our development, construction and renovation projects may fail to perform as expected, that competition for acquisitions could result in increased prices, that changes in long term interest rates could affect the market values of real estate properties, that we may encounter environmental issues, and, because real estate is illiquid, that we may not be able to sell properties when appropriate;</w:t>
      </w:r>
    </w:p>
    <w:p>
      <w:pPr>
        <w:spacing w:after="0" w:line="154" w:lineRule="exact"/>
        <w:rPr>
          <w:rFonts w:ascii="Arial" w:cs="Arial" w:eastAsia="Arial" w:hAnsi="Arial"/>
          <w:sz w:val="16"/>
          <w:szCs w:val="16"/>
          <w:color w:val="auto"/>
        </w:rPr>
      </w:pPr>
    </w:p>
    <w:p>
      <w:pPr>
        <w:ind w:left="560" w:hanging="21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and</w:t>
      </w:r>
    </w:p>
    <w:p>
      <w:pPr>
        <w:spacing w:after="0" w:line="225" w:lineRule="exact"/>
        <w:rPr>
          <w:rFonts w:ascii="Arial" w:cs="Arial" w:eastAsia="Arial" w:hAnsi="Arial"/>
          <w:sz w:val="18"/>
          <w:szCs w:val="18"/>
          <w:color w:val="auto"/>
        </w:rPr>
      </w:pPr>
    </w:p>
    <w:p>
      <w:pPr>
        <w:jc w:val="both"/>
        <w:ind w:left="560" w:right="120" w:hanging="214"/>
        <w:spacing w:after="0" w:line="264"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into this Quarterly Report on Form 10-Q. We also make no promise to update any of the forward-looking statements. You should carefully review the risks and the risk factors incorporated herein by reference from our Form 8-K filed on March 11, 2004, as well as the other information in our Annual Report on Form 10-K or in this Quarterly Report on Form 10-Q before making any investment in 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 quality retail and mixed-use properties. As of March 31, 2004, we owned or had an interest in 63 community and neighborhood shopping centers comprising approximately 14.2 million square feet, primarily located in densely populated and affluent communities throughout the Northeast and Mid-Atlantic United States. In addition, we owned 49 urban and retail mixed-use properties comprising over 2.7 million square feet and one apartment complex, primarily located in strategic metropolitan markets in the Northeast and Mid-Atlantic regions and California. In total, our properties were 93.3% leased at March 31, 2004, 93.1% leased at December 31, 2003 and 94.3% leased at March 31, 2003.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Property Acquisitions</w:t>
      </w:r>
    </w:p>
    <w:p>
      <w:pPr>
        <w:spacing w:after="0" w:line="20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On March 31, 2004, we acquired Westgate Mall, a 637,000 square foot shopping center located in San Jose, California. The purchase price of the property of approximately $97.0 million was paid from borrowings under our revolving credit facility, which were subsequently repaid from the proceeds of our April 2004 common equity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Financing Developments</w:t>
      </w:r>
    </w:p>
    <w:p>
      <w:pPr>
        <w:spacing w:after="0" w:line="189"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On January 21, 2004, we issued $75 million of fixed rate notes which mature in February 2011 and bear interest at 4.50%. The proceeds of this note offering were used to pay down our revolving credit facility.</w:t>
      </w:r>
    </w:p>
    <w:p>
      <w:pPr>
        <w:spacing w:after="0" w:line="143"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Also in January 2004, to hedge our exposure to interest rates on our $150 million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at 3.351% (2.401% plus 0.95%) on notional amounts totaling $150 million at the next interest reset date.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April 7, 2004, we issued 2,186,749 common shares at a net price of $45.33 per share (after taking into account underwriters discount and commissions) netting approximately $99 million in cash proceeds. The proceeds were used to repay borrowings outstanding under our revolving credit facility that we used to acquire Westgate Mall and for general corporate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189"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Phases I and II of Santana Row, our 42 acre multi-phase, mixed-use property in San Jose, California, came into service in 2002 and 2003. Seven of the eight buildings of Phase I that included retail, residential and a 213-room hotel, opened in 2002. The retail portion of the remaining building, “Building 7”, opened in early 2003. The delay in opening Building 7 was the result of a fire in August 2002 that destroyed all but 11 of the planned 246 residential units located in that building. The re-build of the residential units on Building 7 has commenced and when completed in 2006, Building 7 will include 96 townhomes and 160 flats. Phase II of the project, which includes approximately 84,000 square feet of retail space, was completed in late 2003 and Phase III, which consists of an arts cinema and 4,000 square feet of retail space, will be completed later this year. The total cost of Phase I is estimated to be $443 million (excluding the Building 7 reconstruction), the cost of Phase II is estimated to be approximately $27 million, Phase III will cost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 million, and the cost of the Building 7 reconstruction, Phase IV, is estimated to be approximately $58 million.</w:t>
      </w:r>
    </w:p>
    <w:p>
      <w:pPr>
        <w:spacing w:after="0" w:line="17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 the demand for retail and residential space at rates that give an adequate return, the ongoing cost of operations and maintenance and the general economy, particularly around Silicon Valley.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Throughout this section, we have provided certain information on a “same center” basis. Information provided on a same center basis is provided only for those properties owned and operated for the entirety of both periods being compared and includes properties which were redeveloped or expanded during the periods being compared. Santana Row (which has not yet stabilized), properties purchased or sold, properties under development and properties not owned and operated for the entirety of the periods being compared are excluded from our same center analysis.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First Quarter 2004 to First Quarter 2003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2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440" w:type="dxa"/>
            <w:vAlign w:val="bottom"/>
            <w:tcBorders>
              <w:bottom w:val="single" w:sz="8" w:color="808080"/>
            </w:tcBorders>
            <w:gridSpan w:val="2"/>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4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2004</w:t>
            </w:r>
          </w:p>
        </w:tc>
        <w:tc>
          <w:tcPr>
            <w:tcW w:w="158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2003</w:t>
            </w:r>
          </w:p>
        </w:tc>
        <w:tc>
          <w:tcPr>
            <w:tcW w:w="14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(Decrease)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$89,643</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$79,247</w:t>
            </w:r>
          </w:p>
        </w:tc>
        <w:tc>
          <w:tcPr>
            <w:tcW w:w="560" w:type="dxa"/>
            <w:vAlign w:val="bottom"/>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87"/>
              </w:rPr>
              <w:t>10,396</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property income</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5,091</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4,083</w:t>
            </w:r>
          </w:p>
        </w:tc>
        <w:tc>
          <w:tcPr>
            <w:tcW w:w="5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1,008</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1,439</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1,215</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224</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68"/>
        </w:trPr>
        <w:tc>
          <w:tcPr>
            <w:tcW w:w="5380" w:type="dxa"/>
            <w:vAlign w:val="bottom"/>
            <w:gridSpan w:val="2"/>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3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96,173</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84,545</w:t>
            </w:r>
          </w:p>
        </w:tc>
        <w:tc>
          <w:tcPr>
            <w:tcW w:w="5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w w:val="87"/>
              </w:rPr>
              <w:t>11,628</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Rental expenses</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22,401</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21,527</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874</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Real estate taxes</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9,223</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7,736</w:t>
            </w:r>
          </w:p>
        </w:tc>
        <w:tc>
          <w:tcPr>
            <w:tcW w:w="5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1,487</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Total expenses</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31,624</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29,263</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2,361</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68"/>
        </w:trPr>
        <w:tc>
          <w:tcPr>
            <w:tcW w:w="5380" w:type="dxa"/>
            <w:vAlign w:val="bottom"/>
            <w:gridSpan w:val="2"/>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Property operating income</w:t>
            </w:r>
          </w:p>
        </w:tc>
        <w:tc>
          <w:tcPr>
            <w:tcW w:w="1420" w:type="dxa"/>
            <w:vAlign w:val="bottom"/>
          </w:tcPr>
          <w:p>
            <w:pPr>
              <w:jc w:val="right"/>
              <w:ind w:right="431"/>
              <w:spacing w:after="0"/>
              <w:rPr>
                <w:sz w:val="20"/>
                <w:szCs w:val="20"/>
                <w:color w:val="auto"/>
              </w:rPr>
            </w:pPr>
            <w:r>
              <w:rPr>
                <w:rFonts w:ascii="Arial" w:cs="Arial" w:eastAsia="Arial" w:hAnsi="Arial"/>
                <w:sz w:val="18"/>
                <w:szCs w:val="18"/>
                <w:b w:val="1"/>
                <w:bCs w:val="1"/>
                <w:color w:val="auto"/>
              </w:rPr>
              <w:t>64,549</w:t>
            </w:r>
          </w:p>
        </w:tc>
        <w:tc>
          <w:tcPr>
            <w:tcW w:w="1580" w:type="dxa"/>
            <w:vAlign w:val="bottom"/>
          </w:tcPr>
          <w:p>
            <w:pPr>
              <w:jc w:val="right"/>
              <w:ind w:right="432"/>
              <w:spacing w:after="0"/>
              <w:rPr>
                <w:sz w:val="20"/>
                <w:szCs w:val="20"/>
                <w:color w:val="auto"/>
              </w:rPr>
            </w:pPr>
            <w:r>
              <w:rPr>
                <w:rFonts w:ascii="Arial" w:cs="Arial" w:eastAsia="Arial" w:hAnsi="Arial"/>
                <w:sz w:val="18"/>
                <w:szCs w:val="18"/>
                <w:b w:val="1"/>
                <w:bCs w:val="1"/>
                <w:color w:val="auto"/>
              </w:rPr>
              <w:t>55,282</w:t>
            </w:r>
          </w:p>
        </w:tc>
        <w:tc>
          <w:tcPr>
            <w:tcW w:w="5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9,267</w:t>
            </w:r>
          </w:p>
        </w:tc>
        <w:tc>
          <w:tcPr>
            <w:tcW w:w="1560" w:type="dxa"/>
            <w:vAlign w:val="bottom"/>
          </w:tcPr>
          <w:p>
            <w:pPr>
              <w:jc w:val="right"/>
              <w:ind w:right="131"/>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21,319</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17,579</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3,740</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Administrative</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4,182</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3,274</w:t>
            </w:r>
          </w:p>
        </w:tc>
        <w:tc>
          <w:tcPr>
            <w:tcW w:w="5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908</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20,622</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17,333</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3,289</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68"/>
        </w:trPr>
        <w:tc>
          <w:tcPr>
            <w:tcW w:w="5380" w:type="dxa"/>
            <w:vAlign w:val="bottom"/>
            <w:gridSpan w:val="2"/>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38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46,123</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38,186</w:t>
            </w:r>
          </w:p>
        </w:tc>
        <w:tc>
          <w:tcPr>
            <w:tcW w:w="5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7,937</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b w:val="1"/>
                <w:bCs w:val="1"/>
                <w:color w:val="auto"/>
              </w:rPr>
              <w:t>18,426</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17,096</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b w:val="1"/>
                <w:bCs w:val="1"/>
                <w:color w:val="auto"/>
              </w:rPr>
              <w:t>1,330</w:t>
            </w:r>
          </w:p>
        </w:tc>
        <w:tc>
          <w:tcPr>
            <w:tcW w:w="1560" w:type="dxa"/>
            <w:vAlign w:val="bottom"/>
            <w:shd w:val="clear" w:color="auto" w:fill="EEEEEE"/>
          </w:tcPr>
          <w:p>
            <w:pPr>
              <w:jc w:val="right"/>
              <w:ind w:right="131"/>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Minority interests</w:t>
            </w:r>
          </w:p>
        </w:tc>
        <w:tc>
          <w:tcPr>
            <w:tcW w:w="1420" w:type="dxa"/>
            <w:vAlign w:val="bottom"/>
          </w:tcPr>
          <w:p>
            <w:pPr>
              <w:jc w:val="right"/>
              <w:ind w:right="371"/>
              <w:spacing w:after="0"/>
              <w:rPr>
                <w:sz w:val="20"/>
                <w:szCs w:val="20"/>
                <w:color w:val="auto"/>
              </w:rPr>
            </w:pPr>
            <w:r>
              <w:rPr>
                <w:rFonts w:ascii="Arial" w:cs="Arial" w:eastAsia="Arial" w:hAnsi="Arial"/>
                <w:sz w:val="18"/>
                <w:szCs w:val="18"/>
                <w:color w:val="auto"/>
              </w:rPr>
              <w:t>(1,189)</w:t>
            </w:r>
          </w:p>
        </w:tc>
        <w:tc>
          <w:tcPr>
            <w:tcW w:w="1580" w:type="dxa"/>
            <w:vAlign w:val="bottom"/>
          </w:tcPr>
          <w:p>
            <w:pPr>
              <w:jc w:val="right"/>
              <w:ind w:right="372"/>
              <w:spacing w:after="0"/>
              <w:rPr>
                <w:sz w:val="20"/>
                <w:szCs w:val="20"/>
                <w:color w:val="auto"/>
              </w:rPr>
            </w:pPr>
            <w:r>
              <w:rPr>
                <w:rFonts w:ascii="Arial" w:cs="Arial" w:eastAsia="Arial" w:hAnsi="Arial"/>
                <w:sz w:val="18"/>
                <w:szCs w:val="18"/>
                <w:color w:val="auto"/>
              </w:rPr>
              <w:t>(1,070)</w:t>
            </w:r>
          </w:p>
        </w:tc>
        <w:tc>
          <w:tcPr>
            <w:tcW w:w="56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(119)</w:t>
            </w:r>
          </w:p>
        </w:tc>
        <w:tc>
          <w:tcPr>
            <w:tcW w:w="1560" w:type="dxa"/>
            <w:vAlign w:val="bottom"/>
          </w:tcPr>
          <w:p>
            <w:pPr>
              <w:jc w:val="right"/>
              <w:ind w:right="17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 from discontinued operations</w:t>
            </w:r>
          </w:p>
        </w:tc>
        <w:tc>
          <w:tcPr>
            <w:tcW w:w="1420" w:type="dxa"/>
            <w:vAlign w:val="bottom"/>
            <w:shd w:val="clear" w:color="auto" w:fill="EEEEEE"/>
          </w:tcPr>
          <w:p>
            <w:pPr>
              <w:jc w:val="right"/>
              <w:ind w:right="371"/>
              <w:spacing w:after="0"/>
              <w:rPr>
                <w:sz w:val="20"/>
                <w:szCs w:val="20"/>
                <w:color w:val="auto"/>
              </w:rPr>
            </w:pPr>
            <w:r>
              <w:rPr>
                <w:rFonts w:ascii="Arial" w:cs="Arial" w:eastAsia="Arial" w:hAnsi="Arial"/>
                <w:sz w:val="18"/>
                <w:szCs w:val="18"/>
                <w:color w:val="auto"/>
              </w:rPr>
              <w:t>(48)</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350</w:t>
            </w: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(398)</w:t>
            </w:r>
          </w:p>
        </w:tc>
        <w:tc>
          <w:tcPr>
            <w:tcW w:w="156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57</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57</w:t>
            </w:r>
          </w:p>
        </w:tc>
        <w:tc>
          <w:tcPr>
            <w:tcW w:w="15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shd w:val="clear" w:color="auto" w:fill="EEEEEE"/>
          </w:tcPr>
          <w:p>
            <w:pPr>
              <w:jc w:val="right"/>
              <w:ind w:right="431"/>
              <w:spacing w:after="0"/>
              <w:rPr>
                <w:sz w:val="20"/>
                <w:szCs w:val="20"/>
                <w:color w:val="auto"/>
              </w:rPr>
            </w:pPr>
            <w:r>
              <w:rPr>
                <w:rFonts w:ascii="Arial" w:cs="Arial" w:eastAsia="Arial" w:hAnsi="Arial"/>
                <w:sz w:val="18"/>
                <w:szCs w:val="18"/>
                <w:b w:val="1"/>
                <w:bCs w:val="1"/>
                <w:color w:val="auto"/>
              </w:rPr>
              <w:t>$17,246</w:t>
            </w:r>
          </w:p>
        </w:tc>
        <w:tc>
          <w:tcPr>
            <w:tcW w:w="15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$16,376</w:t>
            </w:r>
          </w:p>
        </w:tc>
        <w:tc>
          <w:tcPr>
            <w:tcW w:w="560" w:type="dxa"/>
            <w:vAlign w:val="bottom"/>
            <w:shd w:val="clear" w:color="auto" w:fill="EEEEEE"/>
          </w:tcPr>
          <w:p>
            <w:pPr>
              <w:ind w:left="4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EEEEE"/>
          </w:tcPr>
          <w:p>
            <w:pPr>
              <w:jc w:val="right"/>
              <w:ind w:right="290"/>
              <w:spacing w:after="0"/>
              <w:rPr>
                <w:sz w:val="20"/>
                <w:szCs w:val="20"/>
                <w:color w:val="auto"/>
              </w:rPr>
            </w:pPr>
            <w:r>
              <w:rPr>
                <w:rFonts w:ascii="Arial" w:cs="Arial" w:eastAsia="Arial" w:hAnsi="Arial"/>
                <w:sz w:val="18"/>
                <w:szCs w:val="18"/>
                <w:b w:val="1"/>
                <w:bCs w:val="1"/>
                <w:color w:val="auto"/>
              </w:rPr>
              <w:t>870</w:t>
            </w:r>
          </w:p>
        </w:tc>
        <w:tc>
          <w:tcPr>
            <w:tcW w:w="1560" w:type="dxa"/>
            <w:vAlign w:val="bottom"/>
            <w:shd w:val="clear" w:color="auto" w:fill="EEEEEE"/>
          </w:tcPr>
          <w:p>
            <w:pPr>
              <w:jc w:val="right"/>
              <w:ind w:right="131"/>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Total revenues in the first quarter 2004 were $96.2 million compared to $84.5 million for the first three months of 2003. This increase of $11.6 million is due largely to the impact of properties acquired but also to increased revenues on a same center basis and the recognition of $1.1 million of rental income resulting from the portion of the settlement of our insurance claim for the August 2002 fire at Santana Row that related to lost rent. On a same center basis, total revenues increased $2.2 million, or 2.8% in the first three months of 2004 when compared with the first three months of 2003. The primary components of this increase in total revenues are discussed below.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from tenants of common area maintenance,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taxes. The increase in rental income of $10.4 million, or 13.1%, for the three months ended March 31, 2004, as compared to the three months ended March 31, 2003, is mainly attributable to:</w:t>
      </w:r>
    </w:p>
    <w:p>
      <w:pPr>
        <w:spacing w:after="0" w:line="181" w:lineRule="exact"/>
        <w:rPr>
          <w:sz w:val="20"/>
          <w:szCs w:val="20"/>
          <w:color w:val="auto"/>
        </w:rPr>
      </w:pPr>
    </w:p>
    <w:p>
      <w:pPr>
        <w:ind w:left="560" w:right="200" w:hanging="214"/>
        <w:spacing w:after="0" w:line="27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$7.5 million from properties acquired since January 1, 2003, consisting of South Valley Shopping Center, Mount Vernon Plaza, Plaza del Mercado and Mercer Mall, and from Santana Row as more of the property became operational,</w:t>
      </w:r>
    </w:p>
    <w:p>
      <w:pPr>
        <w:spacing w:after="0" w:line="170" w:lineRule="exact"/>
        <w:rPr>
          <w:rFonts w:ascii="Arial" w:cs="Arial" w:eastAsia="Arial" w:hAnsi="Arial"/>
          <w:sz w:val="18"/>
          <w:szCs w:val="18"/>
          <w:color w:val="auto"/>
        </w:rPr>
      </w:pPr>
    </w:p>
    <w:p>
      <w:pPr>
        <w:ind w:left="560" w:right="20" w:hanging="214"/>
        <w:spacing w:after="0" w:line="259"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$1.8 million, or 2.3%, on a same center basis, due primarily to increased minimum rents which reflect increased rental rates associated with tenant rollovers and with new leases at redeveloped centers, increased cost recovery of real estate taxes due to changes in our billing and recognition during the year, and decreased cost recovery of common area maintenance reflecting lower operating expenses, particularly snow removal in the Mid-Atlantic and Northeast, and</w:t>
      </w:r>
    </w:p>
    <w:p>
      <w:pPr>
        <w:spacing w:after="0" w:line="186" w:lineRule="exact"/>
        <w:rPr>
          <w:rFonts w:ascii="Arial" w:cs="Arial" w:eastAsia="Arial" w:hAnsi="Arial"/>
          <w:sz w:val="18"/>
          <w:szCs w:val="18"/>
          <w:color w:val="auto"/>
        </w:rPr>
      </w:pPr>
    </w:p>
    <w:p>
      <w:pPr>
        <w:ind w:left="560" w:right="160" w:hanging="214"/>
        <w:spacing w:after="0" w:line="277"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 million of income associated with lost rents recovered through insurance or legal settlements, of which $1.1 million was from the Santana Row fire insurance settlement and the remainder from a one-time settlement related to construction delays at Pentagon Row.</w:t>
      </w:r>
    </w:p>
    <w:p>
      <w:pPr>
        <w:spacing w:after="0" w:line="170"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i w:val="1"/>
          <w:iCs w:val="1"/>
          <w:color w:val="auto"/>
        </w:rPr>
        <w:t xml:space="preserve">Other Property Income. </w:t>
      </w:r>
      <w:r>
        <w:rPr>
          <w:rFonts w:ascii="Arial" w:cs="Arial" w:eastAsia="Arial" w:hAnsi="Arial"/>
          <w:sz w:val="17"/>
          <w:szCs w:val="17"/>
          <w:color w:val="auto"/>
        </w:rPr>
        <w:t>Other property income includes items, which although recurring, tend to fluctuate more than rental income from period to period,</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utility reimbursements, lease termination fees and temporary tenant income. Other property income was $5.1 million for the quarter ended March 31, 2004 compared to $4.1 million for the quarter ended March 31, 2003. This $1.0 million or 24.7% increase is due primarily to increased reimbursements, increased parking revenues, increased lease termination fees and increased sponsorship income at Santana Row.</w:t>
      </w:r>
    </w:p>
    <w:p>
      <w:pPr>
        <w:spacing w:after="0" w:line="144"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includes interest earned on mortgage and other notes receivable and overnight cash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income increased $0.2 million from the first quarter 2003 to the first quarter 2004 due primarily to an increase in the balance of mortgage notes receivable.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18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Total property operating expenses increased $2.4 million to $31.6 million for the three months ended March 31, 2004, as compared to $29.3 million for the three months ended March 31, 2003. The 8.1% increase in total property operating expenses is related primarily to the additional costs at properties which were acquired in the past year as discussed below. On a same center basis, property operating expenses were flat in first quarter 2004 when compared with the first quarter of 2003.</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i w:val="1"/>
          <w:iCs w:val="1"/>
          <w:color w:val="auto"/>
        </w:rPr>
        <w:t>Rental Expense</w:t>
      </w:r>
      <w:r>
        <w:rPr>
          <w:rFonts w:ascii="Arial" w:cs="Arial" w:eastAsia="Arial" w:hAnsi="Arial"/>
          <w:sz w:val="18"/>
          <w:szCs w:val="18"/>
          <w:color w:val="auto"/>
        </w:rPr>
        <w:t>. The increase in rental expense of $0.9 million, or 4.1%, for the three months ended March 31, 2004,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2003, is mainly attributable to:</w:t>
      </w:r>
    </w:p>
    <w:p>
      <w:pPr>
        <w:spacing w:after="0" w:line="170" w:lineRule="exact"/>
        <w:rPr>
          <w:sz w:val="20"/>
          <w:szCs w:val="20"/>
          <w:color w:val="auto"/>
        </w:rPr>
      </w:pPr>
    </w:p>
    <w:p>
      <w:pPr>
        <w:ind w:left="560" w:right="760" w:hanging="214"/>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$1.8 million associated with properties acquired since January 1, 2003 and with Santana Row as more of the property became operational partly offset by</w:t>
      </w:r>
    </w:p>
    <w:p>
      <w:pPr>
        <w:spacing w:after="0" w:line="170" w:lineRule="exact"/>
        <w:rPr>
          <w:rFonts w:ascii="Arial" w:cs="Arial" w:eastAsia="Arial" w:hAnsi="Arial"/>
          <w:sz w:val="18"/>
          <w:szCs w:val="18"/>
          <w:color w:val="auto"/>
        </w:rPr>
      </w:pPr>
    </w:p>
    <w:p>
      <w:pPr>
        <w:ind w:left="560" w:right="100" w:hanging="214"/>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of $0.6 million, or 3.5%, on a same center basis as decreased snow removal costs and lower property administration costs more than offset higher insurance expenses and other operating costs, and</w:t>
      </w:r>
    </w:p>
    <w:p>
      <w:pPr>
        <w:spacing w:after="0" w:line="170"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Rental expense as a percentage of rental income plus other property income decreased to 23.6% for the first quarter of 2004 compared to 25.8% for the first quarter of 2003. This improved expense ratio is due partly to the lower snow removal costs but also to the improvement at Santana Row which had higher revenues in the first quarter of 2004 compared to the first quarter of 2003 on higher occupancy, during which it was still being phased into service.</w:t>
      </w:r>
    </w:p>
    <w:p>
      <w:pPr>
        <w:spacing w:after="0" w:line="120"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i w:val="1"/>
          <w:iCs w:val="1"/>
          <w:color w:val="auto"/>
        </w:rPr>
        <w:t>Real Estate Taxes</w:t>
      </w:r>
      <w:r>
        <w:rPr>
          <w:rFonts w:ascii="Arial" w:cs="Arial" w:eastAsia="Arial" w:hAnsi="Arial"/>
          <w:sz w:val="16"/>
          <w:szCs w:val="16"/>
          <w:color w:val="auto"/>
        </w:rPr>
        <w:t>. Real estate taxes have increased $1.5 million, or 19.2%, for the three months ended March 31, 2004, as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2003. Of this increase, $0.9 million is attributable to taxes at properties acquired since January 1, 2003 and at Santana Row and the remainder, approximately $0.6 million, is primarily attributable to overall increases in tax assessments at same center properties.</w:t>
      </w:r>
    </w:p>
    <w:p>
      <w:pPr>
        <w:spacing w:after="0" w:line="106"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Property Operating Income</w:t>
      </w:r>
      <w:r>
        <w:rPr>
          <w:rFonts w:ascii="Arial" w:cs="Arial" w:eastAsia="Arial" w:hAnsi="Arial"/>
          <w:sz w:val="17"/>
          <w:szCs w:val="17"/>
          <w:color w:val="auto"/>
        </w:rPr>
        <w:t>. Property operating income was $64.5 million for the quarter ended March 31, 2004, an increase of almost $9.3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16.8%, compared to $55.3 million in the first quarter of 2003 as a result of the variances explained above. Same center property operating income increased $2.2 million or 4.0% for the three months ended March 31, 2004 compared to the same period in the prior year. Excluding contributions from properties being redeveloped or expanded, same center property operating income increased 3.7% over the same period.</w:t>
      </w:r>
    </w:p>
    <w:p>
      <w:pPr>
        <w:spacing w:after="0" w:line="13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We incurred total interest costs of $22.6 million in the first quarter of 2004 of which $1.3 million was capitalized, yielding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$21.3 million for the period, as compared to total interest costs incurred of $22.8 million in the first quarter of 2003, of which $5.2 million was capitalized yielding interest expense of $17.6 million for the period. The decrease in capitalized interest of $3.9 million is attributable primarily to the phasing into service of Santana Row and the consequent decrease in interest attributable to the development of this project being capitalized.</w:t>
      </w:r>
    </w:p>
    <w:p>
      <w:pPr>
        <w:spacing w:after="0" w:line="144"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ratio of earnings to combined fixed charges (consisting of interest on borrowed funds, including capitalized interest, amortization of debt discount and expenses and the portion of rent expense representing an interest factor) and preferred dividends was 1.50 and 1.22 for the first three months of 2004 and 2003,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i w:val="1"/>
          <w:iCs w:val="1"/>
          <w:color w:val="auto"/>
        </w:rPr>
        <w:t xml:space="preserve">Administrative Expense. </w:t>
      </w:r>
      <w:r>
        <w:rPr>
          <w:rFonts w:ascii="Arial" w:cs="Arial" w:eastAsia="Arial" w:hAnsi="Arial"/>
          <w:sz w:val="17"/>
          <w:szCs w:val="17"/>
          <w:color w:val="auto"/>
        </w:rPr>
        <w:t>The increase in administrative expense of $0.9 million for the three months ended March 31, 2004, as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2003, is due largely to increased expense associated with performance and other share grants issued under our long-term incentive plan. The increase in grant expense is attributable primarily to the increase in our share price during the first quarter of 2004 which increases the expense on shares anticipated to vest in 2004. In addition to grant expense, expenses have increased as a result of a smaller portion of administrative costs at Santana Row being capitalized in the first quarter of 2004 as development activity decreased.</w:t>
      </w:r>
    </w:p>
    <w:p>
      <w:pPr>
        <w:spacing w:after="0" w:line="14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Depreciation and amortization expense increased $3.3 million, or 19.0%, to $20.6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2004, as compared to the three months ended March 31, 2003. This increase primarily reflects:</w:t>
      </w:r>
    </w:p>
    <w:p>
      <w:pPr>
        <w:spacing w:after="0" w:line="170" w:lineRule="exact"/>
        <w:rPr>
          <w:sz w:val="20"/>
          <w:szCs w:val="20"/>
          <w:color w:val="auto"/>
        </w:rPr>
      </w:pPr>
    </w:p>
    <w:p>
      <w:pPr>
        <w:ind w:left="560" w:hanging="21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depreciation and amortization at Santana Row of $1.9 million which was being phased into service in 2003,</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properties which were acquired in 2003, which added $1.0 million of depreciation and amortization,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from capital invested on redevelopments and expansions during the past year.</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i w:val="1"/>
          <w:iCs w:val="1"/>
          <w:color w:val="auto"/>
        </w:rPr>
        <w:t xml:space="preserve">Minority Interests. </w:t>
      </w:r>
      <w:r>
        <w:rPr>
          <w:rFonts w:ascii="Arial" w:cs="Arial" w:eastAsia="Arial" w:hAnsi="Arial"/>
          <w:sz w:val="16"/>
          <w:szCs w:val="16"/>
          <w:color w:val="auto"/>
        </w:rPr>
        <w:t>Minority interests represents the minority partners’ financial interest in the income of certain properties. Minority interest in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increased slightly as an increase in net income realized in the first quarter resulted in an increased allocation to operating unit holders.</w:t>
      </w:r>
    </w:p>
    <w:p>
      <w:pPr>
        <w:spacing w:after="0" w:line="8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properties sold is required to be reported separately from the results of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While no properties were sold in the first quarter of 2004, the reported expense of $48,000 reflects costs and adjustments for properties which were sold prior to 2004. The reported operating income of $350,000 for the first quarter of 2003 represents the operating results of properties sold for that period.</w:t>
      </w:r>
    </w:p>
    <w:p>
      <w:pPr>
        <w:spacing w:after="0" w:line="16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Gain on Sale of Real Estate Net of Loss on Abandoned Developments Held for Sale. </w:t>
      </w:r>
      <w:r>
        <w:rPr>
          <w:rFonts w:ascii="Arial" w:cs="Arial" w:eastAsia="Arial" w:hAnsi="Arial"/>
          <w:sz w:val="18"/>
          <w:szCs w:val="18"/>
          <w:color w:val="auto"/>
        </w:rPr>
        <w:t>The gain on sale of real estate of $57,000 reported for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2004 is primarily the result of a sale of land to a government authority to be used as a bus stop.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2"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13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following selected key segment data presented is for the three months ended March 31, 2004 and March 31, 2003, except real estate assets and gross leasable area which is presented as of quarter end. The results of properties which have been sold are excluded from property operating income below in accordance with SFAS No. 144.</w:t>
      </w:r>
    </w:p>
    <w:p>
      <w:pPr>
        <w:spacing w:after="0" w:line="14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Property operating income consists of rental income, other property income and interest income, less rental expenses and real estate taxes. The measure is used internally to evaluate the performance of our regional operations and we consider it to be a significant measure.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Key Segment Financial Data</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712"/>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0"/>
                <w:szCs w:val="20"/>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Mid –Atlantic</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Rental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39,300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36,650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3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41,592</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38,808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operating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29,132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27,123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70.0%</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 estate assets, at cost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w w:val="86"/>
              </w:rPr>
              <w:t>901,058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866,377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Gross leasable area (square feet)</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6,822</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Northeast</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Rental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33,243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30,639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3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34,553</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32,260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operating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22,854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66.1%</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 estate assets, at cost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w w:val="86"/>
              </w:rPr>
              <w:t>833,405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750,189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Gross leasable area (square feet)</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7,684</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West</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Rental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17,100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3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20,028</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operating income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12,563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62.7%</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Real estate assets, at cost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w w:val="86"/>
              </w:rPr>
              <w:t>862,485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775,143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Gross leasable area (square feet)</w:t>
            </w:r>
          </w:p>
        </w:tc>
        <w:tc>
          <w:tcPr>
            <w:tcW w:w="3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2,371</w:t>
            </w: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320" w:type="dxa"/>
            <w:vAlign w:val="bottom"/>
          </w:tcPr>
          <w:p>
            <w:pPr>
              <w:jc w:val="right"/>
              <w:ind w:right="215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MID-ATLANTIC</w:t>
      </w:r>
    </w:p>
    <w:p>
      <w:pPr>
        <w:spacing w:after="0" w:line="202" w:lineRule="exact"/>
        <w:rPr>
          <w:sz w:val="20"/>
          <w:szCs w:val="20"/>
          <w:color w:val="auto"/>
        </w:rPr>
      </w:pPr>
    </w:p>
    <w:p>
      <w:pPr>
        <w:ind w:right="340" w:firstLine="222"/>
        <w:spacing w:after="0" w:line="308" w:lineRule="auto"/>
        <w:rPr>
          <w:sz w:val="20"/>
          <w:szCs w:val="20"/>
          <w:color w:val="auto"/>
        </w:rPr>
      </w:pPr>
      <w:r>
        <w:rPr>
          <w:rFonts w:ascii="Arial" w:cs="Arial" w:eastAsia="Arial" w:hAnsi="Arial"/>
          <w:sz w:val="17"/>
          <w:szCs w:val="17"/>
          <w:color w:val="auto"/>
        </w:rPr>
        <w:t>The Mid-Atlantic region extends roughly from Baltimore south through metropolitan Washington, D.C. and further south through Virginia and North Carolina. Two properties in Florida are also included in this region. As of March 31, 2004, the Mid-Atlantic included 35 properties.</w:t>
      </w:r>
    </w:p>
    <w:p>
      <w:pPr>
        <w:spacing w:after="0" w:line="106"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Total revenue grew $2.8 million to $41.6 million in the first quarter of 2004 compared to the first quarter of 2003. The increase in total revenue of 7.2% is largely attributable to:</w:t>
      </w:r>
    </w:p>
    <w:p>
      <w:pPr>
        <w:spacing w:after="0" w:line="170" w:lineRule="exact"/>
        <w:rPr>
          <w:sz w:val="20"/>
          <w:szCs w:val="20"/>
          <w:color w:val="auto"/>
        </w:rPr>
      </w:pPr>
    </w:p>
    <w:p>
      <w:pPr>
        <w:ind w:left="560" w:hanging="214"/>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of $1.5 million from South Valley Shopping Center, Mount Vernon Plaza and Plaza del Mercado which were acquired in 2003, and</w:t>
      </w:r>
    </w:p>
    <w:p>
      <w:pPr>
        <w:spacing w:after="0" w:line="236" w:lineRule="exact"/>
        <w:rPr>
          <w:rFonts w:ascii="Arial" w:cs="Arial" w:eastAsia="Arial" w:hAnsi="Arial"/>
          <w:sz w:val="17"/>
          <w:szCs w:val="17"/>
          <w:color w:val="auto"/>
        </w:rPr>
      </w:pPr>
    </w:p>
    <w:p>
      <w:pPr>
        <w:ind w:left="560" w:right="120" w:hanging="214"/>
        <w:spacing w:after="0" w:line="25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Same Center revenue increase of approximately $1.3 million due to $0.7 million higher minimum and percentage rents, $0.6 million higher real estate tax recovery, $0.5 million of earnings related to lost rents and other income from the settlement of legal claims related to Pentagon Row, and $0.2 million higher parking and other income offset by $0.7 million lower common area maintenance cost recoveries due to lower snow removal costs. The increased minimum rents relate to increased rental rates at redeveloped, expanded and retenanted centers as well as increased rental rates associated with lease rollovers.</w:t>
      </w:r>
    </w:p>
    <w:p>
      <w:pPr>
        <w:spacing w:after="0" w:line="188" w:lineRule="exact"/>
        <w:rPr>
          <w:sz w:val="20"/>
          <w:szCs w:val="20"/>
          <w:color w:val="auto"/>
        </w:rPr>
      </w:pPr>
    </w:p>
    <w:p>
      <w:pPr>
        <w:ind w:right="280" w:firstLine="222"/>
        <w:spacing w:after="0" w:line="308" w:lineRule="auto"/>
        <w:rPr>
          <w:sz w:val="20"/>
          <w:szCs w:val="20"/>
          <w:color w:val="auto"/>
        </w:rPr>
      </w:pPr>
      <w:r>
        <w:rPr>
          <w:rFonts w:ascii="Arial" w:cs="Arial" w:eastAsia="Arial" w:hAnsi="Arial"/>
          <w:sz w:val="17"/>
          <w:szCs w:val="17"/>
          <w:color w:val="auto"/>
        </w:rPr>
        <w:t>The percentage leased was 92% at March 31, 2004 compared to 94% at March 31, 2003 reflecting the impact of several anchor closings, including K-Mart, and an increase in re-development activity which will keep leasable space out of service until the redevelopments are complete.</w:t>
      </w:r>
    </w:p>
    <w:p>
      <w:pPr>
        <w:spacing w:after="0" w:line="106"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ratio of operating income to total revenue in the first quarter of 2004 was almost unchanged from 2003 as increased real estate taxes and other expenses was more than offset by the lower snow removal costs.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NORTHEAST</w:t>
      </w:r>
    </w:p>
    <w:p>
      <w:pPr>
        <w:spacing w:after="0" w:line="18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Northeast region extends from suburban Philadelphia north through New York and its suburbs into New England. This region also includes several properties located in Illinois and one located in Michigan. As of March 31, 2004, the Northeast region had 42 properties.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Northeast, total revenue has increased $2.3 million or 7.1%. This increase is primarily attributable to:</w:t>
      </w:r>
    </w:p>
    <w:p>
      <w:pPr>
        <w:spacing w:after="0" w:line="225" w:lineRule="exact"/>
        <w:rPr>
          <w:sz w:val="20"/>
          <w:szCs w:val="20"/>
          <w:color w:val="auto"/>
        </w:rPr>
      </w:pPr>
    </w:p>
    <w:p>
      <w:pPr>
        <w:ind w:left="560" w:hanging="214"/>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$1.5 million from Mercer Mall which was acquired in 2003,</w:t>
      </w:r>
    </w:p>
    <w:p>
      <w:pPr>
        <w:spacing w:after="0" w:line="225" w:lineRule="exact"/>
        <w:rPr>
          <w:rFonts w:ascii="Arial" w:cs="Arial" w:eastAsia="Arial" w:hAnsi="Arial"/>
          <w:sz w:val="18"/>
          <w:szCs w:val="18"/>
          <w:color w:val="auto"/>
        </w:rPr>
      </w:pPr>
    </w:p>
    <w:p>
      <w:pPr>
        <w:ind w:left="560" w:right="200" w:hanging="214"/>
        <w:spacing w:after="0" w:line="259"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increase in same center rental income of $0.8 million due to a $0.6 million increase in real estate tax recovery related to higher real estate tax assessments, a $0.4 million increase in rental income from higher rental rates at redeveloped centers and on lease rollovers, and a $0.2 million increase in interest and other income which was partly offset by a $0.4 million decrease in other property income due primarily to lower water and sewer cost recoveries in the first quarter of 2004.</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percentage leased was 95% and 97% at March 31, 2004 and March 31, 2003, respectively. The decrease reflects the closing of several anchor tenants, including K-Mart, and the acquisition of Mercer Mall, the leased rate of which is currently below that of the rest of the region and an increase in redevelopment activity which has taken leaseable space out of service.</w:t>
      </w:r>
    </w:p>
    <w:p>
      <w:pPr>
        <w:spacing w:after="0" w:line="154"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Property operating income as a percent of total revenue was 66.1% and 64.9% in the first quarter of 2004 and 2003, respectively. Property expenses increased $0.4 million due to higher property taxes and maintenance costs that were partly offset by lower snow removal costs and bad debt expense.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w:t>
      </w:r>
    </w:p>
    <w:p>
      <w:pPr>
        <w:spacing w:after="0" w:line="189"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As of March 31, 2004, 35 of our properties, including Westgate Mall acquired on March 31, 2004, were located in the West region. The West region extends from Texas to the West Coast.</w:t>
      </w:r>
    </w:p>
    <w:p>
      <w:pPr>
        <w:spacing w:after="0" w:line="14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Total revenue increased $6.6 million to $20.0 million in the first quarter of 2004 from $13.5 million in the first quarter of 2003. Excluding $1.1 million of rental income from the lost rents recovered through fire insurance proceeds, total revenue increased $5.5 million. This increase is almost exclusively due to increases at Santana Row of minimum rents, cost recoveries and other income. On a Same Center basis, total rental revenue for the region increased $100,000 as higher lease termination fees and increased rental income in San Antonio offset lower income at a property in Hollywood, California and lower rental income at 150 Post which is being renovated.</w:t>
      </w:r>
    </w:p>
    <w:p>
      <w:pPr>
        <w:spacing w:after="0" w:line="148"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For the West Region, the percentage leased was 91% and 83% at March 31, 2004 and March 31, 2003, respectively. The improved leased rate is due primarily to increases at Santana Row and Houston Street in San Antonio, Texas and the impact of Westgate Mall which has higher leased rates than the rest of the region.</w:t>
      </w:r>
    </w:p>
    <w:p>
      <w:pPr>
        <w:spacing w:after="0" w:line="141"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The West region’s property operating income as a percent of total revenue improved to 62.7% in the first three months of 2004 from 53.7% in the first three months of 2003. This improvement is due almost entirely to Santana Row where operating and start-up costs were high in 2003 but rental and other revenues were still continuing to grow.</w:t>
      </w:r>
    </w:p>
    <w:p>
      <w:pPr>
        <w:spacing w:after="0" w:line="15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success of Santana Row and Houston Street in San Antonio, Texas will depend on many factors which are not entirely within our control. We monitor current and long-term economic forecasts for these markets in order to evaluate the long-term financial returns of these projects. The overall return on investment in the West segment significantly lags the Northeast and Mid-Atlantic due to the phasing into service of Santana Row and Houston Street. We expect that the returns on investment in the West will continue to rise as these projects come into service but not necessarily to the same level of overall returns as generated in the other segments.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Due to the nature of our business and our strategy, we are generally in a position to generate significant amounts of cash from operations. The cash generated from operations is primarily paid to shareholders in the form of dividends. Our status as a REIT requires that we distribute at least 90% of our REIT taxable income each year. Therefore, cash needs for executing our strategy and investing in new properties as well as payment of debt maturities must come from cash not distributed to shareholders, from proceeds of property dispositions, or from the proceeds derived from raising new capital by issuing equity or debt securities.</w:t>
      </w:r>
    </w:p>
    <w:p>
      <w:pPr>
        <w:spacing w:after="0" w:line="148"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It is management’s intention that we continually have access to the capital resources necessary to expand and develop our business. As such we intend to operate with and maintain a conservative capital structure that will allow us to maintain strong debt service coverage and fixed charge coverage ratios as part of our commitment to investment-grade debt ratings. We may, from time to time, seek to obtain funds through additional equity offerings, unsecured debt financing and/or mortgage financings and other debt and equity alternatives, including formation of joint ventures, in a manner consistent with our intention to operate with a conservative debt structure.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and cash equivalents were $27.9 million and $35.0 million at March 31, 2004 and December 31, 2003,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160" w:type="dxa"/>
            <w:vAlign w:val="bottom"/>
          </w:tcPr>
          <w:p>
            <w:pPr>
              <w:spacing w:after="0"/>
              <w:rPr>
                <w:sz w:val="16"/>
                <w:szCs w:val="16"/>
                <w:color w:val="auto"/>
              </w:rPr>
            </w:pPr>
          </w:p>
        </w:tc>
        <w:tc>
          <w:tcPr>
            <w:tcW w:w="2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160" w:type="dxa"/>
            <w:vAlign w:val="bottom"/>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38,976</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w w:val="85"/>
              </w:rPr>
              <w:t>(120,888)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Financing Activities</w:t>
            </w:r>
          </w:p>
        </w:tc>
        <w:tc>
          <w:tcPr>
            <w:tcW w:w="8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74,884</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(7,028)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34,968</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27,940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160" w:type="dxa"/>
            <w:vAlign w:val="bottom"/>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0" w:firstLine="222"/>
        <w:spacing w:after="0" w:line="342" w:lineRule="auto"/>
        <w:rPr>
          <w:sz w:val="20"/>
          <w:szCs w:val="20"/>
          <w:color w:val="auto"/>
        </w:rPr>
      </w:pPr>
      <w:r>
        <w:rPr>
          <w:rFonts w:ascii="Arial" w:cs="Arial" w:eastAsia="Arial" w:hAnsi="Arial"/>
          <w:sz w:val="16"/>
          <w:szCs w:val="16"/>
          <w:color w:val="auto"/>
        </w:rPr>
        <w:t>The cash provided by operating activities is primarily attributable to the operation of our properties and the change in working capital related to our operations. Of the $39.0 million cash from operations, $2.0 million comes from changes in working capital and the remainder from results of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used cash of $120.9 million during the first quarter of 2004 in investing activities including the following:</w:t>
      </w:r>
    </w:p>
    <w:p>
      <w:pPr>
        <w:spacing w:after="0" w:line="225" w:lineRule="exact"/>
        <w:rPr>
          <w:sz w:val="20"/>
          <w:szCs w:val="20"/>
          <w:color w:val="auto"/>
        </w:rPr>
      </w:pPr>
    </w:p>
    <w:p>
      <w:pPr>
        <w:ind w:left="560" w:hanging="214"/>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$97.1 million for our acquisition of Westgate Mall on March 31, 2004,</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at Santana Row of approximately $11.1 million,</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$11.8 million on redevelopment at other properties and on maintenance capital,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$0.9 million advance under an existing mortgage note receivable.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financing activities provided $74.9 million of cash, which was composed of:</w:t>
      </w:r>
    </w:p>
    <w:p>
      <w:pPr>
        <w:spacing w:after="0" w:line="225" w:lineRule="exact"/>
        <w:rPr>
          <w:sz w:val="20"/>
          <w:szCs w:val="20"/>
          <w:color w:val="auto"/>
        </w:rPr>
      </w:pPr>
    </w:p>
    <w:p>
      <w:pPr>
        <w:ind w:left="560" w:hanging="21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$64.4 million of net proceeds from borrowings primarily to finance the acquisition of Westgate Mall,</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 million of proceeds from the issuance of notes payable,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 million of proceeds from the issuance of common shares upon the exercise of options and redemption of operating units, which offset</w:t>
      </w:r>
    </w:p>
    <w:p>
      <w:pPr>
        <w:spacing w:after="0" w:line="236" w:lineRule="exact"/>
        <w:rPr>
          <w:rFonts w:ascii="Arial" w:cs="Arial" w:eastAsia="Arial" w:hAnsi="Arial"/>
          <w:sz w:val="17"/>
          <w:szCs w:val="17"/>
          <w:color w:val="auto"/>
        </w:rPr>
      </w:pPr>
    </w:p>
    <w:p>
      <w:pPr>
        <w:ind w:left="560" w:hanging="21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$39.5 million used to pay off Medium Term Notes,</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$26.3 million used to pay dividends,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$0.6 million representing the change in minority interests.</w:t>
      </w:r>
    </w:p>
    <w:p>
      <w:pPr>
        <w:spacing w:after="0" w:line="225"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In the second quarter of 2004, we issued approximately 2.2 million common shares netting approximately $99 million in cash proceeds. The proceeds were used to repay borrowings outstanding under our revolving credit facility which were used to acquire Westgate Mall and for general corporate purposes.</w:t>
      </w:r>
    </w:p>
    <w:p>
      <w:pPr>
        <w:spacing w:after="0" w:line="9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as disclosed in the Contractual Obligations table below, we have no off-balance sheet arrangements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likely to have a current or future material effect on our financial condition, revenues or expenses, results of operations, liquidity, capital expenditures or capital resources.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summary of our fixed, noncancelable obligations as of March 31, 2004.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Commitments Due by Period</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0" w:type="dxa"/>
            <w:vAlign w:val="bottom"/>
            <w:gridSpan w:val="2"/>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14"/>
                <w:szCs w:val="14"/>
                <w:color w:val="auto"/>
              </w:rPr>
              <w:t>(a)(b)(c)(d)(e)</w:t>
            </w:r>
          </w:p>
        </w:tc>
        <w:tc>
          <w:tcPr>
            <w:tcW w:w="14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rPr>
              <w:t>Remainder</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From</w:t>
            </w:r>
          </w:p>
        </w:tc>
        <w:tc>
          <w:tcPr>
            <w:tcW w:w="480" w:type="dxa"/>
            <w:vAlign w:val="bottom"/>
          </w:tcPr>
          <w:p>
            <w:pPr>
              <w:spacing w:after="0"/>
              <w:rPr>
                <w:sz w:val="17"/>
                <w:szCs w:val="17"/>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60" w:type="dxa"/>
            <w:vAlign w:val="bottom"/>
            <w:vMerge w:val="continue"/>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of 2004</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1-3 years</w:t>
            </w: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4-5 years</w:t>
            </w:r>
          </w:p>
        </w:tc>
        <w:tc>
          <w:tcPr>
            <w:tcW w:w="48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9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Current and long-term debt</w:t>
            </w:r>
          </w:p>
        </w:tc>
        <w:tc>
          <w:tcPr>
            <w:tcW w:w="146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$1,251,178</w:t>
            </w:r>
          </w:p>
        </w:tc>
        <w:tc>
          <w:tcPr>
            <w:tcW w:w="12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$167,189</w:t>
            </w:r>
          </w:p>
        </w:tc>
        <w:tc>
          <w:tcPr>
            <w:tcW w:w="1920" w:type="dxa"/>
            <w:vAlign w:val="bottom"/>
            <w:shd w:val="clear" w:color="auto" w:fill="EEEEEE"/>
          </w:tcPr>
          <w:p>
            <w:pPr>
              <w:jc w:val="right"/>
              <w:ind w:right="595"/>
              <w:spacing w:after="0"/>
              <w:rPr>
                <w:sz w:val="20"/>
                <w:szCs w:val="20"/>
                <w:color w:val="auto"/>
              </w:rPr>
            </w:pPr>
            <w:r>
              <w:rPr>
                <w:rFonts w:ascii="Arial" w:cs="Arial" w:eastAsia="Arial" w:hAnsi="Arial"/>
                <w:sz w:val="18"/>
                <w:szCs w:val="18"/>
                <w:color w:val="auto"/>
              </w:rPr>
              <w:t>$187,663</w:t>
            </w: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w w:val="93"/>
              </w:rPr>
              <w:t>$317,922</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578,404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1460" w:type="dxa"/>
            <w:vAlign w:val="bottom"/>
          </w:tcPr>
          <w:p>
            <w:pPr>
              <w:jc w:val="right"/>
              <w:ind w:right="312"/>
              <w:spacing w:after="0"/>
              <w:rPr>
                <w:sz w:val="20"/>
                <w:szCs w:val="20"/>
                <w:color w:val="auto"/>
              </w:rPr>
            </w:pPr>
            <w:r>
              <w:rPr>
                <w:rFonts w:ascii="Arial" w:cs="Arial" w:eastAsia="Arial" w:hAnsi="Arial"/>
                <w:sz w:val="18"/>
                <w:szCs w:val="18"/>
                <w:color w:val="auto"/>
              </w:rPr>
              <w:t>159,387</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387</w:t>
            </w:r>
          </w:p>
        </w:tc>
        <w:tc>
          <w:tcPr>
            <w:tcW w:w="1920" w:type="dxa"/>
            <w:vAlign w:val="bottom"/>
          </w:tcPr>
          <w:p>
            <w:pPr>
              <w:jc w:val="right"/>
              <w:ind w:right="595"/>
              <w:spacing w:after="0"/>
              <w:rPr>
                <w:sz w:val="20"/>
                <w:szCs w:val="20"/>
                <w:color w:val="auto"/>
              </w:rPr>
            </w:pPr>
            <w:r>
              <w:rPr>
                <w:rFonts w:ascii="Arial" w:cs="Arial" w:eastAsia="Arial" w:hAnsi="Arial"/>
                <w:sz w:val="18"/>
                <w:szCs w:val="18"/>
                <w:color w:val="auto"/>
              </w:rPr>
              <w:t>2,413</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2,884</w:t>
            </w:r>
          </w:p>
        </w:tc>
        <w:tc>
          <w:tcPr>
            <w:tcW w:w="48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153,703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w:t>
            </w:r>
          </w:p>
        </w:tc>
        <w:tc>
          <w:tcPr>
            <w:tcW w:w="146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290,254</w:t>
            </w:r>
          </w:p>
        </w:tc>
        <w:tc>
          <w:tcPr>
            <w:tcW w:w="12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3,243</w:t>
            </w:r>
          </w:p>
        </w:tc>
        <w:tc>
          <w:tcPr>
            <w:tcW w:w="1920" w:type="dxa"/>
            <w:vAlign w:val="bottom"/>
            <w:shd w:val="clear" w:color="auto" w:fill="EEEEEE"/>
          </w:tcPr>
          <w:p>
            <w:pPr>
              <w:jc w:val="right"/>
              <w:ind w:right="595"/>
              <w:spacing w:after="0"/>
              <w:rPr>
                <w:sz w:val="20"/>
                <w:szCs w:val="20"/>
                <w:color w:val="auto"/>
              </w:rPr>
            </w:pPr>
            <w:r>
              <w:rPr>
                <w:rFonts w:ascii="Arial" w:cs="Arial" w:eastAsia="Arial" w:hAnsi="Arial"/>
                <w:sz w:val="18"/>
                <w:szCs w:val="18"/>
                <w:color w:val="auto"/>
              </w:rPr>
              <w:t>8,705</w:t>
            </w: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8,832</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269,474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Development and redevelopment obligations</w:t>
            </w:r>
          </w:p>
        </w:tc>
        <w:tc>
          <w:tcPr>
            <w:tcW w:w="1460" w:type="dxa"/>
            <w:vAlign w:val="bottom"/>
          </w:tcPr>
          <w:p>
            <w:pPr>
              <w:jc w:val="right"/>
              <w:ind w:right="312"/>
              <w:spacing w:after="0"/>
              <w:rPr>
                <w:sz w:val="20"/>
                <w:szCs w:val="20"/>
                <w:color w:val="auto"/>
              </w:rPr>
            </w:pPr>
            <w:r>
              <w:rPr>
                <w:rFonts w:ascii="Arial" w:cs="Arial" w:eastAsia="Arial" w:hAnsi="Arial"/>
                <w:sz w:val="18"/>
                <w:szCs w:val="18"/>
                <w:color w:val="auto"/>
              </w:rPr>
              <w:t>107,889</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35,816</w:t>
            </w:r>
          </w:p>
        </w:tc>
        <w:tc>
          <w:tcPr>
            <w:tcW w:w="1920" w:type="dxa"/>
            <w:vAlign w:val="bottom"/>
          </w:tcPr>
          <w:p>
            <w:pPr>
              <w:jc w:val="right"/>
              <w:ind w:right="595"/>
              <w:spacing w:after="0"/>
              <w:rPr>
                <w:sz w:val="20"/>
                <w:szCs w:val="20"/>
                <w:color w:val="auto"/>
              </w:rPr>
            </w:pPr>
            <w:r>
              <w:rPr>
                <w:rFonts w:ascii="Arial" w:cs="Arial" w:eastAsia="Arial" w:hAnsi="Arial"/>
                <w:sz w:val="18"/>
                <w:szCs w:val="18"/>
                <w:color w:val="auto"/>
              </w:rPr>
              <w:t>12,073</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Restaurant joint ventures</w:t>
            </w:r>
          </w:p>
        </w:tc>
        <w:tc>
          <w:tcPr>
            <w:tcW w:w="146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417</w:t>
            </w:r>
          </w:p>
        </w:tc>
        <w:tc>
          <w:tcPr>
            <w:tcW w:w="12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417</w:t>
            </w:r>
          </w:p>
        </w:tc>
        <w:tc>
          <w:tcPr>
            <w:tcW w:w="1920" w:type="dxa"/>
            <w:vAlign w:val="bottom"/>
            <w:shd w:val="clear" w:color="auto" w:fill="EEEEEE"/>
          </w:tcPr>
          <w:p>
            <w:pPr>
              <w:jc w:val="right"/>
              <w:ind w:right="59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Contractual operating obligations</w:t>
            </w:r>
          </w:p>
        </w:tc>
        <w:tc>
          <w:tcPr>
            <w:tcW w:w="146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color w:val="auto"/>
              </w:rPr>
              <w:t>7,617</w:t>
            </w:r>
          </w:p>
        </w:tc>
        <w:tc>
          <w:tcPr>
            <w:tcW w:w="1240" w:type="dxa"/>
            <w:vAlign w:val="bottom"/>
            <w:tcBorders>
              <w:bottom w:val="single" w:sz="8" w:color="808080"/>
            </w:tcBorders>
          </w:tcPr>
          <w:p>
            <w:pPr>
              <w:jc w:val="right"/>
              <w:ind w:right="74"/>
              <w:spacing w:after="0"/>
              <w:rPr>
                <w:sz w:val="20"/>
                <w:szCs w:val="20"/>
                <w:color w:val="auto"/>
              </w:rPr>
            </w:pPr>
            <w:r>
              <w:rPr>
                <w:rFonts w:ascii="Arial" w:cs="Arial" w:eastAsia="Arial" w:hAnsi="Arial"/>
                <w:sz w:val="18"/>
                <w:szCs w:val="18"/>
                <w:color w:val="auto"/>
              </w:rPr>
              <w:t>3,259</w:t>
            </w:r>
          </w:p>
        </w:tc>
        <w:tc>
          <w:tcPr>
            <w:tcW w:w="1920" w:type="dxa"/>
            <w:vAlign w:val="bottom"/>
            <w:tcBorders>
              <w:bottom w:val="single" w:sz="8" w:color="808080"/>
            </w:tcBorders>
          </w:tcPr>
          <w:p>
            <w:pPr>
              <w:jc w:val="right"/>
              <w:ind w:right="595"/>
              <w:spacing w:after="0"/>
              <w:rPr>
                <w:sz w:val="20"/>
                <w:szCs w:val="20"/>
                <w:color w:val="auto"/>
              </w:rPr>
            </w:pPr>
            <w:r>
              <w:rPr>
                <w:rFonts w:ascii="Arial" w:cs="Arial" w:eastAsia="Arial" w:hAnsi="Arial"/>
                <w:sz w:val="18"/>
                <w:szCs w:val="18"/>
                <w:color w:val="auto"/>
              </w:rPr>
              <w:t>4,171</w:t>
            </w:r>
          </w:p>
        </w:tc>
        <w:tc>
          <w:tcPr>
            <w:tcW w:w="1120" w:type="dxa"/>
            <w:vAlign w:val="bottom"/>
            <w:tcBorders>
              <w:bottom w:val="single" w:sz="8" w:color="808080"/>
            </w:tcBorders>
          </w:tcPr>
          <w:p>
            <w:pPr>
              <w:jc w:val="right"/>
              <w:ind w:right="314"/>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9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contractual cash obligations</w:t>
            </w:r>
          </w:p>
        </w:tc>
        <w:tc>
          <w:tcPr>
            <w:tcW w:w="1460" w:type="dxa"/>
            <w:vAlign w:val="bottom"/>
            <w:tcBorders>
              <w:bottom w:val="single" w:sz="8" w:color="808080"/>
            </w:tcBorders>
            <w:shd w:val="clear" w:color="auto" w:fill="EEEEEE"/>
          </w:tcPr>
          <w:p>
            <w:pPr>
              <w:jc w:val="right"/>
              <w:ind w:right="312"/>
              <w:spacing w:after="0"/>
              <w:rPr>
                <w:sz w:val="20"/>
                <w:szCs w:val="20"/>
                <w:color w:val="auto"/>
              </w:rPr>
            </w:pPr>
            <w:r>
              <w:rPr>
                <w:rFonts w:ascii="Arial" w:cs="Arial" w:eastAsia="Arial" w:hAnsi="Arial"/>
                <w:sz w:val="18"/>
                <w:szCs w:val="18"/>
                <w:color w:val="auto"/>
              </w:rPr>
              <w:t>$1,816,742</w:t>
            </w:r>
          </w:p>
        </w:tc>
        <w:tc>
          <w:tcPr>
            <w:tcW w:w="1240" w:type="dxa"/>
            <w:vAlign w:val="bottom"/>
            <w:tcBorders>
              <w:bottom w:val="single" w:sz="8" w:color="808080"/>
            </w:tcBorders>
            <w:shd w:val="clear" w:color="auto" w:fill="EEEEEE"/>
          </w:tcPr>
          <w:p>
            <w:pPr>
              <w:jc w:val="right"/>
              <w:ind w:right="74"/>
              <w:spacing w:after="0"/>
              <w:rPr>
                <w:sz w:val="20"/>
                <w:szCs w:val="20"/>
                <w:color w:val="auto"/>
              </w:rPr>
            </w:pPr>
            <w:r>
              <w:rPr>
                <w:rFonts w:ascii="Arial" w:cs="Arial" w:eastAsia="Arial" w:hAnsi="Arial"/>
                <w:sz w:val="18"/>
                <w:szCs w:val="18"/>
                <w:color w:val="auto"/>
              </w:rPr>
              <w:t>$210,311</w:t>
            </w:r>
          </w:p>
        </w:tc>
        <w:tc>
          <w:tcPr>
            <w:tcW w:w="1920" w:type="dxa"/>
            <w:vAlign w:val="bottom"/>
            <w:tcBorders>
              <w:bottom w:val="single" w:sz="8" w:color="808080"/>
            </w:tcBorders>
            <w:shd w:val="clear" w:color="auto" w:fill="EEEEEE"/>
          </w:tcPr>
          <w:p>
            <w:pPr>
              <w:jc w:val="right"/>
              <w:ind w:right="595"/>
              <w:spacing w:after="0"/>
              <w:rPr>
                <w:sz w:val="20"/>
                <w:szCs w:val="20"/>
                <w:color w:val="auto"/>
              </w:rPr>
            </w:pPr>
            <w:r>
              <w:rPr>
                <w:rFonts w:ascii="Arial" w:cs="Arial" w:eastAsia="Arial" w:hAnsi="Arial"/>
                <w:sz w:val="18"/>
                <w:szCs w:val="18"/>
                <w:color w:val="auto"/>
              </w:rPr>
              <w:t>$215,025</w:t>
            </w:r>
          </w:p>
        </w:tc>
        <w:tc>
          <w:tcPr>
            <w:tcW w:w="1120" w:type="dxa"/>
            <w:vAlign w:val="bottom"/>
            <w:tcBorders>
              <w:bottom w:val="single" w:sz="8" w:color="808080"/>
            </w:tcBorders>
            <w:shd w:val="clear" w:color="auto" w:fill="EEEEEE"/>
          </w:tcPr>
          <w:p>
            <w:pPr>
              <w:jc w:val="right"/>
              <w:ind w:right="314"/>
              <w:spacing w:after="0"/>
              <w:rPr>
                <w:sz w:val="20"/>
                <w:szCs w:val="20"/>
                <w:color w:val="auto"/>
              </w:rPr>
            </w:pPr>
            <w:r>
              <w:rPr>
                <w:rFonts w:ascii="Arial" w:cs="Arial" w:eastAsia="Arial" w:hAnsi="Arial"/>
                <w:sz w:val="18"/>
                <w:szCs w:val="18"/>
                <w:color w:val="auto"/>
                <w:w w:val="93"/>
              </w:rPr>
              <w:t>$329,825</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080"/>
            </w:tcBorders>
            <w:shd w:val="clear" w:color="auto" w:fill="EEEEEE"/>
          </w:tcPr>
          <w:p>
            <w:pPr>
              <w:jc w:val="right"/>
              <w:ind w:right="314"/>
              <w:spacing w:after="0"/>
              <w:rPr>
                <w:sz w:val="20"/>
                <w:szCs w:val="20"/>
                <w:color w:val="auto"/>
              </w:rPr>
            </w:pPr>
            <w:r>
              <w:rPr>
                <w:rFonts w:ascii="Arial" w:cs="Arial" w:eastAsia="Arial" w:hAnsi="Arial"/>
                <w:sz w:val="18"/>
                <w:szCs w:val="18"/>
                <w:color w:val="auto"/>
                <w:w w:val="87"/>
              </w:rPr>
              <w:t>1,061,581</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0" w:right="60" w:hanging="264"/>
        <w:spacing w:after="0" w:line="288"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from half to all of its 29.47% interest in Congressional Plaza at the interest’s then-current fair market value. Based on management’s current estimate of fair market value, our estimated liability upon exercise of the put option is approximately</w:t>
      </w:r>
    </w:p>
    <w:p>
      <w:pPr>
        <w:ind w:left="380"/>
        <w:spacing w:after="0" w:line="277" w:lineRule="auto"/>
        <w:rPr>
          <w:rFonts w:ascii="Arial" w:cs="Arial" w:eastAsia="Arial" w:hAnsi="Arial"/>
          <w:sz w:val="16"/>
          <w:szCs w:val="16"/>
          <w:color w:val="auto"/>
        </w:rPr>
      </w:pPr>
      <w:r>
        <w:rPr>
          <w:rFonts w:ascii="Arial" w:cs="Arial" w:eastAsia="Arial" w:hAnsi="Arial"/>
          <w:sz w:val="17"/>
          <w:szCs w:val="17"/>
          <w:color w:val="auto"/>
        </w:rPr>
        <w:t>$21.0 million. In conjunction with the construction of the apartments at the property that were completed in 2003, 8.03% of the third party’s interest in Congressional Plaza was re-allocated to us, effective January 1, 2004, thereby lowering the third party’s ownership percentage from 37.5% to its current level of 29.47%, as a result of our having funded approximately $7 million of the third party’s share of the redevelopment cost.</w:t>
      </w:r>
    </w:p>
    <w:p>
      <w:pPr>
        <w:spacing w:after="0" w:line="173" w:lineRule="exact"/>
        <w:rPr>
          <w:rFonts w:ascii="Arial" w:cs="Arial" w:eastAsia="Arial" w:hAnsi="Arial"/>
          <w:sz w:val="16"/>
          <w:szCs w:val="16"/>
          <w:color w:val="auto"/>
        </w:rPr>
      </w:pPr>
    </w:p>
    <w:p>
      <w:pPr>
        <w:ind w:left="380" w:right="120" w:hanging="264"/>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interests, we may choose to purchase the limited partnership interests upon the same terms.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right="60" w:hanging="264"/>
        <w:spacing w:after="0" w:line="286"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is estimated to range from $1.6 million to $3.0 million of which approximately $360,000 was funded in 2003. We have accrued for additional payments of $1.2 million as of March 31, 2004 as part of the project costs in anticipation of a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71" w:lineRule="exact"/>
        <w:rPr>
          <w:rFonts w:ascii="Arial" w:cs="Arial" w:eastAsia="Arial" w:hAnsi="Arial"/>
          <w:sz w:val="16"/>
          <w:szCs w:val="16"/>
          <w:color w:val="auto"/>
        </w:rPr>
      </w:pPr>
    </w:p>
    <w:p>
      <w:pPr>
        <w:ind w:left="380" w:hanging="264"/>
        <w:spacing w:after="0" w:line="279"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Under the terms of various other partnerships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On January 5, 2004 we paid $199,000 to redeem 5,100 of these operating units and on March 3, 2004 we paid $200,000 to redeem 4,667 of these operating units. As of March 31, 2004, a total of 842,455 operating units remain outstanding.</w:t>
      </w:r>
    </w:p>
    <w:p>
      <w:pPr>
        <w:spacing w:after="0" w:line="171" w:lineRule="exact"/>
        <w:rPr>
          <w:rFonts w:ascii="Arial" w:cs="Arial" w:eastAsia="Arial" w:hAnsi="Arial"/>
          <w:sz w:val="17"/>
          <w:szCs w:val="17"/>
          <w:color w:val="auto"/>
        </w:rPr>
      </w:pPr>
    </w:p>
    <w:p>
      <w:pPr>
        <w:ind w:left="380" w:right="200" w:hanging="264"/>
        <w:spacing w:after="0" w:line="276"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Santana Row.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2004, we had total debt outstanding of $1.4 billion.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our total debt outstanding as of March 31,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Original Debt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Principal Balance</w:t>
            </w:r>
          </w:p>
        </w:tc>
        <w:tc>
          <w:tcPr>
            <w:tcW w:w="34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Interest Rate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Debt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Issued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3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or Available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2004</w:t>
            </w:r>
          </w:p>
        </w:tc>
        <w:tc>
          <w:tcPr>
            <w:tcW w:w="34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2004</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Mortgage Loans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i w:val="1"/>
                <w:iCs w:val="1"/>
                <w:color w:val="auto"/>
              </w:rPr>
              <w:t>Secured Fixed Rate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Leesburg Plaza</w:t>
            </w:r>
          </w:p>
        </w:tc>
        <w:tc>
          <w:tcPr>
            <w:tcW w:w="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9,900</w:t>
            </w: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9,900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6.510%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164 E. Houston Street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7.500%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Mercer Mall</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Acquired</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8.375%</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Federal Plaza</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36,500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35,437</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6.750%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Tysons Station</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7.400%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Barracks Road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44,300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44,102</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7.950%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Hauppauge</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16,700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7.950%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Lawrence Park</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31,259</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7.950%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Wildwood</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27,600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7.950%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Wynnewood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7.950%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Brick Plaza</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33,000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32,838</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7.415%</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November 1, 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Mount Vernon (1)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tcPr>
          <w:p>
            <w:pPr>
              <w:spacing w:after="0"/>
              <w:rPr>
                <w:sz w:val="20"/>
                <w:szCs w:val="20"/>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5.660%</w:t>
            </w:r>
          </w:p>
        </w:tc>
        <w:tc>
          <w:tcPr>
            <w:tcW w:w="3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Mortgage Loans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254,141</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Perring Plaza Renovation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10.00%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Various</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i w:val="1"/>
                <w:iCs w:val="1"/>
                <w:color w:val="auto"/>
              </w:rPr>
              <w:t>Unsecured Variable Rate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Term note with banks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LIBOR + 0.95%</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Term note with banks (2)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LIBOR+0.95%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Escondido (Municipal Bonds) (3)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9,400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3.060%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1, 2016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Revolving credit facilities (4)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LIBOR + 0.75%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Notes Payable</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426,537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Senior Notes and Debentures</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6.625% Notes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6.625%</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6.99% Medium Term Notes (5)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40,500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6.894%</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6.125% Notes (6)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6.325%</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8.75% Notes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175,000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8.750%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4.50% Notes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4.500%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7.48% Debentures (7)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w w:val="91"/>
              </w:rPr>
              <w:t>7.480%</w:t>
            </w: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August 15, 2026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6.82% Medium Term Notes (8)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1"/>
              </w:rPr>
              <w:t>6.820%</w:t>
            </w:r>
          </w:p>
        </w:tc>
        <w:tc>
          <w:tcPr>
            <w:tcW w:w="3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August 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Senior Notes and Debentures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570,500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Lease Obligations</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Various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159,387</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Various</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Various through 2077</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1,410,565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0" w:hanging="264"/>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is reset to a market rate. The lender has the option to call the loan after year ten.</w:t>
      </w:r>
    </w:p>
    <w:p>
      <w:pPr>
        <w:spacing w:after="0" w:line="236"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264"/>
        <w:spacing w:after="0" w:line="26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81" w:lineRule="exact"/>
        <w:rPr>
          <w:rFonts w:ascii="Arial" w:cs="Arial" w:eastAsia="Arial" w:hAnsi="Arial"/>
          <w:sz w:val="18"/>
          <w:szCs w:val="18"/>
          <w:color w:val="auto"/>
        </w:rPr>
      </w:pPr>
    </w:p>
    <w:p>
      <w:pPr>
        <w:ind w:left="380" w:right="200" w:hanging="264"/>
        <w:spacing w:after="0" w:line="26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three months ended March 31, 2004 was 3.060%. The property is not encumbered by a lien.</w:t>
      </w:r>
    </w:p>
    <w:p>
      <w:pPr>
        <w:spacing w:after="0" w:line="181" w:lineRule="exact"/>
        <w:rPr>
          <w:rFonts w:ascii="Arial" w:cs="Arial" w:eastAsia="Arial" w:hAnsi="Arial"/>
          <w:sz w:val="18"/>
          <w:szCs w:val="18"/>
          <w:color w:val="auto"/>
        </w:rPr>
      </w:pPr>
    </w:p>
    <w:p>
      <w:pPr>
        <w:ind w:left="380" w:right="360" w:hanging="264"/>
        <w:spacing w:after="0" w:line="26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amount drawn under the facility during the first three months of 2004 was $165 million. The weighted average interest rate on borrowings under the facility for the three months ended March 31, 2004 was 1.98%. $98 million of this outstanding balance was repaid on April 7, 2004 from the proceeds of our April 2004 common equity offering.</w:t>
      </w:r>
    </w:p>
    <w:p>
      <w:pPr>
        <w:spacing w:after="0" w:line="181" w:lineRule="exact"/>
        <w:rPr>
          <w:rFonts w:ascii="Arial" w:cs="Arial" w:eastAsia="Arial" w:hAnsi="Arial"/>
          <w:sz w:val="18"/>
          <w:szCs w:val="18"/>
          <w:color w:val="auto"/>
        </w:rPr>
      </w:pPr>
    </w:p>
    <w:p>
      <w:pPr>
        <w:ind w:left="380" w:hanging="26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225" w:lineRule="exact"/>
        <w:rPr>
          <w:rFonts w:ascii="Arial" w:cs="Arial" w:eastAsia="Arial" w:hAnsi="Arial"/>
          <w:sz w:val="18"/>
          <w:szCs w:val="18"/>
          <w:color w:val="auto"/>
        </w:rPr>
      </w:pPr>
    </w:p>
    <w:p>
      <w:pPr>
        <w:ind w:left="380" w:right="120" w:hanging="264"/>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Beginning on August 15, 2008, the debentures are redeemable by the holders thereof at the original purchase price.</w:t>
      </w:r>
    </w:p>
    <w:p>
      <w:pPr>
        <w:spacing w:after="0" w:line="225" w:lineRule="exact"/>
        <w:rPr>
          <w:rFonts w:ascii="Arial" w:cs="Arial" w:eastAsia="Arial" w:hAnsi="Arial"/>
          <w:sz w:val="18"/>
          <w:szCs w:val="18"/>
          <w:color w:val="auto"/>
        </w:rPr>
      </w:pPr>
    </w:p>
    <w:p>
      <w:pPr>
        <w:ind w:left="380" w:hanging="26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w:t>
      </w:r>
    </w:p>
    <w:p>
      <w:pPr>
        <w:spacing w:after="0" w:line="225"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165" w:lineRule="exact"/>
        <w:rPr>
          <w:sz w:val="20"/>
          <w:szCs w:val="20"/>
          <w:color w:val="auto"/>
        </w:rPr>
      </w:pPr>
    </w:p>
    <w:p>
      <w:pPr>
        <w:ind w:left="560" w:right="120" w:hanging="214"/>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2.11 to 1 as of March 31, 2004);</w:t>
      </w:r>
    </w:p>
    <w:p>
      <w:pPr>
        <w:spacing w:after="0" w:line="170" w:lineRule="exact"/>
        <w:rPr>
          <w:rFonts w:ascii="Arial" w:cs="Arial" w:eastAsia="Arial" w:hAnsi="Arial"/>
          <w:sz w:val="18"/>
          <w:szCs w:val="18"/>
          <w:color w:val="auto"/>
        </w:rPr>
      </w:pPr>
    </w:p>
    <w:p>
      <w:pPr>
        <w:ind w:left="560" w:right="20" w:hanging="214"/>
        <w:spacing w:after="0" w:line="342"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0.51 to 1 as of March 31, 2004 or a ratio of 0.48 to 1 as of March 31, 2004 after giving effect to the April 2004 common equity offering and related repayment of our revolving credit facility);</w:t>
      </w:r>
    </w:p>
    <w:p>
      <w:pPr>
        <w:spacing w:after="0" w:line="123" w:lineRule="exact"/>
        <w:rPr>
          <w:rFonts w:ascii="Arial" w:cs="Arial" w:eastAsia="Arial" w:hAnsi="Arial"/>
          <w:sz w:val="16"/>
          <w:szCs w:val="16"/>
          <w:color w:val="auto"/>
        </w:rPr>
      </w:pPr>
    </w:p>
    <w:p>
      <w:pPr>
        <w:ind w:left="560" w:hanging="214"/>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0.30 to 1 (we maintained a ratio of 0.15 to 1 as of March 31, 2004);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right="180" w:hanging="214"/>
        <w:spacing w:after="0" w:line="264"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2.30 to 1 as of March 31, 2004 or a ratio of 2.55 to 1 as of March 31, 2004 after giving effect to the April 2004 common equity offering and related repayment of our revolving credit facility); and</w:t>
      </w:r>
    </w:p>
    <w:p>
      <w:pPr>
        <w:spacing w:after="0" w:line="181" w:lineRule="exact"/>
        <w:rPr>
          <w:rFonts w:ascii="Arial" w:cs="Arial" w:eastAsia="Arial" w:hAnsi="Arial"/>
          <w:sz w:val="18"/>
          <w:szCs w:val="18"/>
          <w:color w:val="auto"/>
        </w:rPr>
      </w:pPr>
    </w:p>
    <w:p>
      <w:pPr>
        <w:ind w:left="560" w:right="580" w:hanging="214"/>
        <w:spacing w:after="0" w:line="277"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March 31, 2004 represented 3.4% of gross asset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225" w:lineRule="exact"/>
        <w:rPr>
          <w:sz w:val="20"/>
          <w:szCs w:val="20"/>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225"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As of March 31, 2004, we were in compliance with all of the listed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Below are the aggregate principal payments required as of March 31, 2004 under our debt financing arrangements by year. Scheduled principal installments and amounts due at maturity are included.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Secured</w:t>
            </w:r>
          </w:p>
        </w:tc>
        <w:tc>
          <w:tcPr>
            <w:tcW w:w="440" w:type="dxa"/>
            <w:vAlign w:val="bottom"/>
          </w:tcPr>
          <w:p>
            <w:pPr>
              <w:spacing w:after="0"/>
              <w:rPr>
                <w:sz w:val="16"/>
                <w:szCs w:val="16"/>
                <w:color w:val="auto"/>
              </w:rPr>
            </w:pPr>
          </w:p>
        </w:tc>
        <w:tc>
          <w:tcPr>
            <w:tcW w:w="1820" w:type="dxa"/>
            <w:vAlign w:val="bottom"/>
            <w:gridSpan w:val="3"/>
          </w:tcPr>
          <w:p>
            <w:pPr>
              <w:ind w:left="500"/>
              <w:spacing w:after="0"/>
              <w:rPr>
                <w:sz w:val="20"/>
                <w:szCs w:val="20"/>
                <w:color w:val="auto"/>
              </w:rPr>
            </w:pPr>
            <w:r>
              <w:rPr>
                <w:rFonts w:ascii="Arial" w:cs="Arial" w:eastAsia="Arial" w:hAnsi="Arial"/>
                <w:sz w:val="14"/>
                <w:szCs w:val="14"/>
                <w:b w:val="1"/>
                <w:bCs w:val="1"/>
                <w:color w:val="auto"/>
              </w:rPr>
              <w:t>Capital Lease</w:t>
            </w:r>
          </w:p>
        </w:tc>
        <w:tc>
          <w:tcPr>
            <w:tcW w:w="460" w:type="dxa"/>
            <w:vAlign w:val="bottom"/>
          </w:tcPr>
          <w:p>
            <w:pPr>
              <w:spacing w:after="0"/>
              <w:rPr>
                <w:sz w:val="16"/>
                <w:szCs w:val="16"/>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rPr>
              <w:t>Unsecured</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2,074</w:t>
            </w: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2,576</w:t>
            </w: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3,229</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40,167</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2006 (1)</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305,685</w:t>
            </w: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310,537</w:t>
            </w: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2007</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3,858</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150,204</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13,633</w:t>
            </w:r>
          </w:p>
        </w:tc>
        <w:tc>
          <w:tcPr>
            <w:tcW w:w="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1,512</w:t>
            </w: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150,226</w:t>
            </w: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165,371</w:t>
            </w: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2009 and thereafter</w:t>
            </w: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227,766</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153,700</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350,640</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732,106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254,141</w:t>
            </w: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159,387</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997,037</w:t>
            </w:r>
          </w:p>
        </w:tc>
        <w:tc>
          <w:tcPr>
            <w:tcW w:w="54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1,410,565</w:t>
            </w:r>
          </w:p>
        </w:tc>
        <w:tc>
          <w:tcPr>
            <w:tcW w:w="8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0" w:right="560" w:hanging="264"/>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$165 million of our revolving credit facility. $98 million of this amount was repaid on April 7, 2004 with the proceeds of our April 2004 common equity offering.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02"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130"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In January 2004, to hedge our exposure to interest rate fluctuations on our $150 million, five-year term loan issued in October 2003, we entered into interest rate swaps, which fixed the LIBOR portion of the interest rate on the term loan at 2.401% through October 2006. The interest rate on the term loan as of March 31, 2004 was 2.1% based on LIBOR plus 95 basis points.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(“S&amp;P”) and “A1” by Moody’s Investors Service (“Moody’s”) as of March 31, 2004. Although our swap is not exchange traded, there are a number of financial institutions which enter into these types of transactions as part of their day-to-day activities. The swap has been documented as a cash flow hedge and designated as effective at interception of the swap contract.</w:t>
      </w:r>
    </w:p>
    <w:p>
      <w:pPr>
        <w:spacing w:after="0" w:line="14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Consequently, the unrealized gain or loss upon measuring the swap at its fair value will be recorded as a component of other comprehensive income with shareholders’ equity and either a derivative instrument asset or liability is recorded on the balance sheet.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9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Short-term liquidity requirements consist primarily of obligations under capital and operating leases, normal recurring operating expenses, regular debt service requirements (including debt service relating to additional or replacement debt, as well as scheduled debt maturities), recurring corporate expenditures, non-recurring corporate expenditures (such as tenant improvements and redevelopments) and dividends to common and preferred shareholders. Overall capital requirements in 2004 will depend upon acquisition opportunities, the level of improvements and redevelopments on existing properties and the timing and cost of future phases of Santana Row. We expect to fund our capital requirements, as well as our development and redevelopment costs, acquisitions and normal recurring operating costs through a combination of cash provided by operating activities, borrowings under our credit facility and other funding sources which may consist of additional and replacement debt, both secured and unsecured, additional equity, joint venture relationships and property dispositions.</w:t>
      </w:r>
    </w:p>
    <w:p>
      <w:pPr>
        <w:spacing w:after="0" w:line="152"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225" w:lineRule="exact"/>
        <w:rPr>
          <w:sz w:val="20"/>
          <w:szCs w:val="20"/>
          <w:color w:val="auto"/>
        </w:rPr>
      </w:pPr>
    </w:p>
    <w:p>
      <w:pPr>
        <w:ind w:left="560" w:right="40" w:hanging="214"/>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170" w:lineRule="exact"/>
        <w:rPr>
          <w:rFonts w:ascii="Arial" w:cs="Arial" w:eastAsia="Arial" w:hAnsi="Arial"/>
          <w:sz w:val="18"/>
          <w:szCs w:val="18"/>
          <w:color w:val="auto"/>
        </w:rPr>
      </w:pPr>
    </w:p>
    <w:p>
      <w:pPr>
        <w:ind w:left="560" w:right="340" w:hanging="214"/>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170" w:lineRule="exact"/>
        <w:rPr>
          <w:rFonts w:ascii="Arial" w:cs="Arial" w:eastAsia="Arial" w:hAnsi="Arial"/>
          <w:sz w:val="18"/>
          <w:szCs w:val="18"/>
          <w:color w:val="auto"/>
        </w:rPr>
      </w:pPr>
    </w:p>
    <w:p>
      <w:pPr>
        <w:ind w:left="560" w:hanging="214"/>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service additional or replacement debt due to increases in interest rates or a decline in our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98"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0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historically reported our FFO available for common shareholders in addition to our net income and net cash provided by operating activities. FFO is a supplemental non-GAAP financial measure of real estate companies’ operating performance.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188" w:lineRule="exact"/>
        <w:rPr>
          <w:sz w:val="20"/>
          <w:szCs w:val="20"/>
          <w:color w:val="auto"/>
        </w:rPr>
      </w:pPr>
    </w:p>
    <w:p>
      <w:pPr>
        <w:ind w:left="560" w:right="860" w:hanging="214"/>
        <w:spacing w:after="0" w:line="27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70" w:lineRule="exact"/>
        <w:rPr>
          <w:rFonts w:ascii="Arial" w:cs="Arial" w:eastAsia="Arial" w:hAnsi="Arial"/>
          <w:sz w:val="18"/>
          <w:szCs w:val="18"/>
          <w:color w:val="auto"/>
        </w:rPr>
      </w:pPr>
    </w:p>
    <w:p>
      <w:pPr>
        <w:ind w:left="560" w:hanging="21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pay dividends.</w:t>
      </w:r>
    </w:p>
    <w:p>
      <w:pPr>
        <w:spacing w:after="0" w:line="225"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46"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net income available for common shareholders to funds from operations is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92"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39370</wp:posOffset>
            </wp:positionV>
            <wp:extent cx="1852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48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 – basic</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14,377</w:t>
            </w:r>
          </w:p>
        </w:tc>
        <w:tc>
          <w:tcPr>
            <w:tcW w:w="3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11,520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3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18,726</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15,798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34,779</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28,878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4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shares used to compute FFO per diluted share</w:t>
            </w:r>
          </w:p>
        </w:tc>
        <w:tc>
          <w:tcPr>
            <w:tcW w:w="3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50,613</w:t>
            </w:r>
          </w:p>
        </w:tc>
        <w:tc>
          <w:tcPr>
            <w:tcW w:w="3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45,354</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FFO per diluted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our variable rate debt.</w:t>
      </w:r>
    </w:p>
    <w:p>
      <w:pPr>
        <w:spacing w:after="0" w:line="15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Our primary interest rate risk is due to fluctuations in interest rates on our variable rate debt. At March 31, 2004, we had $274.4 million of variable rate debt. Based upon this balance of variable rate debt, if interest rates increased 1%, our earnings and cash flows for the year would decrease by approximately $2.7 million. If interest rates decreased 1%, our earnings and cash flows for the year would increase by approximately $2.7 million. Within a week after the end of the First Quarter of 2004, we completed a common equity offering and used $98 million of the proceeds to repay borrowings under our revolving credit facility resulting in a balance of variable rate debt of $176.4 million as of April 7, 2004. Had that transaction been completed on March 31, 2004, then an increase or decrease in interest rates of 1% would increase or decrease our earnings and cashflows for the year by $1.8 million, respectively, based upon the balance of variable rate debt. We believe that the change in the fair value of our financial instruments resulting from a foreseeable fluctuation in interest rates would be immaterial to our total assets and total liabilities.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02"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We use derivative financial instruments to convert a portion of our variable rate debt to fixed rate debt and to manage our fixed to variable rate debt ratio. For example, in January 2004, we purchased an interest rate swap on our $150 million term note, which bears interest at LIBOR plus 95 basis points and is due to mature in October 2008. The swap has locked in the LIBOR portion of the interest rate at 2.401% through October 2006. A description of these derivative financial instruments is contained in “Item 2. Management’s Discussion and Analysis of Financial Condition and Results of Operations — Liquidity and Capital Resources — Interest Rate Hedging,” and is incorporated by reference into this Note 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 closely on the definition of “disclosure controls and procedures” in Rule 13a-15(e)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4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4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report that materially affected, or is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jc w:val="center"/>
        <w:ind w:right="9360"/>
        <w:spacing w:after="0"/>
        <w:rPr>
          <w:sz w:val="20"/>
          <w:szCs w:val="20"/>
          <w:color w:val="auto"/>
        </w:rPr>
      </w:pPr>
      <w:r>
        <w:rPr>
          <w:rFonts w:ascii="Arial" w:cs="Arial" w:eastAsia="Arial" w:hAnsi="Arial"/>
          <w:sz w:val="16"/>
          <w:szCs w:val="16"/>
          <w:b w:val="1"/>
          <w:bCs w:val="1"/>
          <w:color w:val="auto"/>
        </w:rPr>
        <w:t>Item 1. Legal Proceedings</w:t>
      </w:r>
    </w:p>
    <w:p>
      <w:pPr>
        <w:spacing w:after="0" w:line="212" w:lineRule="exact"/>
        <w:rPr>
          <w:sz w:val="20"/>
          <w:szCs w:val="20"/>
          <w:color w:val="auto"/>
        </w:rPr>
      </w:pPr>
    </w:p>
    <w:p>
      <w:pPr>
        <w:jc w:val="center"/>
        <w:ind w:right="90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9120"/>
        <w:spacing w:after="0"/>
        <w:rPr>
          <w:sz w:val="20"/>
          <w:szCs w:val="20"/>
          <w:color w:val="auto"/>
        </w:rPr>
      </w:pPr>
      <w:r>
        <w:rPr>
          <w:rFonts w:ascii="Arial" w:cs="Arial" w:eastAsia="Arial" w:hAnsi="Arial"/>
          <w:sz w:val="16"/>
          <w:szCs w:val="16"/>
          <w:b w:val="1"/>
          <w:bCs w:val="1"/>
          <w:color w:val="auto"/>
        </w:rPr>
        <w:t>Item 2. Changes in Securities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Vote to Security Holders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9"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480" w:right="80" w:hanging="445"/>
        <w:spacing w:after="0" w:line="277" w:lineRule="auto"/>
        <w:tabs>
          <w:tab w:leader="none" w:pos="1460" w:val="left"/>
        </w:tabs>
        <w:rPr>
          <w:sz w:val="20"/>
          <w:szCs w:val="20"/>
          <w:color w:val="auto"/>
        </w:rPr>
      </w:pPr>
      <w:r>
        <w:rPr>
          <w:rFonts w:ascii="Arial" w:cs="Arial" w:eastAsia="Arial" w:hAnsi="Arial"/>
          <w:sz w:val="18"/>
          <w:szCs w:val="18"/>
          <w:color w:val="auto"/>
        </w:rPr>
        <w:t>3.1</w:t>
        <w:tab/>
        <w:t>Declaration of Trust of Federal Realty Investment Trust dated May 5, 1999 (previously filed as Exhibit 3.2 to the Trust’s Current Report on Form 8-K filed on May 25, 1999 (File No. 1-07533) and incorporated herein by reference)</w:t>
      </w:r>
    </w:p>
    <w:p>
      <w:pPr>
        <w:spacing w:after="0" w:line="170" w:lineRule="exact"/>
        <w:rPr>
          <w:sz w:val="20"/>
          <w:szCs w:val="20"/>
          <w:color w:val="auto"/>
        </w:rPr>
      </w:pPr>
    </w:p>
    <w:p>
      <w:pPr>
        <w:ind w:left="1480" w:right="60" w:hanging="445"/>
        <w:spacing w:after="0" w:line="264" w:lineRule="auto"/>
        <w:tabs>
          <w:tab w:leader="none" w:pos="1460" w:val="left"/>
        </w:tabs>
        <w:rPr>
          <w:sz w:val="20"/>
          <w:szCs w:val="20"/>
          <w:color w:val="auto"/>
        </w:rPr>
      </w:pPr>
      <w:r>
        <w:rPr>
          <w:rFonts w:ascii="Arial" w:cs="Arial" w:eastAsia="Arial" w:hAnsi="Arial"/>
          <w:sz w:val="18"/>
          <w:szCs w:val="18"/>
          <w:color w:val="auto"/>
        </w:rPr>
        <w:t>3.2</w:t>
        <w:tab/>
        <w:t>Amended and Restated Bylaws of Federal Realty Investment Trust last amended October 29, 2003 (previously filed as Exhibit 3.2 to the Trust’s Annual Report on Form 10-K for the year ended December 31, 2003 (File No. 1-07533) (the “2003 Form 10-K”) and incorporated herein by reference)</w:t>
      </w:r>
    </w:p>
    <w:p>
      <w:pPr>
        <w:spacing w:after="0" w:line="181" w:lineRule="exact"/>
        <w:rPr>
          <w:sz w:val="20"/>
          <w:szCs w:val="20"/>
          <w:color w:val="auto"/>
        </w:rPr>
      </w:pPr>
    </w:p>
    <w:p>
      <w:pPr>
        <w:ind w:left="1480" w:right="400" w:hanging="445"/>
        <w:spacing w:after="0" w:line="277" w:lineRule="auto"/>
        <w:tabs>
          <w:tab w:leader="none" w:pos="1460" w:val="left"/>
        </w:tabs>
        <w:rPr>
          <w:sz w:val="20"/>
          <w:szCs w:val="20"/>
          <w:color w:val="auto"/>
        </w:rPr>
      </w:pPr>
      <w:r>
        <w:rPr>
          <w:rFonts w:ascii="Arial" w:cs="Arial" w:eastAsia="Arial" w:hAnsi="Arial"/>
          <w:sz w:val="18"/>
          <w:szCs w:val="18"/>
          <w:color w:val="auto"/>
        </w:rPr>
        <w:t>4.1</w:t>
        <w:tab/>
        <w:t>Specimen Common Share certificate (previously filed as Exhibit 4(i) to the Trust’s Annual Report on Form 10-K for the year ended December 31, 1999 (File No. 1-07533) (the “1999 Form 10-K”) and incorporated herein by reference)</w:t>
      </w:r>
    </w:p>
    <w:p>
      <w:pPr>
        <w:spacing w:after="0" w:line="170" w:lineRule="exact"/>
        <w:rPr>
          <w:sz w:val="20"/>
          <w:szCs w:val="20"/>
          <w:color w:val="auto"/>
        </w:rPr>
      </w:pPr>
    </w:p>
    <w:p>
      <w:pPr>
        <w:ind w:left="1480" w:right="40" w:hanging="445"/>
        <w:spacing w:after="0" w:line="264" w:lineRule="auto"/>
        <w:tabs>
          <w:tab w:leader="none" w:pos="1460" w:val="left"/>
        </w:tabs>
        <w:rPr>
          <w:sz w:val="20"/>
          <w:szCs w:val="20"/>
          <w:color w:val="auto"/>
        </w:rPr>
      </w:pPr>
      <w:r>
        <w:rPr>
          <w:rFonts w:ascii="Arial" w:cs="Arial" w:eastAsia="Arial" w:hAnsi="Arial"/>
          <w:sz w:val="18"/>
          <w:szCs w:val="18"/>
          <w:color w:val="auto"/>
        </w:rPr>
        <w:t>4.2</w:t>
        <w:tab/>
        <w:t>Articles Supplementary relating to the 8 1/2% Series B Cumulative Redeemable Preferred Shares (previously filed as Exhibit 4.1 to the Trust’s Registration Statement on Form 8-A filed on November 26, 2001 (File No. 1-07533) (the “2001 Form 8-A”) and incorporated by reference)</w:t>
      </w:r>
    </w:p>
    <w:p>
      <w:pPr>
        <w:spacing w:after="0" w:line="181" w:lineRule="exact"/>
        <w:rPr>
          <w:sz w:val="20"/>
          <w:szCs w:val="20"/>
          <w:color w:val="auto"/>
        </w:rPr>
      </w:pPr>
    </w:p>
    <w:p>
      <w:pPr>
        <w:ind w:left="1480" w:hanging="445"/>
        <w:spacing w:after="0" w:line="277" w:lineRule="auto"/>
        <w:tabs>
          <w:tab w:leader="none" w:pos="1460" w:val="left"/>
        </w:tabs>
        <w:rPr>
          <w:sz w:val="20"/>
          <w:szCs w:val="20"/>
          <w:color w:val="auto"/>
        </w:rPr>
      </w:pPr>
      <w:r>
        <w:rPr>
          <w:rFonts w:ascii="Arial" w:cs="Arial" w:eastAsia="Arial" w:hAnsi="Arial"/>
          <w:sz w:val="18"/>
          <w:szCs w:val="18"/>
          <w:color w:val="auto"/>
        </w:rPr>
        <w:t>4.3</w:t>
        <w:tab/>
        <w:t>Specimen 8 1/2% Series B Cumulative Redeemable Preferred Share certificate (previously filed as Exhibit 4.2 to the 2001 Form 8-A and incorporated herein by reference)</w:t>
      </w:r>
    </w:p>
    <w:p>
      <w:pPr>
        <w:spacing w:after="0" w:line="170" w:lineRule="exact"/>
        <w:rPr>
          <w:sz w:val="20"/>
          <w:szCs w:val="20"/>
          <w:color w:val="auto"/>
        </w:rPr>
      </w:pPr>
    </w:p>
    <w:p>
      <w:pPr>
        <w:ind w:left="1480" w:right="300" w:hanging="445"/>
        <w:spacing w:after="0" w:line="264" w:lineRule="auto"/>
        <w:tabs>
          <w:tab w:leader="none" w:pos="1460" w:val="left"/>
        </w:tabs>
        <w:rPr>
          <w:sz w:val="20"/>
          <w:szCs w:val="20"/>
          <w:color w:val="auto"/>
        </w:rPr>
      </w:pPr>
      <w:r>
        <w:rPr>
          <w:rFonts w:ascii="Arial" w:cs="Arial" w:eastAsia="Arial" w:hAnsi="Arial"/>
          <w:sz w:val="18"/>
          <w:szCs w:val="18"/>
          <w:color w:val="auto"/>
        </w:rPr>
        <w:t>4.4</w:t>
        <w:tab/>
        <w:t>Amended and Restated Rights Agreement, dated March 11, 1999, between the Trust and American Stock Transfer &amp; Trust Company (previously filed as Exhibit 1 to the Trust’s Registration Statement on Form 8-A/A filed on March 11, 1999 (File No. 1-07533) and incorporated herein by reference)</w:t>
      </w:r>
    </w:p>
    <w:p>
      <w:pPr>
        <w:spacing w:after="0" w:line="181" w:lineRule="exact"/>
        <w:rPr>
          <w:sz w:val="20"/>
          <w:szCs w:val="20"/>
          <w:color w:val="auto"/>
        </w:rPr>
      </w:pPr>
    </w:p>
    <w:p>
      <w:pPr>
        <w:ind w:left="1480" w:right="120" w:hanging="445"/>
        <w:spacing w:after="0" w:line="308" w:lineRule="auto"/>
        <w:tabs>
          <w:tab w:leader="none" w:pos="14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First Amendment to Amended and Restated Rights Agreement, dated as of November __, 2003, between the Trust and American Stock Transfer &amp; Trust Company (previously filed as Exhibit 4.5 to the 2003 Form 10-K and incorporated herein by reference)</w:t>
      </w:r>
    </w:p>
    <w:p>
      <w:pPr>
        <w:spacing w:after="0" w:line="147" w:lineRule="exact"/>
        <w:rPr>
          <w:sz w:val="20"/>
          <w:szCs w:val="20"/>
          <w:color w:val="auto"/>
        </w:rPr>
      </w:pPr>
    </w:p>
    <w:p>
      <w:pPr>
        <w:ind w:left="1480" w:right="60" w:hanging="445"/>
        <w:spacing w:after="0" w:line="259" w:lineRule="auto"/>
        <w:tabs>
          <w:tab w:leader="none" w:pos="1460" w:val="left"/>
        </w:tabs>
        <w:rPr>
          <w:sz w:val="20"/>
          <w:szCs w:val="20"/>
          <w:color w:val="auto"/>
        </w:rPr>
      </w:pPr>
      <w:r>
        <w:rPr>
          <w:rFonts w:ascii="Arial" w:cs="Arial" w:eastAsia="Arial" w:hAnsi="Arial"/>
          <w:sz w:val="18"/>
          <w:szCs w:val="18"/>
          <w:color w:val="auto"/>
        </w:rPr>
        <w:t>4.6</w:t>
        <w:tab/>
        <w:t>Indenture dated December 13, 1993 related to the Trust’s 7.48% Debentures due August 15, 2026; 6 5/8% Notes due 2005; 6.82% Medium Term Notes due August 1, 2027; and 6.99% Medium Term Notes due March 10, 2006 (previously filed as Exhibit 4(a) to the Trust’s Registration Statement on Form S-3 (File No. 33-51029), and amended on Form S-3 (File No. 33-63687), filed on December 13, 1993 is incorporated herein by reference)</w:t>
      </w:r>
    </w:p>
    <w:p>
      <w:pPr>
        <w:spacing w:after="0" w:line="187" w:lineRule="exact"/>
        <w:rPr>
          <w:sz w:val="20"/>
          <w:szCs w:val="20"/>
          <w:color w:val="auto"/>
        </w:rPr>
      </w:pPr>
    </w:p>
    <w:p>
      <w:pPr>
        <w:jc w:val="both"/>
        <w:ind w:left="1480" w:right="100" w:hanging="445"/>
        <w:spacing w:after="0" w:line="264" w:lineRule="auto"/>
        <w:tabs>
          <w:tab w:leader="none" w:pos="1460" w:val="left"/>
        </w:tabs>
        <w:rPr>
          <w:sz w:val="20"/>
          <w:szCs w:val="20"/>
          <w:color w:val="auto"/>
        </w:rPr>
      </w:pPr>
      <w:r>
        <w:rPr>
          <w:rFonts w:ascii="Arial" w:cs="Arial" w:eastAsia="Arial" w:hAnsi="Arial"/>
          <w:sz w:val="18"/>
          <w:szCs w:val="18"/>
          <w:color w:val="auto"/>
        </w:rPr>
        <w:t>4.7</w:t>
        <w:tab/>
        <w:t>Indenture dated September 1, 1998 related to the Trust’s 8.75% Notes due December 1, 2009 and Trust’s 6 1/8% Notes Due November 15, 2007 and the Trust’s 4.50% Notes due 2011 (previously filed as Exhibit 4(a) to the Trust’s Registration Statement on Form S-3 (File No. 333-63619) filed on September 17, 1998 is incorporated herein by reference)</w:t>
      </w:r>
    </w:p>
    <w:p>
      <w:pPr>
        <w:spacing w:after="0" w:line="181" w:lineRule="exact"/>
        <w:rPr>
          <w:sz w:val="20"/>
          <w:szCs w:val="20"/>
          <w:color w:val="auto"/>
        </w:rPr>
      </w:pPr>
    </w:p>
    <w:p>
      <w:pPr>
        <w:ind w:left="1480" w:right="260" w:hanging="445"/>
        <w:spacing w:after="0" w:line="277" w:lineRule="auto"/>
        <w:tabs>
          <w:tab w:leader="none" w:pos="1460" w:val="left"/>
        </w:tabs>
        <w:rPr>
          <w:sz w:val="20"/>
          <w:szCs w:val="20"/>
          <w:color w:val="auto"/>
        </w:rPr>
      </w:pPr>
      <w:r>
        <w:rPr>
          <w:rFonts w:ascii="Arial" w:cs="Arial" w:eastAsia="Arial" w:hAnsi="Arial"/>
          <w:sz w:val="18"/>
          <w:szCs w:val="18"/>
          <w:color w:val="auto"/>
        </w:rPr>
        <w:t>4.8</w:t>
        <w:tab/>
        <w:t>Pursuant to Regulation S-K Item 601(b)(4)(iii), the Trust by this filing agrees, upon request, to furnish to the Securities and Exchange Commission a copy of other instruments defining the rights of holders of long-term debt of the Trust</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31.1  Rule 13a-14(a)/15d-14(a) Certifications of Chief Executive Officer and Chief Financial Officer (filed herewith).</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32.1  Section 1350 Certifications of Chief Executive Office and Chief Financial Officer (filed herewith).</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 Reports on Form 8-K</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A Form 8-K, dated March 10, 2004 was filed on March 11, 2004 in response to Item 5.</w:t>
      </w: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A Form 8-K, dated January 21, 2004 was filed on January 26, 2004 in response to Item 7.</w:t>
      </w:r>
    </w:p>
    <w:p>
      <w:pPr>
        <w:spacing w:after="0" w:line="20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C. WOOD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-60325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Donald C. Wood</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Chief Executive Officer and Trustee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E. FINGER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-60325</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Larry E. Finger</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1820" w:hanging="78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820" w:hanging="786"/>
        <w:spacing w:after="0"/>
        <w:tabs>
          <w:tab w:leader="none" w:pos="1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Rule 13a-14(a)/15d-14(a) Certifications of Chief Executive Officer and Chief Financial Officer (filed herewith).</w:t>
      </w:r>
    </w:p>
    <w:p>
      <w:pPr>
        <w:spacing w:after="0" w:line="248" w:lineRule="exact"/>
        <w:rPr>
          <w:rFonts w:ascii="Arial" w:cs="Arial" w:eastAsia="Arial" w:hAnsi="Arial"/>
          <w:sz w:val="16"/>
          <w:szCs w:val="16"/>
          <w:color w:val="auto"/>
        </w:rPr>
      </w:pPr>
    </w:p>
    <w:p>
      <w:pPr>
        <w:ind w:left="1820" w:hanging="786"/>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1350 Certifications of Chief Executive Office and Chief Financial Officer (filed herewith).</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1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225" w:lineRule="exact"/>
        <w:rPr>
          <w:sz w:val="20"/>
          <w:szCs w:val="20"/>
          <w:color w:val="auto"/>
        </w:rPr>
      </w:pPr>
    </w:p>
    <w:p>
      <w:pPr>
        <w:ind w:left="620" w:hanging="274"/>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225" w:lineRule="exact"/>
        <w:rPr>
          <w:rFonts w:ascii="Arial" w:cs="Arial" w:eastAsia="Arial" w:hAnsi="Arial"/>
          <w:sz w:val="18"/>
          <w:szCs w:val="18"/>
          <w:color w:val="auto"/>
        </w:rPr>
      </w:pPr>
    </w:p>
    <w:p>
      <w:pPr>
        <w:jc w:val="both"/>
        <w:ind w:left="620" w:right="340" w:hanging="274"/>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right="300" w:hanging="274"/>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20" w:hanging="274"/>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13a-15(e)4 and 15d-15(e)) for the registrant and have:</w:t>
      </w:r>
    </w:p>
    <w:p>
      <w:pPr>
        <w:spacing w:after="0" w:line="170" w:lineRule="exact"/>
        <w:rPr>
          <w:rFonts w:ascii="Arial" w:cs="Arial" w:eastAsia="Arial" w:hAnsi="Arial"/>
          <w:sz w:val="18"/>
          <w:szCs w:val="18"/>
          <w:color w:val="auto"/>
        </w:rPr>
      </w:pPr>
    </w:p>
    <w:p>
      <w:pPr>
        <w:jc w:val="both"/>
        <w:ind w:left="840" w:right="400" w:hanging="265"/>
        <w:spacing w:after="0" w:line="264"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40" w:right="900" w:hanging="265"/>
        <w:spacing w:after="0" w:line="342" w:lineRule="auto"/>
        <w:tabs>
          <w:tab w:leader="none" w:pos="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40" w:right="140" w:hanging="265"/>
        <w:spacing w:after="0" w:line="342" w:lineRule="auto"/>
        <w:tabs>
          <w:tab w:leader="none" w:pos="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20" w:right="220" w:hanging="274"/>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6" w:lineRule="exact"/>
        <w:rPr>
          <w:rFonts w:ascii="Arial" w:cs="Arial" w:eastAsia="Arial" w:hAnsi="Arial"/>
          <w:sz w:val="17"/>
          <w:szCs w:val="17"/>
          <w:color w:val="auto"/>
        </w:rPr>
      </w:pPr>
    </w:p>
    <w:p>
      <w:pPr>
        <w:ind w:left="840" w:right="320" w:hanging="265"/>
        <w:spacing w:after="0" w:line="308" w:lineRule="auto"/>
        <w:tabs>
          <w:tab w:leader="none" w:pos="8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2" w:name="page43"/>
    <w:bookmarkEnd w:id="42"/>
    <w:p>
      <w:pPr>
        <w:ind w:left="265" w:hanging="265"/>
        <w:spacing w:after="0" w:line="277"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925"/>
        <w:spacing w:after="0"/>
        <w:rPr>
          <w:sz w:val="20"/>
          <w:szCs w:val="20"/>
          <w:color w:val="auto"/>
        </w:rPr>
      </w:pPr>
      <w:r>
        <w:rPr>
          <w:rFonts w:ascii="Arial" w:cs="Arial" w:eastAsia="Arial" w:hAnsi="Arial"/>
          <w:sz w:val="18"/>
          <w:szCs w:val="18"/>
          <w:color w:val="auto"/>
        </w:rPr>
        <w:t>/s/ Donald C. Wood</w:t>
      </w:r>
    </w:p>
    <w:p>
      <w:pPr>
        <w:spacing w:after="0" w:line="23" w:lineRule="exact"/>
        <w:rPr>
          <w:sz w:val="20"/>
          <w:szCs w:val="20"/>
          <w:color w:val="auto"/>
        </w:rPr>
      </w:pPr>
    </w:p>
    <w:p>
      <w:pPr>
        <w:ind w:left="4925" w:right="2100" w:hanging="5482"/>
        <w:spacing w:after="0" w:line="341" w:lineRule="auto"/>
        <w:tabs>
          <w:tab w:leader="none" w:pos="4904" w:val="left"/>
        </w:tabs>
        <w:rPr>
          <w:sz w:val="20"/>
          <w:szCs w:val="20"/>
          <w:color w:val="auto"/>
        </w:rPr>
      </w:pPr>
      <w:r>
        <w:rPr>
          <w:rFonts w:ascii="Arial" w:cs="Arial" w:eastAsia="Arial" w:hAnsi="Arial"/>
          <w:sz w:val="18"/>
          <w:szCs w:val="18"/>
          <w:color w:val="auto"/>
        </w:rPr>
        <w:t>May 5, 2004</w:t>
      </w:r>
      <w:r>
        <w:rPr>
          <w:sz w:val="20"/>
          <w:szCs w:val="20"/>
          <w:color w:val="auto"/>
        </w:rPr>
        <w:tab/>
      </w:r>
      <w:r>
        <w:rPr>
          <w:rFonts w:ascii="Arial" w:cs="Arial" w:eastAsia="Arial" w:hAnsi="Arial"/>
          <w:sz w:val="16"/>
          <w:szCs w:val="16"/>
          <w:color w:val="auto"/>
        </w:rPr>
        <w:t>Donald C. Wood, President, Chief Executive Officer and Trustee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-331470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360680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5"/>
          </w:cols>
          <w:pgMar w:left="815" w:top="936" w:right="519" w:bottom="1440" w:gutter="0" w:footer="0" w:header="0"/>
        </w:sectPr>
      </w:pPr>
    </w:p>
    <w:bookmarkStart w:id="43" w:name="page44"/>
    <w:bookmarkEnd w:id="43"/>
    <w:p>
      <w:pPr>
        <w:jc w:val="center"/>
        <w:ind w:right="-13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225" w:lineRule="exact"/>
        <w:rPr>
          <w:sz w:val="20"/>
          <w:szCs w:val="20"/>
          <w:color w:val="auto"/>
        </w:rPr>
      </w:pPr>
    </w:p>
    <w:p>
      <w:pPr>
        <w:ind w:left="620" w:hanging="27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225" w:lineRule="exact"/>
        <w:rPr>
          <w:rFonts w:ascii="Arial" w:cs="Arial" w:eastAsia="Arial" w:hAnsi="Arial"/>
          <w:sz w:val="18"/>
          <w:szCs w:val="18"/>
          <w:color w:val="auto"/>
        </w:rPr>
      </w:pPr>
    </w:p>
    <w:p>
      <w:pPr>
        <w:jc w:val="both"/>
        <w:ind w:left="620" w:right="200" w:hanging="274"/>
        <w:spacing w:after="0" w:line="26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right="160" w:hanging="274"/>
        <w:spacing w:after="0" w:line="308"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80" w:hanging="274"/>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840" w:right="260" w:hanging="265"/>
        <w:spacing w:after="0" w:line="264"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40" w:right="760" w:hanging="265"/>
        <w:spacing w:after="0" w:line="342" w:lineRule="auto"/>
        <w:tabs>
          <w:tab w:leader="none" w:pos="8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40" w:hanging="265"/>
        <w:spacing w:after="0" w:line="342" w:lineRule="auto"/>
        <w:tabs>
          <w:tab w:leader="none" w:pos="8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20" w:right="80" w:hanging="274"/>
        <w:spacing w:after="0" w:line="308"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6" w:lineRule="exact"/>
        <w:rPr>
          <w:rFonts w:ascii="Arial" w:cs="Arial" w:eastAsia="Arial" w:hAnsi="Arial"/>
          <w:sz w:val="17"/>
          <w:szCs w:val="17"/>
          <w:color w:val="auto"/>
        </w:rPr>
      </w:pPr>
    </w:p>
    <w:p>
      <w:pPr>
        <w:ind w:left="840" w:right="180" w:hanging="265"/>
        <w:spacing w:after="0" w:line="308" w:lineRule="auto"/>
        <w:tabs>
          <w:tab w:leader="none" w:pos="8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40" w:right="140" w:hanging="265"/>
        <w:spacing w:after="0" w:line="277"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Larry E. Finger</w:t>
      </w:r>
    </w:p>
    <w:p>
      <w:pPr>
        <w:spacing w:after="0"/>
        <w:tabs>
          <w:tab w:leader="none" w:pos="5480" w:val="left"/>
        </w:tabs>
        <w:rPr>
          <w:sz w:val="20"/>
          <w:szCs w:val="20"/>
          <w:color w:val="auto"/>
        </w:rPr>
      </w:pPr>
      <w:r>
        <w:rPr>
          <w:rFonts w:ascii="Arial" w:cs="Arial" w:eastAsia="Arial" w:hAnsi="Arial"/>
          <w:sz w:val="29"/>
          <w:szCs w:val="29"/>
          <w:color w:val="auto"/>
          <w:vertAlign w:val="subscript"/>
        </w:rPr>
        <w:t>May 5, 2004</w:t>
      </w:r>
      <w:r>
        <w:rPr>
          <w:sz w:val="20"/>
          <w:szCs w:val="20"/>
          <w:color w:val="auto"/>
        </w:rPr>
        <w:tab/>
      </w:r>
      <w:r>
        <w:rPr>
          <w:rFonts w:ascii="Arial" w:cs="Arial" w:eastAsia="Arial" w:hAnsi="Arial"/>
          <w:sz w:val="16"/>
          <w:szCs w:val="16"/>
          <w:color w:val="auto"/>
        </w:rPr>
        <w:t>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80"/>
          </w:cols>
          <w:pgMar w:left="240" w:top="1337"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ending March 31, 2004, (the “Report”). The undersigned hereby certifies that:</w:t>
      </w:r>
    </w:p>
    <w:p>
      <w:pPr>
        <w:spacing w:after="0" w:line="181" w:lineRule="exact"/>
        <w:rPr>
          <w:sz w:val="20"/>
          <w:szCs w:val="20"/>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Donald C. Wood</w:t>
      </w:r>
    </w:p>
    <w:p>
      <w:pPr>
        <w:spacing w:after="0"/>
        <w:tabs>
          <w:tab w:leader="none" w:pos="5480" w:val="left"/>
        </w:tabs>
        <w:rPr>
          <w:sz w:val="20"/>
          <w:szCs w:val="20"/>
          <w:color w:val="auto"/>
        </w:rPr>
      </w:pPr>
      <w:r>
        <w:rPr>
          <w:rFonts w:ascii="Arial" w:cs="Arial" w:eastAsia="Arial" w:hAnsi="Arial"/>
          <w:sz w:val="29"/>
          <w:szCs w:val="29"/>
          <w:color w:val="auto"/>
          <w:vertAlign w:val="subscript"/>
        </w:rPr>
        <w:t>May 5, 2004</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President, Chief Executive Officer and Trustee</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ending March 31, 2004 (the “Report”). The undersigned hereby certifies that:</w:t>
      </w:r>
    </w:p>
    <w:p>
      <w:pPr>
        <w:spacing w:after="0" w:line="181" w:lineRule="exact"/>
        <w:rPr>
          <w:sz w:val="20"/>
          <w:szCs w:val="20"/>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Larry E. Finger</w:t>
      </w:r>
    </w:p>
    <w:p>
      <w:pPr>
        <w:spacing w:after="0"/>
        <w:tabs>
          <w:tab w:leader="none" w:pos="5480" w:val="left"/>
        </w:tabs>
        <w:rPr>
          <w:sz w:val="20"/>
          <w:szCs w:val="20"/>
          <w:color w:val="auto"/>
        </w:rPr>
      </w:pPr>
      <w:r>
        <w:rPr>
          <w:rFonts w:ascii="Arial" w:cs="Arial" w:eastAsia="Arial" w:hAnsi="Arial"/>
          <w:sz w:val="29"/>
          <w:szCs w:val="29"/>
          <w:color w:val="auto"/>
          <w:vertAlign w:val="subscript"/>
        </w:rPr>
        <w:t>May 5, 2004</w:t>
      </w:r>
      <w:r>
        <w:rPr>
          <w:sz w:val="20"/>
          <w:szCs w:val="20"/>
          <w:color w:val="auto"/>
        </w:rPr>
        <w:tab/>
      </w:r>
      <w:r>
        <w:rPr>
          <w:rFonts w:ascii="Arial" w:cs="Arial" w:eastAsia="Arial" w:hAnsi="Arial"/>
          <w:sz w:val="16"/>
          <w:szCs w:val="16"/>
          <w:color w:val="auto"/>
        </w:rPr>
        <w:t>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-146050</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80"/>
      </w:cols>
      <w:pgMar w:left="240" w:top="1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3"/>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upperLetter"/>
      <w:start w:val="1"/>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decimal"/>
      <w:start w:val="3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2019-12-11T17:50:41Z</dcterms:created>
  <dcterms:modified xsi:type="dcterms:W3CDTF">2019-12-11T17:50:41Z</dcterms:modified>
</cp:coreProperties>
</file>