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40"/>
        <w:spacing w:after="0"/>
        <w:rPr>
          <w:sz w:val="20"/>
          <w:szCs w:val="20"/>
          <w:color w:val="auto"/>
        </w:rPr>
      </w:pPr>
      <w:r>
        <w:rPr>
          <w:rFonts w:ascii="Arial" w:cs="Arial" w:eastAsia="Arial" w:hAnsi="Arial"/>
          <w:sz w:val="15"/>
          <w:szCs w:val="15"/>
          <w:color w:val="auto"/>
        </w:rPr>
        <w:t>Filed Pursuant to Rule 433</w:t>
      </w:r>
    </w:p>
    <w:p>
      <w:pPr>
        <w:spacing w:after="0" w:line="50" w:lineRule="exact"/>
        <w:rPr>
          <w:sz w:val="24"/>
          <w:szCs w:val="24"/>
          <w:color w:val="auto"/>
        </w:rPr>
      </w:pPr>
    </w:p>
    <w:p>
      <w:pPr>
        <w:ind w:left="9660"/>
        <w:spacing w:after="0"/>
        <w:rPr>
          <w:sz w:val="20"/>
          <w:szCs w:val="20"/>
          <w:color w:val="auto"/>
        </w:rPr>
      </w:pPr>
      <w:r>
        <w:rPr>
          <w:rFonts w:ascii="Arial" w:cs="Arial" w:eastAsia="Arial" w:hAnsi="Arial"/>
          <w:sz w:val="15"/>
          <w:szCs w:val="15"/>
          <w:color w:val="auto"/>
        </w:rPr>
        <w:t>Dated February 24, 2010</w:t>
      </w:r>
    </w:p>
    <w:p>
      <w:pPr>
        <w:spacing w:after="0" w:line="44" w:lineRule="exact"/>
        <w:rPr>
          <w:sz w:val="24"/>
          <w:szCs w:val="24"/>
          <w:color w:val="auto"/>
        </w:rPr>
      </w:pPr>
    </w:p>
    <w:p>
      <w:pPr>
        <w:ind w:left="8620"/>
        <w:spacing w:after="0"/>
        <w:rPr>
          <w:sz w:val="20"/>
          <w:szCs w:val="20"/>
          <w:color w:val="auto"/>
        </w:rPr>
      </w:pPr>
      <w:r>
        <w:rPr>
          <w:rFonts w:ascii="Arial" w:cs="Arial" w:eastAsia="Arial" w:hAnsi="Arial"/>
          <w:sz w:val="15"/>
          <w:szCs w:val="15"/>
          <w:color w:val="auto"/>
        </w:rPr>
        <w:t>Registration Statement No. 333-160009</w:t>
      </w:r>
    </w:p>
    <w:p>
      <w:pPr>
        <w:spacing w:after="0" w:line="44" w:lineRule="exact"/>
        <w:rPr>
          <w:sz w:val="24"/>
          <w:szCs w:val="24"/>
          <w:color w:val="auto"/>
        </w:rPr>
      </w:pPr>
    </w:p>
    <w:p>
      <w:pPr>
        <w:ind w:left="10640"/>
        <w:spacing w:after="0"/>
        <w:rPr>
          <w:sz w:val="20"/>
          <w:szCs w:val="20"/>
          <w:color w:val="auto"/>
        </w:rPr>
      </w:pPr>
      <w:r>
        <w:rPr>
          <w:rFonts w:ascii="Arial" w:cs="Arial" w:eastAsia="Arial" w:hAnsi="Arial"/>
          <w:sz w:val="16"/>
          <w:szCs w:val="16"/>
          <w:color w:val="auto"/>
        </w:rPr>
        <w:t>Relating to</w:t>
      </w:r>
    </w:p>
    <w:p>
      <w:pPr>
        <w:spacing w:after="0" w:line="32" w:lineRule="exact"/>
        <w:rPr>
          <w:sz w:val="24"/>
          <w:szCs w:val="24"/>
          <w:color w:val="auto"/>
        </w:rPr>
      </w:pPr>
    </w:p>
    <w:p>
      <w:pPr>
        <w:ind w:left="6920"/>
        <w:spacing w:after="0"/>
        <w:rPr>
          <w:sz w:val="20"/>
          <w:szCs w:val="20"/>
          <w:color w:val="auto"/>
        </w:rPr>
      </w:pPr>
      <w:r>
        <w:rPr>
          <w:rFonts w:ascii="Arial" w:cs="Arial" w:eastAsia="Arial" w:hAnsi="Arial"/>
          <w:sz w:val="15"/>
          <w:szCs w:val="15"/>
          <w:color w:val="auto"/>
        </w:rPr>
        <w:t>Preliminary Prospectus Supplement Dated February 24, 2010 to</w:t>
      </w:r>
    </w:p>
    <w:p>
      <w:pPr>
        <w:spacing w:after="0" w:line="44" w:lineRule="exact"/>
        <w:rPr>
          <w:sz w:val="24"/>
          <w:szCs w:val="24"/>
          <w:color w:val="auto"/>
        </w:rPr>
      </w:pPr>
    </w:p>
    <w:p>
      <w:pPr>
        <w:ind w:left="9220"/>
        <w:spacing w:after="0"/>
        <w:rPr>
          <w:sz w:val="20"/>
          <w:szCs w:val="20"/>
          <w:color w:val="auto"/>
        </w:rPr>
      </w:pPr>
      <w:r>
        <w:rPr>
          <w:rFonts w:ascii="Arial" w:cs="Arial" w:eastAsia="Arial" w:hAnsi="Arial"/>
          <w:sz w:val="15"/>
          <w:szCs w:val="15"/>
          <w:color w:val="auto"/>
        </w:rPr>
        <w:t>Prospectus dated June 16, 2009</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Federal Realty Investment Trust</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5.90% Notes due April 1, 2020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Term sheet dated February 24, 2010</w:t>
      </w:r>
    </w:p>
    <w:p>
      <w:pPr>
        <w:sectPr>
          <w:pgSz w:w="11900" w:h="16838" w:orient="portrait"/>
          <w:cols w:equalWidth="0" w:num="1">
            <w:col w:w="11420"/>
          </w:cols>
          <w:pgMar w:left="240" w:top="239" w:right="239" w:bottom="1440" w:gutter="0" w:footer="0" w:header="0"/>
        </w:sect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5"/>
          <w:szCs w:val="15"/>
          <w:color w:val="auto"/>
        </w:rPr>
        <w:t>Federal Realty Investment Trust</w:t>
      </w:r>
    </w:p>
    <w:p>
      <w:pPr>
        <w:spacing w:after="0" w:line="152"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5.90% notes due April 1, 2020</w:t>
      </w:r>
    </w:p>
    <w:p>
      <w:pPr>
        <w:spacing w:after="0" w:line="151"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$150,000,000</w:t>
      </w:r>
    </w:p>
    <w:p>
      <w:pPr>
        <w:spacing w:after="0" w:line="151"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April 1, 2020</w:t>
      </w:r>
    </w:p>
    <w:p>
      <w:pPr>
        <w:spacing w:after="0" w:line="140"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April 1 and October 1, beginning October 1, 2010</w:t>
      </w:r>
    </w:p>
    <w:p>
      <w:pPr>
        <w:spacing w:after="0" w:line="140"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3.625% UST due February 15, 2020</w:t>
      </w:r>
    </w:p>
    <w:p>
      <w:pPr>
        <w:spacing w:after="0" w:line="152"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Yield and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3.674%; 99-19</w:t>
      </w:r>
    </w:p>
    <w:p>
      <w:pPr>
        <w:spacing w:after="0" w:line="151"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4"/>
          <w:szCs w:val="24"/>
          <w:color w:val="auto"/>
        </w:rPr>
      </w:pPr>
      <w:r>
        <w:rPr>
          <w:sz w:val="24"/>
          <w:szCs w:val="24"/>
          <w:color w:val="auto"/>
        </w:rPr>
        <w:br w:type="column"/>
      </w:r>
    </w:p>
    <w:p>
      <w:pPr>
        <w:jc w:val="center"/>
        <w:ind w:right="4820"/>
        <w:spacing w:after="0"/>
        <w:rPr>
          <w:sz w:val="20"/>
          <w:szCs w:val="20"/>
          <w:color w:val="auto"/>
        </w:rPr>
      </w:pPr>
      <w:r>
        <w:rPr>
          <w:rFonts w:ascii="Arial" w:cs="Arial" w:eastAsia="Arial" w:hAnsi="Arial"/>
          <w:sz w:val="15"/>
          <w:szCs w:val="15"/>
          <w:color w:val="auto"/>
        </w:rPr>
        <w:t>5.924%</w:t>
      </w:r>
    </w:p>
    <w:p>
      <w:pPr>
        <w:spacing w:after="0" w:line="151"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4"/>
          <w:szCs w:val="24"/>
          <w:color w:val="auto"/>
        </w:rPr>
      </w:pPr>
      <w:r>
        <w:rPr>
          <w:sz w:val="24"/>
          <w:szCs w:val="24"/>
          <w:color w:val="auto"/>
        </w:rPr>
        <w:br w:type="column"/>
      </w:r>
    </w:p>
    <w:p>
      <w:pPr>
        <w:jc w:val="center"/>
        <w:ind w:right="4140"/>
        <w:spacing w:after="0"/>
        <w:rPr>
          <w:sz w:val="20"/>
          <w:szCs w:val="20"/>
          <w:color w:val="auto"/>
        </w:rPr>
      </w:pPr>
      <w:r>
        <w:rPr>
          <w:rFonts w:ascii="Arial" w:cs="Arial" w:eastAsia="Arial" w:hAnsi="Arial"/>
          <w:sz w:val="15"/>
          <w:szCs w:val="15"/>
          <w:color w:val="auto"/>
        </w:rPr>
        <w:t>+225 basis points</w:t>
      </w:r>
    </w:p>
    <w:p>
      <w:pPr>
        <w:spacing w:after="0" w:line="152"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4"/>
          <w:szCs w:val="24"/>
          <w:color w:val="auto"/>
        </w:rPr>
      </w:pPr>
      <w:r>
        <w:rPr>
          <w:sz w:val="24"/>
          <w:szCs w:val="24"/>
          <w:color w:val="auto"/>
        </w:rPr>
        <w:br w:type="column"/>
      </w:r>
    </w:p>
    <w:p>
      <w:pPr>
        <w:jc w:val="center"/>
        <w:ind w:right="4300"/>
        <w:spacing w:after="0"/>
        <w:rPr>
          <w:sz w:val="20"/>
          <w:szCs w:val="20"/>
          <w:color w:val="auto"/>
        </w:rPr>
      </w:pPr>
      <w:r>
        <w:rPr>
          <w:rFonts w:ascii="Arial" w:cs="Arial" w:eastAsia="Arial" w:hAnsi="Arial"/>
          <w:sz w:val="15"/>
          <w:szCs w:val="15"/>
          <w:color w:val="auto"/>
        </w:rPr>
        <w:t>5.90% per year</w:t>
      </w:r>
    </w:p>
    <w:p>
      <w:pPr>
        <w:spacing w:after="0" w:line="152"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99.812% of principal amount, plus accrued interest, if any, from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111"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February 24, 2010</w:t>
      </w:r>
    </w:p>
    <w:p>
      <w:pPr>
        <w:spacing w:after="0" w:line="152"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T+3; March 1, 2010</w:t>
      </w:r>
    </w:p>
    <w:p>
      <w:pPr>
        <w:spacing w:after="0" w:line="140"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4"/>
          <w:szCs w:val="24"/>
          <w:color w:val="auto"/>
        </w:rPr>
      </w:pPr>
      <w:r>
        <w:rPr>
          <w:sz w:val="24"/>
          <w:szCs w:val="24"/>
          <w:color w:val="auto"/>
        </w:rPr>
        <w:br w:type="column"/>
      </w:r>
    </w:p>
    <w:p>
      <w:pPr>
        <w:ind w:right="240"/>
        <w:spacing w:after="0" w:line="268" w:lineRule="auto"/>
        <w:rPr>
          <w:sz w:val="20"/>
          <w:szCs w:val="20"/>
          <w:color w:val="auto"/>
        </w:rPr>
      </w:pPr>
      <w:r>
        <w:rPr>
          <w:rFonts w:ascii="Arial" w:cs="Arial" w:eastAsia="Arial" w:hAnsi="Arial"/>
          <w:sz w:val="18"/>
          <w:szCs w:val="18"/>
          <w:color w:val="auto"/>
        </w:rPr>
        <w:t>Make-whole call at any time based on U.S. Treasury plus 35 basis points (0.35%)</w:t>
      </w:r>
    </w:p>
    <w:p>
      <w:pPr>
        <w:spacing w:after="0" w:line="78"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CUSIP/ISIN: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313747 AR8 / US313747AR87</w:t>
      </w:r>
    </w:p>
    <w:p>
      <w:pPr>
        <w:spacing w:after="0" w:line="140"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Banc of America Securities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24"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RBC Capital Markets Corporation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Capital One Southcoast,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Sandler O’Neill &amp; Partners, L.P.</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195" w:lineRule="exact"/>
        <w:rPr>
          <w:sz w:val="24"/>
          <w:szCs w:val="24"/>
          <w:color w:val="auto"/>
        </w:rPr>
      </w:pPr>
    </w:p>
    <w:p>
      <w:pPr>
        <w:sectPr>
          <w:pgSz w:w="11900" w:h="16838" w:orient="portrait"/>
          <w:cols w:equalWidth="0" w:num="2">
            <w:col w:w="5340" w:space="720"/>
            <w:col w:w="5360"/>
          </w:cols>
          <w:pgMar w:left="240" w:top="239" w:right="239" w:bottom="1440" w:gutter="0" w:footer="0" w:header="0"/>
          <w:type w:val="continuous"/>
        </w:sectPr>
      </w:pPr>
    </w:p>
    <w:p>
      <w:pPr>
        <w:ind w:right="60"/>
        <w:spacing w:after="0" w:line="290" w:lineRule="auto"/>
        <w:rPr>
          <w:sz w:val="20"/>
          <w:szCs w:val="20"/>
          <w:color w:val="auto"/>
        </w:rPr>
      </w:pPr>
      <w:r>
        <w:rPr>
          <w:rFonts w:ascii="Arial" w:cs="Arial" w:eastAsia="Arial" w:hAnsi="Arial"/>
          <w:sz w:val="16"/>
          <w:szCs w:val="16"/>
          <w:b w:val="1"/>
          <w:bCs w:val="1"/>
          <w:color w:val="auto"/>
        </w:rPr>
        <w:t>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preliminary prospectus supplement and the prospectus if you request it by calling Banc of America Securities LLC at 1-800-294-1322 or Wells Fargo Securities, LLC toll-free at 1-800-326-5897. 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20"/>
      </w:cols>
      <w:pgMar w:left="240" w:top="23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2019-12-10T00:15:04Z</dcterms:created>
  <dcterms:modified xsi:type="dcterms:W3CDTF">2019-12-10T00:15:04Z</dcterms:modified>
</cp:coreProperties>
</file>