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6"/>
              </w:rPr>
              <w:t>Maryland</w:t>
            </w:r>
          </w:p>
        </w:tc>
        <w:tc>
          <w:tcPr>
            <w:tcW w:w="216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6420" w:type="dxa"/>
            <w:vAlign w:val="bottom"/>
          </w:tcPr>
          <w:p>
            <w:pPr>
              <w:jc w:val="center"/>
              <w:ind w:right="2782"/>
              <w:spacing w:after="0"/>
              <w:rPr>
                <w:sz w:val="20"/>
                <w:szCs w:val="20"/>
                <w:color w:val="auto"/>
              </w:rPr>
            </w:pPr>
            <w:r>
              <w:rPr>
                <w:rFonts w:ascii="Arial" w:cs="Arial" w:eastAsia="Arial" w:hAnsi="Arial"/>
                <w:sz w:val="14"/>
                <w:szCs w:val="14"/>
                <w:b w:val="1"/>
                <w:bCs w:val="1"/>
                <w:color w:val="auto"/>
                <w:w w:val="87"/>
              </w:rPr>
              <w:t>(State of Organization)</w:t>
            </w:r>
          </w:p>
        </w:tc>
        <w:tc>
          <w:tcPr>
            <w:tcW w:w="21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3"/>
        </w:trPr>
        <w:tc>
          <w:tcPr>
            <w:tcW w:w="6420" w:type="dxa"/>
            <w:vAlign w:val="bottom"/>
          </w:tcPr>
          <w:p>
            <w:pPr>
              <w:jc w:val="center"/>
              <w:ind w:right="276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16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64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6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420" w:type="dxa"/>
            <w:vAlign w:val="bottom"/>
          </w:tcPr>
          <w:p>
            <w:pPr>
              <w:jc w:val="right"/>
              <w:ind w:right="1162"/>
              <w:spacing w:after="0"/>
              <w:rPr>
                <w:sz w:val="20"/>
                <w:szCs w:val="20"/>
                <w:color w:val="auto"/>
              </w:rPr>
            </w:pPr>
            <w:r>
              <w:rPr>
                <w:rFonts w:ascii="Arial" w:cs="Arial" w:eastAsia="Arial" w:hAnsi="Arial"/>
                <w:sz w:val="18"/>
                <w:szCs w:val="18"/>
                <w:b w:val="1"/>
                <w:bCs w:val="1"/>
                <w:color w:val="auto"/>
              </w:rPr>
              <w:t>(301) 998-8100</w:t>
            </w:r>
          </w:p>
        </w:tc>
        <w:tc>
          <w:tcPr>
            <w:tcW w:w="2160" w:type="dxa"/>
            <w:vAlign w:val="bottom"/>
          </w:tcPr>
          <w:p>
            <w:pPr>
              <w:spacing w:after="0"/>
              <w:rPr>
                <w:sz w:val="24"/>
                <w:szCs w:val="24"/>
                <w:color w:val="auto"/>
              </w:rPr>
            </w:pPr>
          </w:p>
        </w:tc>
      </w:tr>
      <w:tr>
        <w:trPr>
          <w:trHeight w:val="174"/>
        </w:trPr>
        <w:tc>
          <w:tcPr>
            <w:tcW w:w="6420" w:type="dxa"/>
            <w:vAlign w:val="bottom"/>
          </w:tcPr>
          <w:p>
            <w:pPr>
              <w:jc w:val="center"/>
              <w:ind w:left="276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2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900" w:type="dxa"/>
            <w:vAlign w:val="bottom"/>
          </w:tcPr>
          <w:p>
            <w:pPr>
              <w:ind w:left="7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28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900" w:type="dxa"/>
            <w:vAlign w:val="bottom"/>
          </w:tcPr>
          <w:p>
            <w:pPr>
              <w:ind w:left="7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12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0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400" w:type="dxa"/>
            <w:vAlign w:val="bottom"/>
          </w:tcPr>
          <w:p>
            <w:pPr>
              <w:spacing w:after="0"/>
              <w:rPr>
                <w:sz w:val="24"/>
                <w:szCs w:val="24"/>
                <w:color w:val="auto"/>
              </w:rPr>
            </w:pPr>
          </w:p>
        </w:tc>
      </w:tr>
      <w:tr>
        <w:trPr>
          <w:trHeight w:val="358"/>
        </w:trPr>
        <w:tc>
          <w:tcPr>
            <w:tcW w:w="8120" w:type="dxa"/>
            <w:vAlign w:val="bottom"/>
            <w:gridSpan w:val="2"/>
          </w:tcPr>
          <w:p>
            <w:pPr>
              <w:spacing w:after="0"/>
              <w:rPr>
                <w:sz w:val="20"/>
                <w:szCs w:val="20"/>
                <w:color w:val="auto"/>
              </w:rPr>
            </w:pPr>
            <w:r>
              <w:rPr>
                <w:rFonts w:ascii="Arial" w:cs="Arial" w:eastAsia="Arial" w:hAnsi="Arial"/>
                <w:sz w:val="18"/>
                <w:szCs w:val="18"/>
                <w:color w:val="auto"/>
              </w:rPr>
              <w:t>The number of Registrant’s common shares outstanding on October 27, 2008 was 58,974,451.</w:t>
            </w:r>
          </w:p>
        </w:tc>
        <w:tc>
          <w:tcPr>
            <w:tcW w:w="2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840" w:type="dxa"/>
            <w:vAlign w:val="bottom"/>
            <w:tcBorders>
              <w:bottom w:val="single" w:sz="8" w:color="auto"/>
            </w:tcBorders>
          </w:tcPr>
          <w:p>
            <w:pPr>
              <w:spacing w:after="0"/>
              <w:rPr>
                <w:sz w:val="10"/>
                <w:szCs w:val="10"/>
                <w:color w:val="auto"/>
              </w:rPr>
            </w:pPr>
          </w:p>
        </w:tc>
        <w:tc>
          <w:tcPr>
            <w:tcW w:w="628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40" w:type="dxa"/>
            <w:vAlign w:val="bottom"/>
            <w:gridSpan w:val="10"/>
          </w:tcPr>
          <w:p>
            <w:pPr>
              <w:jc w:val="center"/>
              <w:ind w:right="1100"/>
              <w:spacing w:after="0"/>
              <w:rPr>
                <w:sz w:val="20"/>
                <w:szCs w:val="20"/>
                <w:color w:val="auto"/>
              </w:rPr>
            </w:pPr>
            <w:r>
              <w:rPr>
                <w:rFonts w:ascii="Arial" w:cs="Arial" w:eastAsia="Arial" w:hAnsi="Arial"/>
                <w:sz w:val="18"/>
                <w:szCs w:val="18"/>
                <w:b w:val="1"/>
                <w:bCs w:val="1"/>
                <w:color w:val="auto"/>
                <w:w w:val="99"/>
              </w:rPr>
              <w:t>FEDERAL REALTY INVESTMENT TRUST</w:t>
            </w:r>
          </w:p>
        </w:tc>
        <w:tc>
          <w:tcPr>
            <w:tcW w:w="1740" w:type="dxa"/>
            <w:vAlign w:val="bottom"/>
          </w:tcPr>
          <w:p>
            <w:pPr>
              <w:spacing w:after="0"/>
              <w:rPr>
                <w:sz w:val="19"/>
                <w:szCs w:val="19"/>
                <w:color w:val="auto"/>
              </w:rPr>
            </w:pPr>
          </w:p>
        </w:tc>
      </w:tr>
      <w:tr>
        <w:trPr>
          <w:trHeight w:val="366"/>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gridSpan w:val="10"/>
          </w:tcPr>
          <w:p>
            <w:pPr>
              <w:jc w:val="center"/>
              <w:ind w:right="1100"/>
              <w:spacing w:after="0"/>
              <w:rPr>
                <w:sz w:val="20"/>
                <w:szCs w:val="20"/>
                <w:color w:val="auto"/>
              </w:rPr>
            </w:pPr>
            <w:r>
              <w:rPr>
                <w:rFonts w:ascii="Arial" w:cs="Arial" w:eastAsia="Arial" w:hAnsi="Arial"/>
                <w:sz w:val="18"/>
                <w:szCs w:val="18"/>
                <w:b w:val="1"/>
                <w:bCs w:val="1"/>
                <w:color w:val="auto"/>
                <w:w w:val="97"/>
              </w:rPr>
              <w:t>QUARTERLY REPORT ON FORM 10-Q</w:t>
            </w:r>
          </w:p>
        </w:tc>
        <w:tc>
          <w:tcPr>
            <w:tcW w:w="1740" w:type="dxa"/>
            <w:vAlign w:val="bottom"/>
          </w:tcPr>
          <w:p>
            <w:pPr>
              <w:spacing w:after="0"/>
              <w:rPr>
                <w:sz w:val="24"/>
                <w:szCs w:val="24"/>
                <w:color w:val="auto"/>
              </w:rPr>
            </w:pPr>
          </w:p>
        </w:tc>
      </w:tr>
      <w:tr>
        <w:trPr>
          <w:trHeight w:val="228"/>
        </w:trPr>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40" w:type="dxa"/>
            <w:vAlign w:val="bottom"/>
            <w:gridSpan w:val="10"/>
          </w:tcPr>
          <w:p>
            <w:pPr>
              <w:jc w:val="center"/>
              <w:ind w:right="1080"/>
              <w:spacing w:after="0"/>
              <w:rPr>
                <w:sz w:val="20"/>
                <w:szCs w:val="20"/>
                <w:color w:val="auto"/>
              </w:rPr>
            </w:pPr>
            <w:r>
              <w:rPr>
                <w:rFonts w:ascii="Arial" w:cs="Arial" w:eastAsia="Arial" w:hAnsi="Arial"/>
                <w:sz w:val="18"/>
                <w:szCs w:val="18"/>
                <w:b w:val="1"/>
                <w:bCs w:val="1"/>
                <w:color w:val="auto"/>
                <w:w w:val="95"/>
              </w:rPr>
              <w:t>QUARTER ENDED SEPTEMBER 30, 2008</w:t>
            </w:r>
          </w:p>
        </w:tc>
        <w:tc>
          <w:tcPr>
            <w:tcW w:w="174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20" w:type="dxa"/>
            <w:vAlign w:val="bottom"/>
            <w:gridSpan w:val="7"/>
          </w:tcPr>
          <w:p>
            <w:pPr>
              <w:jc w:val="center"/>
              <w:ind w:right="3000"/>
              <w:spacing w:after="0"/>
              <w:rPr>
                <w:sz w:val="20"/>
                <w:szCs w:val="20"/>
                <w:color w:val="auto"/>
              </w:rPr>
            </w:pPr>
            <w:r>
              <w:rPr>
                <w:rFonts w:ascii="Arial" w:cs="Arial" w:eastAsia="Arial" w:hAnsi="Arial"/>
                <w:sz w:val="18"/>
                <w:szCs w:val="18"/>
                <w:b w:val="1"/>
                <w:bCs w:val="1"/>
                <w:color w:val="auto"/>
                <w:w w:val="96"/>
              </w:rPr>
              <w:t>TABLE OF CONTENTS</w:t>
            </w:r>
          </w:p>
        </w:tc>
        <w:tc>
          <w:tcPr>
            <w:tcW w:w="1740" w:type="dxa"/>
            <w:vAlign w:val="bottom"/>
          </w:tcPr>
          <w:p>
            <w:pPr>
              <w:spacing w:after="0"/>
              <w:rPr>
                <w:sz w:val="24"/>
                <w:szCs w:val="24"/>
                <w:color w:val="auto"/>
              </w:rPr>
            </w:pPr>
          </w:p>
        </w:tc>
      </w:tr>
      <w:tr>
        <w:trPr>
          <w:trHeight w:val="380"/>
        </w:trPr>
        <w:tc>
          <w:tcPr>
            <w:tcW w:w="284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PART I. FINANCIAL INFORMATION</w:t>
              </w:r>
            </w:hyperlink>
          </w:p>
        </w:tc>
        <w:tc>
          <w:tcPr>
            <w:tcW w:w="6840" w:type="dxa"/>
            <w:vAlign w:val="bottom"/>
            <w:gridSpan w:val="10"/>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0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7660" w:type="dxa"/>
            <w:vAlign w:val="bottom"/>
            <w:gridSpan w:val="14"/>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924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September 30, 2008 (unaudited) and December 31, 2007</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2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for the three months ended September 30, 2008 and 2007</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7660" w:type="dxa"/>
            <w:vAlign w:val="bottom"/>
            <w:tcBorders>
              <w:top w:val="single" w:sz="8" w:color="0000EE"/>
            </w:tcBorders>
            <w:gridSpan w:val="18"/>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Statements of Operations (unaudited) for the nine months ended September 30, 2008 and 2007</w:t>
              </w:r>
            </w:hyperlink>
          </w:p>
        </w:tc>
        <w:tc>
          <w:tcPr>
            <w:tcW w:w="1580" w:type="dxa"/>
            <w:vAlign w:val="bottom"/>
            <w:gridSpan w:val="2"/>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75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 of Shareholders’ Equity (unaudited) for the nine months ended September 30, 2008</w:t>
              </w:r>
            </w:hyperlink>
          </w:p>
        </w:tc>
        <w:tc>
          <w:tcPr>
            <w:tcW w:w="40" w:type="dxa"/>
            <w:vAlign w:val="bottom"/>
            <w:tcBorders>
              <w:top w:val="single" w:sz="8" w:color="0000EE"/>
            </w:tcBorders>
          </w:tcPr>
          <w:p>
            <w:pPr>
              <w:spacing w:after="0"/>
              <w:rPr>
                <w:sz w:val="17"/>
                <w:szCs w:val="17"/>
                <w:color w:val="auto"/>
              </w:rPr>
            </w:pPr>
          </w:p>
        </w:tc>
        <w:tc>
          <w:tcPr>
            <w:tcW w:w="1620" w:type="dxa"/>
            <w:vAlign w:val="bottom"/>
            <w:gridSpan w:val="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768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Consolidated Statements of Cash Flows (unaudited) for the nine months ended September 30, 2008 and 2007</w:t>
              </w:r>
            </w:hyperlink>
          </w:p>
        </w:tc>
        <w:tc>
          <w:tcPr>
            <w:tcW w:w="1560" w:type="dxa"/>
            <w:vAlign w:val="bottom"/>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924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968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3. Quantitative and Qualitative Disclosures about Market Risk</w:t>
              </w:r>
            </w:hyperlink>
          </w:p>
        </w:tc>
        <w:tc>
          <w:tcPr>
            <w:tcW w:w="2120" w:type="dxa"/>
            <w:vAlign w:val="bottom"/>
            <w:tcBorders>
              <w:top w:val="single" w:sz="8" w:color="0000EE"/>
            </w:tcBorders>
            <w:gridSpan w:val="2"/>
          </w:tcPr>
          <w:p>
            <w:pPr>
              <w:spacing w:after="0"/>
              <w:rPr>
                <w:sz w:val="17"/>
                <w:szCs w:val="17"/>
                <w:color w:val="auto"/>
              </w:rPr>
            </w:pPr>
          </w:p>
        </w:tc>
        <w:tc>
          <w:tcPr>
            <w:tcW w:w="2800" w:type="dxa"/>
            <w:vAlign w:val="bottom"/>
            <w:gridSpan w:val="5"/>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2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Item 4. Controls and Procedures</w:t>
              </w:r>
            </w:hyperlink>
          </w:p>
        </w:tc>
        <w:tc>
          <w:tcPr>
            <w:tcW w:w="7400" w:type="dxa"/>
            <w:vAlign w:val="bottom"/>
            <w:gridSpan w:val="1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304"/>
        </w:trPr>
        <w:tc>
          <w:tcPr>
            <w:tcW w:w="252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PART II. OTHER INFORMATION</w:t>
              </w:r>
            </w:hyperlink>
          </w:p>
        </w:tc>
        <w:tc>
          <w:tcPr>
            <w:tcW w:w="7160" w:type="dxa"/>
            <w:vAlign w:val="bottom"/>
            <w:gridSpan w:val="1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18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Item 1. Legal Proceedings</w:t>
              </w:r>
            </w:hyperlink>
          </w:p>
        </w:tc>
        <w:tc>
          <w:tcPr>
            <w:tcW w:w="7820" w:type="dxa"/>
            <w:vAlign w:val="bottom"/>
            <w:gridSpan w:val="15"/>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1A. Risk Factors</w:t>
              </w:r>
            </w:hyperlink>
          </w:p>
        </w:tc>
        <w:tc>
          <w:tcPr>
            <w:tcW w:w="8120" w:type="dxa"/>
            <w:vAlign w:val="bottom"/>
            <w:gridSpan w:val="17"/>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8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Item 2. Unregistered Sales of Equity Securities and Use of Proceeds</w:t>
              </w:r>
            </w:hyperlink>
          </w:p>
        </w:tc>
        <w:tc>
          <w:tcPr>
            <w:tcW w:w="4880" w:type="dxa"/>
            <w:vAlign w:val="bottom"/>
            <w:gridSpan w:val="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28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Item 3. Defaults Upon Senior Securities</w:t>
              </w:r>
            </w:hyperlink>
          </w:p>
        </w:tc>
        <w:tc>
          <w:tcPr>
            <w:tcW w:w="6860" w:type="dxa"/>
            <w:vAlign w:val="bottom"/>
            <w:gridSpan w:val="11"/>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68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4. Submission of Matters to a Vote of Security Holders</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5. Other Information</w:t>
              </w:r>
            </w:hyperlink>
          </w:p>
        </w:tc>
        <w:tc>
          <w:tcPr>
            <w:tcW w:w="2380" w:type="dxa"/>
            <w:vAlign w:val="bottom"/>
            <w:tcBorders>
              <w:top w:val="single" w:sz="8" w:color="0000EE"/>
            </w:tcBorders>
            <w:gridSpan w:val="7"/>
          </w:tcPr>
          <w:p>
            <w:pPr>
              <w:spacing w:after="0"/>
              <w:rPr>
                <w:sz w:val="17"/>
                <w:szCs w:val="17"/>
                <w:color w:val="auto"/>
              </w:rPr>
            </w:pPr>
          </w:p>
        </w:tc>
        <w:tc>
          <w:tcPr>
            <w:tcW w:w="5460" w:type="dxa"/>
            <w:vAlign w:val="bottom"/>
            <w:gridSpan w:val="9"/>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6. Exhibits</w:t>
              </w:r>
            </w:hyperlink>
          </w:p>
        </w:tc>
        <w:tc>
          <w:tcPr>
            <w:tcW w:w="8540" w:type="dxa"/>
            <w:vAlign w:val="bottom"/>
            <w:gridSpan w:val="18"/>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304"/>
        </w:trPr>
        <w:tc>
          <w:tcPr>
            <w:tcW w:w="968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3"/>
        </w:trPr>
        <w:tc>
          <w:tcPr>
            <w:tcW w:w="1080" w:type="dxa"/>
            <w:vAlign w:val="bottom"/>
            <w:tcBorders>
              <w:top w:val="single" w:sz="8" w:color="0000EE"/>
            </w:tcBorders>
            <w:gridSpan w:val="2"/>
          </w:tcPr>
          <w:p>
            <w:pPr>
              <w:spacing w:after="0"/>
              <w:rPr>
                <w:sz w:val="24"/>
                <w:szCs w:val="24"/>
                <w:color w:val="auto"/>
              </w:rPr>
            </w:pPr>
          </w:p>
        </w:tc>
        <w:tc>
          <w:tcPr>
            <w:tcW w:w="5800" w:type="dxa"/>
            <w:vAlign w:val="bottom"/>
            <w:gridSpan w:val="14"/>
          </w:tcPr>
          <w:p>
            <w:pPr>
              <w:jc w:val="center"/>
              <w:ind w:left="3392"/>
              <w:spacing w:after="0"/>
              <w:rPr>
                <w:sz w:val="20"/>
                <w:szCs w:val="20"/>
                <w:color w:val="auto"/>
              </w:rPr>
            </w:pPr>
            <w:r>
              <w:rPr>
                <w:rFonts w:ascii="Arial" w:cs="Arial" w:eastAsia="Arial" w:hAnsi="Arial"/>
                <w:sz w:val="18"/>
                <w:szCs w:val="18"/>
                <w:color w:val="auto"/>
                <w:w w:val="79"/>
              </w:rPr>
              <w:t>2</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1—FINANCIAL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balance sheet as of December 31, 2007, which has been derived from audited financial statements, and the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and nine months ended September 30, 2008 are not necessarily indicative of the results that may be expected for the full year.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300" w:type="dxa"/>
            <w:vAlign w:val="bottom"/>
            <w:gridSpan w:val="3"/>
          </w:tcPr>
          <w:p>
            <w:pPr>
              <w:jc w:val="center"/>
              <w:ind w:right="332"/>
              <w:spacing w:after="0"/>
              <w:rPr>
                <w:sz w:val="20"/>
                <w:szCs w:val="20"/>
                <w:color w:val="auto"/>
              </w:rPr>
            </w:pPr>
            <w:r>
              <w:rPr>
                <w:rFonts w:ascii="Arial" w:cs="Arial" w:eastAsia="Arial" w:hAnsi="Arial"/>
                <w:sz w:val="14"/>
                <w:szCs w:val="14"/>
                <w:b w:val="1"/>
                <w:bCs w:val="1"/>
                <w:color w:val="auto"/>
                <w:w w:val="85"/>
              </w:rPr>
              <w:t>September 30,</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(In thousands,</w:t>
            </w: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except</w:t>
            </w:r>
          </w:p>
        </w:tc>
        <w:tc>
          <w:tcPr>
            <w:tcW w:w="920" w:type="dxa"/>
            <w:vAlign w:val="bottom"/>
            <w:gridSpan w:val="2"/>
          </w:tcPr>
          <w:p>
            <w:pPr>
              <w:jc w:val="right"/>
              <w:ind w:right="73"/>
              <w:spacing w:after="0" w:line="129" w:lineRule="exact"/>
              <w:rPr>
                <w:sz w:val="20"/>
                <w:szCs w:val="20"/>
                <w:color w:val="auto"/>
              </w:rPr>
            </w:pPr>
            <w:r>
              <w:rPr>
                <w:rFonts w:ascii="Arial" w:cs="Arial" w:eastAsia="Arial" w:hAnsi="Arial"/>
                <w:sz w:val="14"/>
                <w:szCs w:val="14"/>
                <w:b w:val="1"/>
                <w:bCs w:val="1"/>
                <w:color w:val="auto"/>
                <w:w w:val="99"/>
              </w:rPr>
              <w:t>share data)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3,547,709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3,267,081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91,169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Assets held for sale (discontinued operations)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3,638,878</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3,452,847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(822,291)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(756,703)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Net real estate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2,816,587</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2,696,144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Accounts and notes receivable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69,439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notes receivable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Investment in real estate partnership</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29,422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Debt issuance costs, net of accumulated amortization of $6,123 and $4,815, respectively</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6,474</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3,111,542</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2,989,297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Mortgages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392,199</w:t>
            </w: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373,975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Notes payable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341,912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notes and debentures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956,627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92,589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Security deposits payable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65,617</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1,962,792</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1,842,847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Commitments and contingencies (Note 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w w:val="95"/>
              </w:rPr>
              <w:t>Preferred stock, authorized 15,000,000 shares, $.01 par: 5.417% Series 1 Cumulative Convertible Preferred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106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9,997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Common shares of beneficial interest, $.01 par, 100,000,000 shares authorized, 60,466,238 and 60,133,270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issued, respectively</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1,556,608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1,541,020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(421,824)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Treasury shares at cost, 1,492,173 and 1,487,605 shares, respectively</w:t>
            </w:r>
          </w:p>
        </w:tc>
        <w:tc>
          <w:tcPr>
            <w:tcW w:w="100" w:type="dxa"/>
            <w:vAlign w:val="bottom"/>
          </w:tcPr>
          <w:p>
            <w:pPr>
              <w:spacing w:after="0"/>
              <w:rPr>
                <w:sz w:val="18"/>
                <w:szCs w:val="18"/>
                <w:color w:val="auto"/>
              </w:rPr>
            </w:pPr>
          </w:p>
        </w:tc>
        <w:tc>
          <w:tcPr>
            <w:tcW w:w="1200" w:type="dxa"/>
            <w:vAlign w:val="bottom"/>
            <w:gridSpan w:val="2"/>
          </w:tcPr>
          <w:p>
            <w:pPr>
              <w:jc w:val="right"/>
              <w:ind w:right="272"/>
              <w:spacing w:after="0"/>
              <w:rPr>
                <w:sz w:val="20"/>
                <w:szCs w:val="20"/>
                <w:color w:val="auto"/>
              </w:rPr>
            </w:pPr>
            <w:r>
              <w:rPr>
                <w:rFonts w:ascii="Arial" w:cs="Arial" w:eastAsia="Arial" w:hAnsi="Arial"/>
                <w:sz w:val="18"/>
                <w:szCs w:val="18"/>
                <w:color w:val="auto"/>
              </w:rPr>
              <w:t>(28,807)</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receivable from issuance of common shares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1,116,665</w:t>
            </w: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1,114,632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4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3,111,542</w:t>
            </w:r>
          </w:p>
        </w:tc>
        <w:tc>
          <w:tcPr>
            <w:tcW w:w="4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2,989,297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54"/>
              <w:spacing w:after="0"/>
              <w:rPr>
                <w:sz w:val="20"/>
                <w:szCs w:val="20"/>
                <w:color w:val="auto"/>
              </w:rPr>
            </w:pPr>
            <w:r>
              <w:rPr>
                <w:rFonts w:ascii="Arial" w:cs="Arial" w:eastAsia="Arial" w:hAnsi="Arial"/>
                <w:sz w:val="14"/>
                <w:szCs w:val="14"/>
                <w:b w:val="1"/>
                <w:bCs w:val="1"/>
                <w:color w:val="auto"/>
                <w:w w:val="85"/>
              </w:rPr>
              <w:t>September 30,</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gridSpan w:val="2"/>
          </w:tcPr>
          <w:p>
            <w:pPr>
              <w:jc w:val="center"/>
              <w:spacing w:after="0"/>
              <w:rPr>
                <w:sz w:val="20"/>
                <w:szCs w:val="20"/>
                <w:color w:val="auto"/>
              </w:rPr>
            </w:pPr>
            <w:r>
              <w:rPr>
                <w:rFonts w:ascii="Arial" w:cs="Arial" w:eastAsia="Arial" w:hAnsi="Arial"/>
                <w:sz w:val="12"/>
                <w:szCs w:val="12"/>
                <w:b w:val="1"/>
                <w:bCs w:val="1"/>
                <w:color w:val="auto"/>
                <w:w w:val="78"/>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7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126,654</w:t>
            </w:r>
          </w:p>
        </w:tc>
        <w:tc>
          <w:tcPr>
            <w:tcW w:w="4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117,801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4,005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131,767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27,562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14,760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5,391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55,412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(25,337)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30,597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(1,315)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1"/>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sale of real estate from discontinued operations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vMerge w:val="restart"/>
          </w:tcPr>
          <w:p>
            <w:pPr>
              <w:ind w:left="860"/>
              <w:spacing w:after="0"/>
              <w:rPr>
                <w:sz w:val="20"/>
                <w:szCs w:val="20"/>
                <w:color w:val="auto"/>
              </w:rPr>
            </w:pPr>
            <w:r>
              <w:rPr>
                <w:rFonts w:ascii="Arial" w:cs="Arial" w:eastAsia="Arial" w:hAnsi="Arial"/>
                <w:sz w:val="18"/>
                <w:szCs w:val="18"/>
                <w:color w:val="auto"/>
              </w:rPr>
              <w:t>Results from discontinued operations</w:t>
            </w: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36,966</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0.50</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0.63</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0.50</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0.63</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54"/>
              <w:spacing w:after="0"/>
              <w:rPr>
                <w:sz w:val="20"/>
                <w:szCs w:val="20"/>
                <w:color w:val="auto"/>
              </w:rPr>
            </w:pPr>
            <w:r>
              <w:rPr>
                <w:rFonts w:ascii="Arial" w:cs="Arial" w:eastAsia="Arial" w:hAnsi="Arial"/>
                <w:sz w:val="14"/>
                <w:szCs w:val="14"/>
                <w:b w:val="1"/>
                <w:bCs w:val="1"/>
                <w:color w:val="auto"/>
                <w:w w:val="85"/>
              </w:rPr>
              <w:t>September 30,</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gridSpan w:val="2"/>
          </w:tcPr>
          <w:p>
            <w:pPr>
              <w:jc w:val="center"/>
              <w:spacing w:after="0"/>
              <w:rPr>
                <w:sz w:val="20"/>
                <w:szCs w:val="20"/>
                <w:color w:val="auto"/>
              </w:rPr>
            </w:pPr>
            <w:r>
              <w:rPr>
                <w:rFonts w:ascii="Arial" w:cs="Arial" w:eastAsia="Arial" w:hAnsi="Arial"/>
                <w:sz w:val="12"/>
                <w:szCs w:val="12"/>
                <w:b w:val="1"/>
                <w:bCs w:val="1"/>
                <w:color w:val="auto"/>
                <w:w w:val="78"/>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7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371,792</w:t>
            </w:r>
          </w:p>
        </w:tc>
        <w:tc>
          <w:tcPr>
            <w:tcW w:w="4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343,821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12,015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387,149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81,011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41,331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19,451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163,519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155,622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(74,166)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91,195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(4,056)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21"/>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sale of real estate from discontinued operations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14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96,062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95,656</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1.48</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1.63</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1.47</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1.62</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gridSpan w:val="13"/>
          </w:tcPr>
          <w:p>
            <w:pPr>
              <w:ind w:left="500"/>
              <w:spacing w:after="0"/>
              <w:rPr>
                <w:sz w:val="20"/>
                <w:szCs w:val="20"/>
                <w:color w:val="auto"/>
              </w:rPr>
            </w:pPr>
            <w:r>
              <w:rPr>
                <w:rFonts w:ascii="Arial" w:cs="Arial" w:eastAsia="Arial" w:hAnsi="Arial"/>
                <w:sz w:val="14"/>
                <w:szCs w:val="14"/>
                <w:b w:val="1"/>
                <w:bCs w:val="1"/>
                <w:color w:val="auto"/>
              </w:rPr>
              <w:t>For the Nine Months Ended September 30, 2008</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2"/>
              </w:rPr>
              <w:t>Preferred Stock</w:t>
            </w:r>
          </w:p>
        </w:tc>
        <w:tc>
          <w:tcPr>
            <w:tcW w:w="80" w:type="dxa"/>
            <w:vAlign w:val="bottom"/>
          </w:tcPr>
          <w:p>
            <w:pPr>
              <w:spacing w:after="0"/>
              <w:rPr>
                <w:sz w:val="11"/>
                <w:szCs w:val="11"/>
                <w:color w:val="auto"/>
              </w:rPr>
            </w:pPr>
          </w:p>
        </w:tc>
        <w:tc>
          <w:tcPr>
            <w:tcW w:w="11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3"/>
              </w:rPr>
              <w:t>Common Shares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36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Treasury Shares</w:t>
            </w: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87"/>
              </w:rPr>
              <w:t>Additional</w:t>
            </w:r>
          </w:p>
        </w:tc>
        <w:tc>
          <w:tcPr>
            <w:tcW w:w="9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Dividends in</w:t>
            </w:r>
          </w:p>
        </w:tc>
        <w:tc>
          <w:tcPr>
            <w:tcW w:w="13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Notes Receivable</w:t>
            </w:r>
          </w:p>
        </w:tc>
        <w:tc>
          <w:tcPr>
            <w:tcW w:w="80" w:type="dxa"/>
            <w:vAlign w:val="bottom"/>
          </w:tcPr>
          <w:p>
            <w:pPr>
              <w:spacing w:after="0"/>
              <w:rPr>
                <w:sz w:val="12"/>
                <w:szCs w:val="12"/>
                <w:color w:val="auto"/>
              </w:rPr>
            </w:pPr>
          </w:p>
        </w:tc>
        <w:tc>
          <w:tcPr>
            <w:tcW w:w="88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5"/>
              </w:rPr>
              <w:t>Excess of Net</w:t>
            </w: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3"/>
              </w:rPr>
              <w:t>from the Issuance of</w:t>
            </w:r>
          </w:p>
        </w:tc>
        <w:tc>
          <w:tcPr>
            <w:tcW w:w="9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7"/>
              </w:rPr>
              <w:t>Comprehensive</w:t>
            </w:r>
          </w:p>
        </w:tc>
        <w:tc>
          <w:tcPr>
            <w:tcW w:w="4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Common Shares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Income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7"/>
          </w:tcPr>
          <w:p>
            <w:pPr>
              <w:ind w:left="60"/>
              <w:spacing w:after="0" w:line="142" w:lineRule="exact"/>
              <w:rPr>
                <w:sz w:val="20"/>
                <w:szCs w:val="20"/>
                <w:color w:val="auto"/>
              </w:rPr>
            </w:pPr>
            <w:r>
              <w:rPr>
                <w:rFonts w:ascii="Arial" w:cs="Arial" w:eastAsia="Arial" w:hAnsi="Arial"/>
                <w:sz w:val="14"/>
                <w:szCs w:val="14"/>
                <w:b w:val="1"/>
                <w:bCs w:val="1"/>
                <w:color w:val="auto"/>
                <w:w w:val="92"/>
              </w:rPr>
              <w:t>(In thousands, except share data)</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2007</w:t>
            </w: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399,896</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9,997</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60,133,270</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601</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$1,541,020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(407,376)</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(1,487,605)</w:t>
            </w:r>
          </w:p>
        </w:tc>
        <w:tc>
          <w:tcPr>
            <w:tcW w:w="6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$(28,807)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(803)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1,114,632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96,062</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Change in valuation of interest rate swaps</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Comprehensive income</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Dividends declared to common shareholders</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(110,104)</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to preferred shareholders</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(406)</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Common shares issued</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190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204,853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240"/>
              <w:spacing w:after="0"/>
              <w:rPr>
                <w:sz w:val="20"/>
                <w:szCs w:val="20"/>
                <w:color w:val="auto"/>
              </w:rPr>
            </w:pPr>
            <w:r>
              <w:rPr>
                <w:rFonts w:ascii="Arial" w:cs="Arial" w:eastAsia="Arial" w:hAnsi="Arial"/>
                <w:sz w:val="10"/>
                <w:szCs w:val="10"/>
                <w:color w:val="auto"/>
                <w:w w:val="71"/>
              </w:rPr>
              <w:t>2</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7,569</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w w:val="95"/>
              </w:rPr>
              <w:t>Shares issued under dividend reinvestment plan</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28,416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2,033</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240"/>
              <w:spacing w:after="0"/>
              <w:rPr>
                <w:sz w:val="20"/>
                <w:szCs w:val="20"/>
                <w:color w:val="auto"/>
              </w:rPr>
            </w:pPr>
            <w:r>
              <w:rPr>
                <w:rFonts w:ascii="Arial" w:cs="Arial" w:eastAsia="Arial" w:hAnsi="Arial"/>
                <w:sz w:val="10"/>
                <w:szCs w:val="10"/>
                <w:color w:val="auto"/>
                <w:w w:val="71"/>
              </w:rPr>
              <w:t>2</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6,032</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Conversion and redemption of OP units</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(60)</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shares forfeited</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(4,568)</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Loans paid</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ind w:left="900"/>
              <w:spacing w:after="0" w:line="149" w:lineRule="exact"/>
              <w:rPr>
                <w:sz w:val="20"/>
                <w:szCs w:val="20"/>
                <w:color w:val="auto"/>
              </w:rPr>
            </w:pPr>
            <w:r>
              <w:rPr>
                <w:rFonts w:ascii="Arial" w:cs="Arial" w:eastAsia="Arial" w:hAnsi="Arial"/>
                <w:sz w:val="14"/>
                <w:szCs w:val="14"/>
                <w:color w:val="auto"/>
                <w:w w:val="76"/>
              </w:rPr>
              <w:t>803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SEPTEMBER 30, 2008</w:t>
            </w: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399,896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9,997</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60,466,238</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605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1,556,608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(421,824)</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(1,492,173)</w:t>
            </w:r>
          </w:p>
        </w:tc>
        <w:tc>
          <w:tcPr>
            <w:tcW w:w="6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(28,807)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1,116,665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433"/>
              <w:spacing w:after="0" w:line="142" w:lineRule="exact"/>
              <w:rPr>
                <w:sz w:val="20"/>
                <w:szCs w:val="20"/>
                <w:color w:val="auto"/>
              </w:rPr>
            </w:pPr>
            <w:r>
              <w:rPr>
                <w:rFonts w:ascii="Arial" w:cs="Arial" w:eastAsia="Arial" w:hAnsi="Arial"/>
                <w:sz w:val="14"/>
                <w:szCs w:val="14"/>
                <w:b w:val="1"/>
                <w:bCs w:val="1"/>
                <w:color w:val="auto"/>
                <w:w w:val="76"/>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96,062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88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81,838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(Gain) loss on sale of real estate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(7,438)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880"/>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88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880"/>
              <w:spacing w:after="0"/>
              <w:rPr>
                <w:sz w:val="20"/>
                <w:szCs w:val="20"/>
                <w:color w:val="auto"/>
              </w:rPr>
            </w:pPr>
            <w:r>
              <w:rPr>
                <w:rFonts w:ascii="Arial" w:cs="Arial" w:eastAsia="Arial" w:hAnsi="Arial"/>
                <w:sz w:val="18"/>
                <w:szCs w:val="18"/>
                <w:color w:val="auto"/>
              </w:rPr>
              <w:t>Increase in accounts receivable</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prepaid expenses and other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880"/>
              <w:spacing w:after="0"/>
              <w:rPr>
                <w:sz w:val="20"/>
                <w:szCs w:val="20"/>
                <w:color w:val="auto"/>
              </w:rPr>
            </w:pPr>
            <w:r>
              <w:rPr>
                <w:rFonts w:ascii="Arial" w:cs="Arial" w:eastAsia="Arial" w:hAnsi="Arial"/>
                <w:sz w:val="18"/>
                <w:szCs w:val="18"/>
                <w:color w:val="auto"/>
              </w:rPr>
              <w:t>(Decrease) increase in accounts payable and accrued expenses</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security deposits and 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00" w:type="dxa"/>
            <w:vAlign w:val="bottom"/>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174,504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158,734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Acquisition of real estate</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(99,580)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(49,573)</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expenditures—development and redevelopment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(75,624)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(91,410)</w:t>
            </w: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Capital expenditures—other</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(22,606)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(14,487)</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real estate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Investment in real estate partnership</w:t>
            </w:r>
          </w:p>
        </w:tc>
        <w:tc>
          <w:tcPr>
            <w:tcW w:w="100" w:type="dxa"/>
            <w:vAlign w:val="bottom"/>
          </w:tcPr>
          <w:p>
            <w:pPr>
              <w:spacing w:after="0"/>
              <w:rPr>
                <w:sz w:val="18"/>
                <w:szCs w:val="18"/>
                <w:color w:val="auto"/>
              </w:rPr>
            </w:pPr>
          </w:p>
        </w:tc>
        <w:tc>
          <w:tcPr>
            <w:tcW w:w="10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(20,418)</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 from real estate partnership in excess of earnings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Leasing costs</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(7,524)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repayment of mortgage and other notes receivable,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00" w:type="dxa"/>
            <w:vAlign w:val="bottom"/>
            <w:vMerge w:val="restart"/>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w w:val="88"/>
              </w:rPr>
              <w:t>(167,207)</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(130,063)</w:t>
            </w:r>
          </w:p>
        </w:tc>
        <w:tc>
          <w:tcPr>
            <w:tcW w:w="0" w:type="dxa"/>
            <w:vAlign w:val="bottom"/>
          </w:tcPr>
          <w:p>
            <w:pPr>
              <w:spacing w:after="0"/>
              <w:rPr>
                <w:sz w:val="1"/>
                <w:szCs w:val="1"/>
                <w:color w:val="auto"/>
              </w:rPr>
            </w:pPr>
          </w:p>
        </w:tc>
      </w:tr>
      <w:tr>
        <w:trPr>
          <w:trHeight w:val="218"/>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Net borrowings under revolving credit facility, net of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senior debentures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(20,800)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Repayment of mortgages, capital leases and notes payable</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(15,294)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(5,639)</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Extension fee on term loan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Issuance of common shares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 to common and preferred shareholders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8"/>
              </w:rPr>
              <w:t>(107,963)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(96,785)</w:t>
            </w: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Distributions to minority interests</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7"/>
        </w:trPr>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(8,997)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(29,885)</w:t>
            </w:r>
          </w:p>
        </w:tc>
        <w:tc>
          <w:tcPr>
            <w:tcW w:w="0" w:type="dxa"/>
            <w:vAlign w:val="bottom"/>
          </w:tcPr>
          <w:p>
            <w:pPr>
              <w:spacing w:after="0"/>
              <w:rPr>
                <w:sz w:val="1"/>
                <w:szCs w:val="1"/>
                <w:color w:val="auto"/>
              </w:rPr>
            </w:pPr>
          </w:p>
        </w:tc>
      </w:tr>
      <w:tr>
        <w:trPr>
          <w:trHeight w:val="20"/>
        </w:trPr>
        <w:tc>
          <w:tcPr>
            <w:tcW w:w="9500" w:type="dxa"/>
            <w:vAlign w:val="bottom"/>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8"/>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48,991</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Federal Realty Investment Trust (the “Trust”) is an equity real estate investment trust specializing in the ownership, management, development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September 30, 2008, we owned or had a majority interest in community and neighborhood shopping centers and mixed-use properties which are operated as 84 predominantly retail real estate projects.</w:t>
      </w:r>
    </w:p>
    <w:p>
      <w:pPr>
        <w:spacing w:after="0" w:line="98"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REIT taxable income to its shareholders each year and meets certain other conditions is not taxed on that portion of its taxable income which is distributed to its shareholders. Therefore, federal income taxes on our REIT taxable income have been and are generally expected to be immaterial. We are obligated to pay state taxes, generally consisting of franchise or gross receipts taxes in certain states. Such state taxes also have not been material.</w:t>
      </w:r>
    </w:p>
    <w:p>
      <w:pPr>
        <w:spacing w:after="0" w:line="11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The sales of condominiums at Santana Row, which occurred between August 2005 and August 2006, and the sales of Bath Shopping Center, Key Road Plaza and Riverside Plaza in 2007 were conducted through a TRS. Other than these sales, our TRS activities have not been material.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The equity interests of other investors are reflected as minority interests. All significant intercompany transactions and balances are eliminated in consolidation. We account for our interests in joint ventures, which we do not control or manage, using the equity method of accounting. Certain amounts in the 2007 consolidated financial statements have been reclassified to conform to current period presentation.</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90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600"/>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82"/>
              </w:rPr>
              <w:t>thousands)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Total interest costs incurred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72"/>
              <w:spacing w:after="0"/>
              <w:rPr>
                <w:sz w:val="20"/>
                <w:szCs w:val="20"/>
                <w:color w:val="auto"/>
              </w:rPr>
            </w:pPr>
            <w:r>
              <w:rPr>
                <w:rFonts w:ascii="Arial" w:cs="Arial" w:eastAsia="Arial" w:hAnsi="Arial"/>
                <w:sz w:val="18"/>
                <w:szCs w:val="18"/>
                <w:color w:val="auto"/>
              </w:rPr>
              <w:t>78,274</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(4,108)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Interest expense related to discontinued operations</w:t>
            </w:r>
          </w:p>
        </w:tc>
        <w:tc>
          <w:tcPr>
            <w:tcW w:w="1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74,166</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80" w:type="dxa"/>
            <w:vAlign w:val="bottom"/>
            <w:vMerge w:val="restart"/>
          </w:tcPr>
          <w:p>
            <w:pPr>
              <w:ind w:left="440"/>
              <w:spacing w:after="0"/>
              <w:rPr>
                <w:sz w:val="20"/>
                <w:szCs w:val="20"/>
                <w:color w:val="auto"/>
              </w:rPr>
            </w:pPr>
            <w:r>
              <w:rPr>
                <w:rFonts w:ascii="Arial" w:cs="Arial" w:eastAsia="Arial" w:hAnsi="Arial"/>
                <w:sz w:val="18"/>
                <w:szCs w:val="18"/>
                <w:color w:val="auto"/>
              </w:rPr>
              <w:t>Cash paid for interest, net of amounts capitalized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72"/>
              <w:spacing w:after="0"/>
              <w:rPr>
                <w:sz w:val="20"/>
                <w:szCs w:val="20"/>
                <w:color w:val="auto"/>
              </w:rPr>
            </w:pPr>
            <w:r>
              <w:rPr>
                <w:rFonts w:ascii="Arial" w:cs="Arial" w:eastAsia="Arial" w:hAnsi="Arial"/>
                <w:sz w:val="18"/>
                <w:szCs w:val="18"/>
                <w:color w:val="auto"/>
              </w:rPr>
              <w:t>71,464</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444</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80" w:type="dxa"/>
            <w:vAlign w:val="bottom"/>
            <w:vMerge w:val="restart"/>
          </w:tcPr>
          <w:p>
            <w:pPr>
              <w:spacing w:after="0"/>
              <w:rPr>
                <w:sz w:val="20"/>
                <w:szCs w:val="20"/>
                <w:color w:val="auto"/>
              </w:rPr>
            </w:pPr>
            <w:r>
              <w:rPr>
                <w:rFonts w:ascii="Arial" w:cs="Arial" w:eastAsia="Arial" w:hAnsi="Arial"/>
                <w:sz w:val="18"/>
                <w:szCs w:val="18"/>
                <w:color w:val="auto"/>
              </w:rPr>
              <w:t>NON-CASH FINANCING AND INVESTING TRANSACTIONS: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valuation of 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86</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Mortgage loans assumed with acquisition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72"/>
              <w:spacing w:after="0"/>
              <w:rPr>
                <w:sz w:val="20"/>
                <w:szCs w:val="20"/>
                <w:color w:val="auto"/>
              </w:rPr>
            </w:pPr>
            <w:r>
              <w:rPr>
                <w:rFonts w:ascii="Arial" w:cs="Arial" w:eastAsia="Arial" w:hAnsi="Arial"/>
                <w:sz w:val="18"/>
                <w:szCs w:val="18"/>
                <w:color w:val="auto"/>
              </w:rPr>
              <w:t>32,465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79,987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Extinguishment of capital lease obligation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11,545</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Note payable issued with acquisition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72"/>
              <w:spacing w:after="0"/>
              <w:rPr>
                <w:sz w:val="20"/>
                <w:szCs w:val="20"/>
                <w:color w:val="auto"/>
              </w:rPr>
            </w:pPr>
            <w:r>
              <w:rPr>
                <w:rFonts w:ascii="Arial" w:cs="Arial" w:eastAsia="Arial" w:hAnsi="Arial"/>
                <w:sz w:val="18"/>
                <w:szCs w:val="18"/>
                <w:color w:val="auto"/>
              </w:rPr>
              <w:t>2,221</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shares issued with acquisition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Preferred shares issued with acquisition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DownREIT operating partnership units issued with acquisition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September 2006, the FASB issued SFAS No. 157, “Fair Value Measurements” (“SFAS No. 157”).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adopted the recognition and disclosure provisions of SFAS No. 157 for financial assets and financial liabilities and for nonfinancial assets and nonfinancial liabilities that are re-measured at least annually effective January 1, 2008; the adoption did not have a material impact on our financial position, results of operations or cash flows. In accordance with FSP SFAS No. 157-2, “Effective Date of FASB Statement No. 157”, we are required to adopt the provisions of SFAS No. 157 for all other nonfinancial assets and nonfinancial liabilities effective January 1, 2009 and do not expect the adoption to have a material impact on our financial position, results of operations or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SFAS No. 157 establishes a hierarchy for inputs used in measuring fair value as follows:</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Inputs – quoted prices in active markets for identical assets or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Inputs – observable inputs other than quoted prices in active markets for identical assets and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Inputs – unobservable inputs</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 Our derivative instruments, as further discussed in Note D, are measured using Level 2 inputs.</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This standard permits entities to choose to measure many financial instruments and certain other items at fair value and is effective for the first fiscal year beginning after November 15, 2007. We did not make this fair value election when we adopted SFAS No. 159 effective January 1, 2008, and, therefore, it did not have an impact on our financial position, results of operations, or cash flows.</w:t>
      </w:r>
    </w:p>
    <w:p>
      <w:pPr>
        <w:spacing w:after="0" w:line="1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FASB Statement No. 133” (“SFAS No. 161”). SFAS No. 161 requires enhanced disclosures about an entity’s derivative instruments and hedging activities and is effective for fiscal years beginning after November 15, 2008. We do not expect the adoption of SFAS No. 161 to have a material impact on our consolidated financial statements.</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2008, the FASB issued FSP EITF No. 03-6-1, “Determining Whether Instruments Granted in Share-Based Payment Transactions Are Participating Securities” (“FSP EITF No. 03-6-1”). Under the FSP, unvested share-based payment awards that contain non-forfeitable rights to receive dividends (whether paid or unpaid) are participating securities, and should be included in computation of EPS pursuant to the two-class method. The FSP is effective for fiscal years beginning after December 15, 2008. We are currently assessing the impact, if any, the adoption of FSP EITF No. 03-6-1 will have on our consolidated financial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B—REAL ESTATE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significant acquisitions we made during the nine months ended September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380" w:type="dxa"/>
            <w:vAlign w:val="bottom"/>
          </w:tcPr>
          <w:p>
            <w:pPr>
              <w:spacing w:after="0"/>
              <w:rPr>
                <w:sz w:val="14"/>
                <w:szCs w:val="14"/>
                <w:color w:val="auto"/>
              </w:rPr>
            </w:pPr>
          </w:p>
        </w:tc>
        <w:tc>
          <w:tcPr>
            <w:tcW w:w="258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Property</w:t>
            </w:r>
          </w:p>
        </w:tc>
        <w:tc>
          <w:tcPr>
            <w:tcW w:w="380" w:type="dxa"/>
            <w:vAlign w:val="bottom"/>
          </w:tcPr>
          <w:p>
            <w:pPr>
              <w:spacing w:after="0"/>
              <w:rPr>
                <w:sz w:val="14"/>
                <w:szCs w:val="14"/>
                <w:color w:val="auto"/>
              </w:rPr>
            </w:pPr>
          </w:p>
        </w:tc>
        <w:tc>
          <w:tcPr>
            <w:tcW w:w="24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City, State</w:t>
            </w:r>
          </w:p>
        </w:tc>
        <w:tc>
          <w:tcPr>
            <w:tcW w:w="3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Leasable Area</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square feet)</w:t>
            </w:r>
          </w:p>
        </w:tc>
        <w:tc>
          <w:tcPr>
            <w:tcW w:w="380" w:type="dxa"/>
            <w:vAlign w:val="bottom"/>
          </w:tcPr>
          <w:p>
            <w:pPr>
              <w:spacing w:after="0"/>
              <w:rPr>
                <w:sz w:val="12"/>
                <w:szCs w:val="12"/>
                <w:color w:val="auto"/>
              </w:rPr>
            </w:pPr>
          </w:p>
        </w:tc>
        <w:tc>
          <w:tcPr>
            <w:tcW w:w="8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30, 2008</w:t>
            </w:r>
          </w:p>
        </w:tc>
        <w:tc>
          <w:tcPr>
            <w:tcW w:w="2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Del Mar Village</w:t>
            </w:r>
          </w:p>
        </w:tc>
        <w:tc>
          <w:tcPr>
            <w:tcW w:w="2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Boca Raton, FL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154,000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41.7(1)(2)</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July 11, 2008</w:t>
            </w:r>
          </w:p>
        </w:tc>
        <w:tc>
          <w:tcPr>
            <w:tcW w:w="2960" w:type="dxa"/>
            <w:vAlign w:val="bottom"/>
            <w:gridSpan w:val="2"/>
          </w:tcPr>
          <w:p>
            <w:pPr>
              <w:ind w:left="380"/>
              <w:spacing w:after="0"/>
              <w:rPr>
                <w:sz w:val="20"/>
                <w:szCs w:val="20"/>
                <w:color w:val="auto"/>
              </w:rPr>
            </w:pPr>
            <w:r>
              <w:rPr>
                <w:rFonts w:ascii="Arial" w:cs="Arial" w:eastAsia="Arial" w:hAnsi="Arial"/>
                <w:sz w:val="18"/>
                <w:szCs w:val="18"/>
                <w:color w:val="auto"/>
              </w:rPr>
              <w:t>7015 &amp; 7045 Beracasa Way</w:t>
            </w:r>
          </w:p>
        </w:tc>
        <w:tc>
          <w:tcPr>
            <w:tcW w:w="2780" w:type="dxa"/>
            <w:vAlign w:val="bottom"/>
            <w:gridSpan w:val="2"/>
          </w:tcPr>
          <w:p>
            <w:pPr>
              <w:ind w:left="380"/>
              <w:spacing w:after="0"/>
              <w:rPr>
                <w:sz w:val="20"/>
                <w:szCs w:val="20"/>
                <w:color w:val="auto"/>
              </w:rPr>
            </w:pPr>
            <w:r>
              <w:rPr>
                <w:rFonts w:ascii="Arial" w:cs="Arial" w:eastAsia="Arial" w:hAnsi="Arial"/>
                <w:sz w:val="18"/>
                <w:szCs w:val="18"/>
                <w:color w:val="auto"/>
              </w:rPr>
              <w:t>Boca Raton, FL</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16, 2008</w:t>
            </w:r>
          </w:p>
        </w:tc>
        <w:tc>
          <w:tcPr>
            <w:tcW w:w="2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Chelsea Commons Phase II</w:t>
            </w:r>
          </w:p>
        </w:tc>
        <w:tc>
          <w:tcPr>
            <w:tcW w:w="2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Chelsea, MA</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September 4, 2008</w:t>
            </w:r>
          </w:p>
        </w:tc>
        <w:tc>
          <w:tcPr>
            <w:tcW w:w="2960" w:type="dxa"/>
            <w:vAlign w:val="bottom"/>
            <w:gridSpan w:val="2"/>
          </w:tcPr>
          <w:p>
            <w:pPr>
              <w:ind w:left="380"/>
              <w:spacing w:after="0"/>
              <w:rPr>
                <w:sz w:val="20"/>
                <w:szCs w:val="20"/>
                <w:color w:val="auto"/>
              </w:rPr>
            </w:pPr>
            <w:r>
              <w:rPr>
                <w:rFonts w:ascii="Arial" w:cs="Arial" w:eastAsia="Arial" w:hAnsi="Arial"/>
                <w:sz w:val="18"/>
                <w:szCs w:val="18"/>
                <w:color w:val="auto"/>
              </w:rPr>
              <w:t>Courtyard Shops</w:t>
            </w:r>
          </w:p>
        </w:tc>
        <w:tc>
          <w:tcPr>
            <w:tcW w:w="2780" w:type="dxa"/>
            <w:vAlign w:val="bottom"/>
            <w:gridSpan w:val="2"/>
          </w:tcPr>
          <w:p>
            <w:pPr>
              <w:ind w:left="380"/>
              <w:spacing w:after="0"/>
              <w:rPr>
                <w:sz w:val="20"/>
                <w:szCs w:val="20"/>
                <w:color w:val="auto"/>
              </w:rPr>
            </w:pPr>
            <w:r>
              <w:rPr>
                <w:rFonts w:ascii="Arial" w:cs="Arial" w:eastAsia="Arial" w:hAnsi="Arial"/>
                <w:sz w:val="18"/>
                <w:szCs w:val="18"/>
                <w:color w:val="auto"/>
              </w:rPr>
              <w:t>Wellington, FL</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127,000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37.9(2)(5)</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and 30, 2008</w:t>
            </w:r>
          </w:p>
        </w:tc>
        <w:tc>
          <w:tcPr>
            <w:tcW w:w="2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Bethesda Row</w:t>
            </w:r>
          </w:p>
        </w:tc>
        <w:tc>
          <w:tcPr>
            <w:tcW w:w="2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Bethesda, MD</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7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331,000</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$1.7 million and $7.4 million of the net assets acquired were allocated to other assets for “above market leases” and liabilities for “below market leases,” respectively.</w:t>
      </w:r>
    </w:p>
    <w:p>
      <w:pPr>
        <w:ind w:left="460" w:right="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conjunction with the acquisitions of Del Mar Village, 7015 &amp; 7045 Beracasa Way, and Courtyard Shops, we entered into Reverse Section 1031 like-kind exchange agreements with a third party intermediary. The exchange agreements are for a maximum of 180 days and allow us to defer gains on sale of other properties sold within this period. Until the earlier of termination of the exchange agreements or 180 days after the respective acquisition dates, the third party intermediary is the legal owner of each property, although we control each property and retain all of the economic benefits and risks associated with the property. Each property is held in a variable interest entity for which we are the primary beneficiary. Accordingly, we consolidate the properties and their operations.</w:t>
      </w:r>
    </w:p>
    <w:p>
      <w:pPr>
        <w:spacing w:after="0" w:line="2"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part of the preliminary purchase price allocation, approximately $0.2 million of the net assets acquired were allocated to other assets for “above market leases”. This allocation will be finalized after various valuation studies are complete. The two buildings acquired are adjacent to our Del Mar Village shopping center.</w:t>
      </w:r>
    </w:p>
    <w:p>
      <w:pPr>
        <w:spacing w:after="0" w:line="1" w:lineRule="exact"/>
        <w:rPr>
          <w:rFonts w:ascii="Arial" w:cs="Arial" w:eastAsia="Arial" w:hAnsi="Arial"/>
          <w:sz w:val="18"/>
          <w:szCs w:val="18"/>
          <w:color w:val="auto"/>
        </w:rPr>
      </w:pPr>
    </w:p>
    <w:p>
      <w:pPr>
        <w:ind w:left="460" w:right="22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part of the preliminary purchase price allocation, approximately $0.2 million and $0.3 million of the net assets acquired were allocated to other assets for “above market leases” and liabilities for “below market leases,” respectively. This allocation will be finalized after various valuation studies are complete. This property includes four pad sites that are adjacent to our Chelsea Commons property.</w:t>
      </w:r>
    </w:p>
    <w:p>
      <w:pPr>
        <w:spacing w:after="0" w:line="2" w:lineRule="exact"/>
        <w:rPr>
          <w:rFonts w:ascii="Arial" w:cs="Arial" w:eastAsia="Arial" w:hAnsi="Arial"/>
          <w:sz w:val="16"/>
          <w:szCs w:val="16"/>
          <w:color w:val="auto"/>
        </w:rPr>
      </w:pPr>
    </w:p>
    <w:p>
      <w:pPr>
        <w:ind w:left="460" w:hanging="452"/>
        <w:spacing w:after="0" w:line="22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purchase price allocation is preliminary and will be finalized after various valuation studies are complete.</w:t>
      </w:r>
    </w:p>
    <w:p>
      <w:pPr>
        <w:ind w:left="460" w:right="80" w:hanging="452"/>
        <w:spacing w:after="0" w:line="274"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September 25 and 30, 2008, we completed exchange transactions whereby we sold our fee interest in four land parcels that were subject to long-term ground leases with tenants and acquired the fee interest in two land parcels under our Bethesda Row property. Prior to the transactions, the land parcels at Bethesda Row were encumbered by capital lease obligations which were extinguished as part of the transactions. The transactions were completed as 1031 tax deferred exchange transactions and involved net cash paid to us of $23.2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significant dispositions we made during the nine months ended September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280" w:type="dxa"/>
            <w:vAlign w:val="bottom"/>
          </w:tcPr>
          <w:p>
            <w:pPr>
              <w:spacing w:after="0"/>
              <w:rPr>
                <w:sz w:val="14"/>
                <w:szCs w:val="14"/>
                <w:color w:val="auto"/>
              </w:rPr>
            </w:pPr>
          </w:p>
        </w:tc>
        <w:tc>
          <w:tcPr>
            <w:tcW w:w="300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Property</w:t>
            </w:r>
          </w:p>
        </w:tc>
        <w:tc>
          <w:tcPr>
            <w:tcW w:w="280" w:type="dxa"/>
            <w:vAlign w:val="bottom"/>
          </w:tcPr>
          <w:p>
            <w:pPr>
              <w:spacing w:after="0"/>
              <w:rPr>
                <w:sz w:val="14"/>
                <w:szCs w:val="14"/>
                <w:color w:val="auto"/>
              </w:rPr>
            </w:pPr>
          </w:p>
        </w:tc>
        <w:tc>
          <w:tcPr>
            <w:tcW w:w="18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City, State</w:t>
            </w:r>
          </w:p>
        </w:tc>
        <w:tc>
          <w:tcPr>
            <w:tcW w:w="28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Leasable Area</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Sales Price</w:t>
            </w:r>
          </w:p>
        </w:tc>
        <w:tc>
          <w:tcPr>
            <w:tcW w:w="28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Gain</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(In square feet)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September 25 and 30, 2008</w:t>
            </w: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Four Land Parcels: (1)</w:t>
            </w: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38.8</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5"/>
              </w:rPr>
              <w:t>$1.0</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tcPr>
          <w:p>
            <w:pPr>
              <w:ind w:left="220"/>
              <w:spacing w:after="0"/>
              <w:rPr>
                <w:sz w:val="20"/>
                <w:szCs w:val="20"/>
                <w:color w:val="auto"/>
              </w:rPr>
            </w:pPr>
            <w:r>
              <w:rPr>
                <w:rFonts w:ascii="Arial" w:cs="Arial" w:eastAsia="Arial" w:hAnsi="Arial"/>
                <w:sz w:val="18"/>
                <w:szCs w:val="18"/>
                <w:color w:val="auto"/>
                <w:w w:val="96"/>
              </w:rPr>
              <w:t>The Shoppes at Nottingham Square</w:t>
            </w:r>
          </w:p>
        </w:tc>
        <w:tc>
          <w:tcPr>
            <w:tcW w:w="2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White Marsh, MD</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134,000</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White Marsh Other</w:t>
            </w: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White Marsh, MD</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tcPr>
          <w:p>
            <w:pPr>
              <w:ind w:left="220"/>
              <w:spacing w:after="0"/>
              <w:rPr>
                <w:sz w:val="20"/>
                <w:szCs w:val="20"/>
                <w:color w:val="auto"/>
              </w:rPr>
            </w:pPr>
            <w:r>
              <w:rPr>
                <w:rFonts w:ascii="Arial" w:cs="Arial" w:eastAsia="Arial" w:hAnsi="Arial"/>
                <w:sz w:val="18"/>
                <w:szCs w:val="18"/>
                <w:color w:val="auto"/>
              </w:rPr>
              <w:t>White Marsh Other</w:t>
            </w:r>
          </w:p>
        </w:tc>
        <w:tc>
          <w:tcPr>
            <w:tcW w:w="2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White Marsh, MD</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Dartmouth</w:t>
            </w: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North Dartmouth, MA</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135,000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2"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September 25 and 30, 2008, we completed exchange transactions whereby we sold our fee interest in four land parcels that were subject to long-term ground leases with tenants and acquired the fee interest in two land parcels under our Bethesda Row property. Three of the land parcels we sold were in White Marsh, MD, and one parcel was in North Dartmouth, MA. The transactions were completed as 1031 tax deferred exchange transactions and involved net cash paid to us of $23.2 million.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land parcel was subject to a ground lease covering 50,000 square feet of office space not included in our gross leasable area.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revenues from all properties included in discontinued operations were $0.7 million and $6.4 million for the three months ended September 30, 2008 and 2007, respectively, and $2.3 million and $21.3 million for the nine months ended September 30, 2008 and 2007, respectively.</w:t>
      </w:r>
    </w:p>
    <w:p>
      <w:pPr>
        <w:spacing w:after="0" w:line="8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 September 2008, we applied for a refund of taxes paid to the state of California related to our TRS activities, primarily the condominium units sold in 2005 and 2006 at Santana Row. The refund related to the condominium units of $1.1 million is included in “gain on sale of real estate from discontinued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C—REAL ESTATE PARTNERSHIP</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a joint venture arrangement (“the Partnership”) with affiliates of a discretionary fund created and advised by ING Clarion Partners (“Clarion”). We own 30% of the equity in the Partnership, and Clarion owns 70%. We are the manager of the Partnership and its properties, earning fees for acquisitions, dispositions, management, leasing, and financing. We also have the opportunity to receive performance-based earnings through our Partnership interest. We account for our interest in the Partnership using the equity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00" w:type="dxa"/>
            <w:vAlign w:val="bottom"/>
            <w:gridSpan w:val="6"/>
          </w:tcPr>
          <w:p>
            <w:pPr>
              <w:jc w:val="right"/>
              <w:ind w:right="112"/>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right"/>
              <w:ind w:right="3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2008</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4"/>
          </w:tcPr>
          <w:p>
            <w:pPr>
              <w:jc w:val="center"/>
              <w:ind w:right="178"/>
              <w:spacing w:after="0" w:line="142" w:lineRule="exact"/>
              <w:rPr>
                <w:sz w:val="20"/>
                <w:szCs w:val="20"/>
                <w:color w:val="auto"/>
              </w:rPr>
            </w:pPr>
            <w:r>
              <w:rPr>
                <w:rFonts w:ascii="Arial" w:cs="Arial" w:eastAsia="Arial" w:hAnsi="Arial"/>
                <w:sz w:val="14"/>
                <w:szCs w:val="14"/>
                <w:b w:val="1"/>
                <w:bCs w:val="1"/>
                <w:color w:val="auto"/>
                <w:w w:val="71"/>
              </w:rPr>
              <w:t>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Revenue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4,787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52"/>
              <w:spacing w:after="0"/>
              <w:rPr>
                <w:sz w:val="20"/>
                <w:szCs w:val="20"/>
                <w:color w:val="auto"/>
              </w:rPr>
            </w:pPr>
            <w:r>
              <w:rPr>
                <w:rFonts w:ascii="Arial" w:cs="Arial" w:eastAsia="Arial" w:hAnsi="Arial"/>
                <w:sz w:val="18"/>
                <w:szCs w:val="18"/>
                <w:color w:val="auto"/>
                <w:w w:val="97"/>
              </w:rPr>
              <w:t>4,935</w:t>
            </w:r>
          </w:p>
        </w:tc>
        <w:tc>
          <w:tcPr>
            <w:tcW w:w="20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14,273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52"/>
              <w:spacing w:after="0"/>
              <w:rPr>
                <w:sz w:val="20"/>
                <w:szCs w:val="20"/>
                <w:color w:val="auto"/>
              </w:rPr>
            </w:pPr>
            <w:r>
              <w:rPr>
                <w:rFonts w:ascii="Arial" w:cs="Arial" w:eastAsia="Arial" w:hAnsi="Arial"/>
                <w:sz w:val="18"/>
                <w:szCs w:val="18"/>
                <w:color w:val="auto"/>
                <w:w w:val="97"/>
              </w:rPr>
              <w:t>1,190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7"/>
              </w:rPr>
              <w:t>1,163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52"/>
              <w:spacing w:after="0"/>
              <w:rPr>
                <w:sz w:val="20"/>
                <w:szCs w:val="20"/>
                <w:color w:val="auto"/>
              </w:rPr>
            </w:pPr>
            <w:r>
              <w:rPr>
                <w:rFonts w:ascii="Arial" w:cs="Arial" w:eastAsia="Arial" w:hAnsi="Arial"/>
                <w:sz w:val="18"/>
                <w:szCs w:val="18"/>
                <w:color w:val="auto"/>
                <w:w w:val="97"/>
              </w:rPr>
              <w:t>1,137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3,404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7"/>
              </w:rPr>
              <w:t>3,490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10,721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60" w:type="dxa"/>
            <w:vAlign w:val="bottom"/>
            <w:gridSpan w:val="2"/>
            <w:vMerge w:val="continue"/>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1,218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52"/>
              <w:spacing w:after="0"/>
              <w:rPr>
                <w:sz w:val="20"/>
                <w:szCs w:val="20"/>
                <w:color w:val="auto"/>
              </w:rPr>
            </w:pPr>
            <w:r>
              <w:rPr>
                <w:rFonts w:ascii="Arial" w:cs="Arial" w:eastAsia="Arial" w:hAnsi="Arial"/>
                <w:sz w:val="18"/>
                <w:szCs w:val="18"/>
                <w:color w:val="auto"/>
                <w:w w:val="97"/>
              </w:rPr>
              <w:t>1,445</w:t>
            </w:r>
          </w:p>
        </w:tc>
        <w:tc>
          <w:tcPr>
            <w:tcW w:w="20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3,552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473</w:t>
            </w:r>
          </w:p>
        </w:tc>
        <w:tc>
          <w:tcPr>
            <w:tcW w:w="2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2"/>
              </w:rPr>
              <w:t>thousands)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Real estate, net</w:t>
            </w:r>
          </w:p>
        </w:tc>
        <w:tc>
          <w:tcPr>
            <w:tcW w:w="336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188,671</w:t>
            </w: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191,747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Other assets</w:t>
            </w:r>
          </w:p>
        </w:tc>
        <w:tc>
          <w:tcPr>
            <w:tcW w:w="3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7,398</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3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198,443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60" w:type="dxa"/>
            <w:vAlign w:val="bottom"/>
            <w:vMerge w:val="continue"/>
          </w:tcPr>
          <w:p>
            <w:pPr>
              <w:spacing w:after="0"/>
              <w:rPr>
                <w:sz w:val="18"/>
                <w:szCs w:val="18"/>
                <w:color w:val="auto"/>
              </w:rPr>
            </w:pPr>
          </w:p>
        </w:tc>
        <w:tc>
          <w:tcPr>
            <w:tcW w:w="336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81,410</w:t>
            </w: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81,540</w:t>
            </w:r>
          </w:p>
        </w:tc>
        <w:tc>
          <w:tcPr>
            <w:tcW w:w="0" w:type="dxa"/>
            <w:vAlign w:val="bottom"/>
          </w:tcPr>
          <w:p>
            <w:pPr>
              <w:spacing w:after="0"/>
              <w:rPr>
                <w:sz w:val="1"/>
                <w:szCs w:val="1"/>
                <w:color w:val="auto"/>
              </w:rPr>
            </w:pPr>
          </w:p>
        </w:tc>
      </w:tr>
      <w:tr>
        <w:trPr>
          <w:trHeight w:val="21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7,511</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Partners’ capital</w:t>
            </w:r>
          </w:p>
        </w:tc>
        <w:tc>
          <w:tcPr>
            <w:tcW w:w="3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109,522</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33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198,443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vMerge w:val="continue"/>
          </w:tcPr>
          <w:p>
            <w:pPr>
              <w:spacing w:after="0"/>
              <w:rPr>
                <w:sz w:val="18"/>
                <w:szCs w:val="18"/>
                <w:color w:val="auto"/>
              </w:rPr>
            </w:pPr>
          </w:p>
        </w:tc>
        <w:tc>
          <w:tcPr>
            <w:tcW w:w="336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24,423</w:t>
            </w: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24,462</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33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D—DEBT</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under SFAS No. 133, “Accounting for Derivative Instruments and Hedging Activities” and do not enter into derivative instruments for speculative purposes.</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On February 21, 2008, we entered into two interest rate swap agreements to fix the variable portion of our $200 million term note through November 6, 2008. The first swap fixed the variable rate at 2.725% on a notional amount of $100 million and the second swap fixed the variable rate at 2.852% on a notional amount of $100 million for a combined fixed rate of 2.789%. Both swaps were designated and qualified as cash flow hedges and are recorded at fair value.</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assess effectiveness of our cash flow hedges both at inception and on an ongoing basis. The effective portion of changes in fair value of our cash flow hedges is recorded in other comprehensive income, and the ineffective portion of changes in the fair value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cash flow hedges is recognized in earnings in the period affected. Hedge ineffectiveness did not have an impact on earnings for the nine months ended September 30, 2008. The fair value of these swaps at September 30, 2008 is an asset of $86,000 which is included in prepaid expenses and other assets on the balance sheet and accumulated other comprehensive income in the statement of shareholders’ equity. The fair value of the interest rate swap agreements are based upon the estimated amounts we would receive or pay to terminate the contracts at the reporting date and are determined using interest rate market pricing models and observable inputs. Amounts reported in accumulated other comprehensive income will be reclassified to interest expense as interest payments are made on the variable rate debt through the termination date of November 6, 2008.</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three and nine months ended September 30, 2008, the maximum amount of borrowings outstanding under our $300 million revolving credit facility was $142.0 million. The weighted average amount of borrowings outstanding was $91.4 million and $36.9 million for the three and nine months ended September 30, 2008, respectively. Our revolving credit facility had a weighted average interest rate, before amortization of debt fees, of 3.01% and 3.02% for the three and nine months ended September 30, 2008, respectively.</w:t>
      </w:r>
    </w:p>
    <w:p>
      <w:pPr>
        <w:spacing w:after="0" w:line="14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Our credit facility and certain notes require us to comply with various financial covenants, including the maintenance of minimum shareholder’s equity and debt coverage ratios and a maximum ratio of debt to net worth. As of September 30, 2008, we were in compliance with all loan covenants.</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July 1, 2008, we paid off the $9.6 million mortgage loan on Leesburg Plaza which had an original maturity date of October 1, 2008. This loan was repaid with funds borrowed on our $300 million revolving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On July 15, 2008, we exercised a one-year extension for our $200 million term note and extended the maturity date to November 6, 2009.</w:t>
      </w:r>
    </w:p>
    <w:p>
      <w:pPr>
        <w:spacing w:after="0" w:line="171"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On August 15, 2008, one of the holders redeemed $20.8 million of the outstanding $50.0 million balance of our 7.48% debentures. The notice period for additional redemptions has expired. These debentures were repaid with funds borrowed on our $300 million revolving credit facility.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acquisition of Courtyard Shops and two land parcels at Bethesda Row, we assumed three mortgage notes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Stated Annual</w:t>
            </w:r>
          </w:p>
        </w:tc>
      </w:tr>
      <w:tr>
        <w:trPr>
          <w:trHeight w:val="16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Fair Value (1)</w:t>
            </w: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Maturity Date</w:t>
            </w:r>
          </w:p>
        </w:tc>
        <w:tc>
          <w:tcPr>
            <w:tcW w:w="3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Interest Rate</w:t>
            </w:r>
          </w:p>
        </w:tc>
      </w:tr>
      <w:tr>
        <w:trPr>
          <w:trHeight w:val="142"/>
        </w:trPr>
        <w:tc>
          <w:tcPr>
            <w:tcW w:w="540" w:type="dxa"/>
            <w:vAlign w:val="bottom"/>
            <w:tcBorders>
              <w:top w:val="single" w:sz="8" w:color="auto"/>
            </w:tcBorders>
          </w:tcPr>
          <w:p>
            <w:pPr>
              <w:spacing w:after="0"/>
              <w:rPr>
                <w:sz w:val="12"/>
                <w:szCs w:val="12"/>
                <w:color w:val="auto"/>
              </w:rPr>
            </w:pPr>
          </w:p>
        </w:tc>
        <w:tc>
          <w:tcPr>
            <w:tcW w:w="4360" w:type="dxa"/>
            <w:vAlign w:val="bottom"/>
          </w:tcPr>
          <w:p>
            <w:pPr>
              <w:spacing w:after="0"/>
              <w:rPr>
                <w:sz w:val="12"/>
                <w:szCs w:val="12"/>
                <w:color w:val="auto"/>
              </w:rPr>
            </w:pPr>
          </w:p>
        </w:tc>
        <w:tc>
          <w:tcPr>
            <w:tcW w:w="80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Courtyard Shops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July 1, 2012</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Bethesda Row</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20.0</w:t>
            </w:r>
          </w:p>
        </w:tc>
        <w:tc>
          <w:tcPr>
            <w:tcW w:w="1200" w:type="dxa"/>
            <w:vAlign w:val="bottom"/>
          </w:tcPr>
          <w:p>
            <w:pPr>
              <w:spacing w:after="0"/>
              <w:rPr>
                <w:sz w:val="20"/>
                <w:szCs w:val="20"/>
                <w:color w:val="auto"/>
              </w:rPr>
            </w:pPr>
            <w:r>
              <w:rPr>
                <w:rFonts w:ascii="Arial" w:cs="Arial" w:eastAsia="Arial" w:hAnsi="Arial"/>
                <w:sz w:val="18"/>
                <w:szCs w:val="18"/>
                <w:color w:val="auto"/>
                <w:w w:val="91"/>
              </w:rPr>
              <w:t>January 1, 2013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Bethesda Row</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w w:val="86"/>
              </w:rPr>
              <w:t>February 1, 2013</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face amount of the mortgage notes is $32.2 million. However, in accordance with GAAP, these mortgage notes were recorded at their aggregate fair value of $32.5 million.</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September 25 and 30, 2008, we acquired the fee interest in two land parcels under our Bethesda Row property. Prior to the transactions, we had capital lease obligations totaling $11.5 million on the two land parcels which were extinguished as part of the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E—COMMITMENTS AND CONTINGENCIES</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Warranty reserves for condominium units sold at Santana Row were established to cover potential costs for materials, labor and other items associated with warranty-type claims that may arise within the ten-year statutorily mandated latent construction defect warranty period. In 2006 and 2007, we increased our warranty reserves by $2.5 million and $5.1 million, respectively, net of taxes, related to defective work done by third party contractors while upgrades were made to certain units being prepared for sale. During 2007 and 2008, we evaluated the potentially affected units, and as of September 30, 2008, have substantially completed the inspections and repairs. The extent of the damages encountered in the units and the resulting costs to repair varied considerably amongst the units. As a result, we have adjusted the warranty reserve to reflect the actual costs expected to be incurred related to these issues which is approximately $2.4 million, net of $1.5 million of taxes. The change in the reserve of $5.2 million is included in “gain on sale of real estate from discontinued operations” in the three and nine months ended September 30, 2008.</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amounts do not reflect any amounts we may recover in the future from insurance or the contractors responsible for the defective work. Due to the inherent uncertainty related to the recovery from insurance or the contractor, we are unable to estimate an expected recovery; any recovery will be reflected in our financial statements once the amount is determinable, considered probable, and collectible.</w:t>
      </w:r>
    </w:p>
    <w:p>
      <w:pPr>
        <w:spacing w:after="0" w:line="14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0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a litigation matter filed against us in May 2003 which alleges that a one page document entitled “Final Proposal,” which included language that it was subject to approval of formal documentation, constituted a ground lease of a parcel of property located adjacent to our Santana Row property and gave the plaintiff the option to require that we acquire the property at a price determined in accordance with a formula included in the “Final Proposal.” A trial as to liability only was held in June 2006 and a jury rendered a verdict against us. A trial on the issue of damages was held in April 2008; however, the judge has not yet issued a ruling. Reports from our experts and the plaintiff’s experts show potential damages ranging from $600,000 to $24 million. Pending the judge’s ruling, we cannot make a reasonable estimate of potential damages. We intend to appeal the jury verdict; however, no appeal of the judgment can be taken until the judge issues his ruling on damages. If we are not successful in overturning the jury verdict, we will be liable for damages. Depending on the amount of damages awarded, it is possible there could be a material adverse impact on our net income in the period in which it becomes both probable that we will have to pay the damages and such damages can be reasonably estimated.</w:t>
      </w:r>
    </w:p>
    <w:p>
      <w:pPr>
        <w:spacing w:after="0" w:line="120"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We are also involved in a litigation matter relating to a shopping center in New Jersey where a former tenant has alleged that we and our management agent acted improperly by failing to disclose a condemnation action at the property that was pending when the lease was signed. A trial as to liability only was concluded in April 2007, and in May 2008, a judgment was entered that ruled in our favor on certain legal issues and against us on other legal issues. As to those matters where the court ruled against us and determined that we are liable, a trial as to damages will be held but no trial date has yet been set. Because we have not completed discovery on the issue of damages, we cannot make a reasonable estimate of potential damages at this time. In lieu of pursuing an indemnification claim against the third party management agent that negotiated the lease on our behalf, we have entered into an agreement with the management agent that provides a framework for sharing litigation costs and payment of any damages that may be awarded to the plaintiff. Depending on the amount of damages actually awarded in this matter, and subject to the arrangement in place with the third party management agent, it is possible that there may be a material adverse impact on our net income in the period in which it becomes both probable that we will have to pay the damages and such damages can be reasonably estimated.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In any event, management does not believe that either matter, individually or in the aggregate, will have a material impact on our financial position.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89"/>
              </w:rPr>
              <w:t>Nine Months Ended September 30,</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8000" w:type="dxa"/>
            <w:vAlign w:val="bottom"/>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800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Declared</w:t>
            </w:r>
          </w:p>
        </w:tc>
        <w:tc>
          <w:tcPr>
            <w:tcW w:w="2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32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Declared</w:t>
            </w:r>
          </w:p>
        </w:tc>
        <w:tc>
          <w:tcPr>
            <w:tcW w:w="5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Paid</w:t>
            </w:r>
          </w:p>
        </w:tc>
        <w:tc>
          <w:tcPr>
            <w:tcW w:w="220" w:type="dxa"/>
            <w:vAlign w:val="bottom"/>
          </w:tcPr>
          <w:p>
            <w:pPr>
              <w:spacing w:after="0"/>
              <w:rPr>
                <w:sz w:val="12"/>
                <w:szCs w:val="12"/>
                <w:color w:val="auto"/>
              </w:rPr>
            </w:pPr>
          </w:p>
        </w:tc>
      </w:tr>
      <w:tr>
        <w:trPr>
          <w:trHeight w:val="20"/>
        </w:trPr>
        <w:tc>
          <w:tcPr>
            <w:tcW w:w="80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$ 1.870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$1.830</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$ 1.760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$1.725</w:t>
            </w:r>
          </w:p>
        </w:tc>
        <w:tc>
          <w:tcPr>
            <w:tcW w:w="220" w:type="dxa"/>
            <w:vAlign w:val="bottom"/>
            <w:shd w:val="clear" w:color="auto" w:fill="CCEEFF"/>
          </w:tcPr>
          <w:p>
            <w:pPr>
              <w:spacing w:after="0"/>
              <w:rPr>
                <w:sz w:val="18"/>
                <w:szCs w:val="18"/>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5.417% Series 1 Cumulative Convertible Preferred</w:t>
            </w:r>
          </w:p>
        </w:tc>
        <w:tc>
          <w:tcPr>
            <w:tcW w:w="520" w:type="dxa"/>
            <w:vAlign w:val="bottom"/>
          </w:tcPr>
          <w:p>
            <w:pPr>
              <w:spacing w:after="0"/>
              <w:rPr>
                <w:sz w:val="20"/>
                <w:szCs w:val="20"/>
                <w:color w:val="auto"/>
              </w:rPr>
            </w:pPr>
            <w:r>
              <w:rPr>
                <w:rFonts w:ascii="Arial" w:cs="Arial" w:eastAsia="Arial" w:hAnsi="Arial"/>
                <w:sz w:val="18"/>
                <w:szCs w:val="18"/>
                <w:color w:val="auto"/>
                <w:w w:val="83"/>
              </w:rPr>
              <w:t>$ 1.016</w:t>
            </w:r>
          </w:p>
        </w:tc>
        <w:tc>
          <w:tcPr>
            <w:tcW w:w="300" w:type="dxa"/>
            <w:vAlign w:val="bottom"/>
          </w:tcPr>
          <w:p>
            <w:pPr>
              <w:spacing w:after="0"/>
              <w:rPr>
                <w:sz w:val="19"/>
                <w:szCs w:val="19"/>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$1.016</w:t>
            </w:r>
          </w:p>
        </w:tc>
        <w:tc>
          <w:tcPr>
            <w:tcW w:w="1040" w:type="dxa"/>
            <w:vAlign w:val="bottom"/>
            <w:gridSpan w:val="2"/>
          </w:tcPr>
          <w:p>
            <w:pPr>
              <w:spacing w:after="0"/>
              <w:rPr>
                <w:sz w:val="20"/>
                <w:szCs w:val="20"/>
                <w:color w:val="auto"/>
              </w:rPr>
            </w:pPr>
            <w:r>
              <w:rPr>
                <w:rFonts w:ascii="Arial" w:cs="Arial" w:eastAsia="Arial" w:hAnsi="Arial"/>
                <w:sz w:val="18"/>
                <w:szCs w:val="18"/>
                <w:color w:val="auto"/>
              </w:rPr>
              <w:t>$ 0.767(1)</w:t>
            </w:r>
          </w:p>
        </w:tc>
        <w:tc>
          <w:tcPr>
            <w:tcW w:w="720" w:type="dxa"/>
            <w:vAlign w:val="bottom"/>
            <w:gridSpan w:val="2"/>
          </w:tcPr>
          <w:p>
            <w:pPr>
              <w:spacing w:after="0"/>
              <w:rPr>
                <w:sz w:val="20"/>
                <w:szCs w:val="20"/>
                <w:color w:val="auto"/>
              </w:rPr>
            </w:pPr>
            <w:r>
              <w:rPr>
                <w:rFonts w:ascii="Arial" w:cs="Arial" w:eastAsia="Arial" w:hAnsi="Arial"/>
                <w:sz w:val="18"/>
                <w:szCs w:val="18"/>
                <w:color w:val="auto"/>
                <w:w w:val="90"/>
              </w:rPr>
              <w:t>$0.429(1)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Series 1 Preferred Shares were issued on March 8, 2007. The dividend declared on the Series 1 Preferred Shares is for the period from March 8, 2007 through and including September 30, 2007. The dividend paid is for the period March 8, 2007 through and including September 30,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G—COMPONENTS OF RENTAL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32"/>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292"/>
              <w:spacing w:after="0" w:line="142" w:lineRule="exact"/>
              <w:rPr>
                <w:sz w:val="20"/>
                <w:szCs w:val="20"/>
                <w:color w:val="auto"/>
              </w:rPr>
            </w:pPr>
            <w:r>
              <w:rPr>
                <w:rFonts w:ascii="Arial" w:cs="Arial" w:eastAsia="Arial" w:hAnsi="Arial"/>
                <w:sz w:val="14"/>
                <w:szCs w:val="14"/>
                <w:b w:val="1"/>
                <w:bCs w:val="1"/>
                <w:color w:val="auto"/>
                <w:w w:val="71"/>
              </w:rPr>
              <w:t>thousands)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Retail and commercial</w:t>
            </w:r>
          </w:p>
        </w:tc>
        <w:tc>
          <w:tcPr>
            <w:tcW w:w="4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92,294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87,332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$ 273,123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$ 256,649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3,935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Cost reimbursement</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23,838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76,085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1,125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1,571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4,186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4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126,654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6"/>
              </w:rPr>
              <w:t>117,801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$ 371,792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$ 343,821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160" w:type="dxa"/>
            <w:vAlign w:val="bottom"/>
            <w:vMerge w:val="restart"/>
          </w:tcPr>
          <w:p>
            <w:pPr>
              <w:jc w:val="right"/>
              <w:ind w:right="2092"/>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Minimum rents include $1.3 million and $1.8 million for the three months ended September 30, 2008 and 2007, respectively, and $4.2 million and $6.2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2008 and 2007, respectively, to recognize minimum rents on a straight-line basis. In addition, minimum rents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$0.6 million and $0.9 million for the three months ended September 30, 2008 and 2007, respectively, and $1.9 million and $2.2 million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2008 and 2007, respectively, to recognize income from the amortization of in-place leases in accordance with SFAS No. 141. Residential minimum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rents consist of the rental amounts for residential units at Rollingwood Apartments, the Crest at Congressional Plaza Apartments, Santana Row, and for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Arlington East (Bethesda Row). The first rental units at Arlington East were delivered and became rent paying in late May 2008. Lease-up of these rental units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continue through 2008.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gridSpan w:val="9"/>
          </w:tcPr>
          <w:p>
            <w:pPr>
              <w:jc w:val="right"/>
              <w:ind w:right="198"/>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gridSpan w:val="9"/>
          </w:tcPr>
          <w:p>
            <w:pPr>
              <w:jc w:val="right"/>
              <w:ind w:right="39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9"/>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4"/>
          </w:tcPr>
          <w:p>
            <w:pPr>
              <w:jc w:val="right"/>
              <w:ind w:right="149"/>
              <w:spacing w:after="0"/>
              <w:rPr>
                <w:sz w:val="20"/>
                <w:szCs w:val="20"/>
                <w:color w:val="auto"/>
              </w:rPr>
            </w:pPr>
            <w:r>
              <w:rPr>
                <w:rFonts w:ascii="Arial" w:cs="Arial" w:eastAsia="Arial" w:hAnsi="Arial"/>
                <w:sz w:val="12"/>
                <w:szCs w:val="12"/>
                <w:b w:val="1"/>
                <w:bCs w:val="1"/>
                <w:color w:val="auto"/>
                <w:w w:val="77"/>
              </w:rPr>
              <w:t>thousands)</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ind w:left="440"/>
              <w:spacing w:after="0"/>
              <w:rPr>
                <w:sz w:val="20"/>
                <w:szCs w:val="20"/>
                <w:color w:val="auto"/>
              </w:rPr>
            </w:pPr>
            <w:r>
              <w:rPr>
                <w:rFonts w:ascii="Arial" w:cs="Arial" w:eastAsia="Arial" w:hAnsi="Arial"/>
                <w:sz w:val="18"/>
                <w:szCs w:val="18"/>
                <w:color w:val="auto"/>
              </w:rPr>
              <w:t>Grants of common shares</w:t>
            </w: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3"/>
              </w:rPr>
              <w:t>$ 1,544</w:t>
            </w:r>
          </w:p>
        </w:tc>
        <w:tc>
          <w:tcPr>
            <w:tcW w:w="1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$ 4,995</w:t>
            </w:r>
          </w:p>
        </w:tc>
        <w:tc>
          <w:tcPr>
            <w:tcW w:w="3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3"/>
              </w:rPr>
              <w:t>$ 4,565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Grants of options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3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6,034</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(909)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$ 1,551</w:t>
            </w:r>
          </w:p>
        </w:tc>
        <w:tc>
          <w:tcPr>
            <w:tcW w:w="1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$ 5,125</w:t>
            </w:r>
          </w:p>
        </w:tc>
        <w:tc>
          <w:tcPr>
            <w:tcW w:w="3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3"/>
              </w:rPr>
              <w:t>$ 4,785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I—EARNINGS PER SHARE</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80" w:type="dxa"/>
            <w:vAlign w:val="bottom"/>
            <w:gridSpan w:val="2"/>
          </w:tcPr>
          <w:p>
            <w:pPr>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10"/>
          </w:tcPr>
          <w:p>
            <w:pPr>
              <w:jc w:val="right"/>
              <w:ind w:right="318"/>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gridSpan w:val="9"/>
          </w:tcPr>
          <w:p>
            <w:pPr>
              <w:jc w:val="right"/>
              <w:ind w:right="51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6"/>
          </w:tcPr>
          <w:p>
            <w:pPr>
              <w:ind w:left="2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85"/>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69"/>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40" w:type="dxa"/>
            <w:vAlign w:val="bottom"/>
            <w:gridSpan w:val="15"/>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$29,282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5"/>
          </w:tcPr>
          <w:p>
            <w:pPr>
              <w:jc w:val="right"/>
              <w:ind w:right="120"/>
              <w:spacing w:after="0"/>
              <w:rPr>
                <w:sz w:val="20"/>
                <w:szCs w:val="20"/>
                <w:color w:val="auto"/>
              </w:rPr>
            </w:pPr>
            <w:r>
              <w:rPr>
                <w:rFonts w:ascii="Arial" w:cs="Arial" w:eastAsia="Arial" w:hAnsi="Arial"/>
                <w:sz w:val="18"/>
                <w:szCs w:val="18"/>
                <w:color w:val="auto"/>
                <w:w w:val="95"/>
              </w:rPr>
              <w:t>$24,396</w:t>
            </w:r>
          </w:p>
        </w:tc>
        <w:tc>
          <w:tcPr>
            <w:tcW w:w="1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$87,139</w:t>
            </w:r>
          </w:p>
        </w:tc>
        <w:tc>
          <w:tcPr>
            <w:tcW w:w="3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$68,809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29,146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24,260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86,733</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68,502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(881)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3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for common shareholders, basic and diluted</w:t>
            </w:r>
          </w:p>
        </w:tc>
        <w:tc>
          <w:tcPr>
            <w:tcW w:w="5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gridSpan w:val="2"/>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36,966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23,379</w:t>
            </w:r>
          </w:p>
        </w:tc>
        <w:tc>
          <w:tcPr>
            <w:tcW w:w="1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95,656</w:t>
            </w:r>
          </w:p>
        </w:tc>
        <w:tc>
          <w:tcPr>
            <w:tcW w:w="3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outstanding—basic</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58,720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5"/>
          </w:tcPr>
          <w:p>
            <w:pPr>
              <w:jc w:val="right"/>
              <w:ind w:right="120"/>
              <w:spacing w:after="0"/>
              <w:rPr>
                <w:sz w:val="20"/>
                <w:szCs w:val="20"/>
                <w:color w:val="auto"/>
              </w:rPr>
            </w:pPr>
            <w:r>
              <w:rPr>
                <w:rFonts w:ascii="Arial" w:cs="Arial" w:eastAsia="Arial" w:hAnsi="Arial"/>
                <w:sz w:val="18"/>
                <w:szCs w:val="18"/>
                <w:color w:val="auto"/>
              </w:rPr>
              <w:t>56,302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58,624</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55,967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ind w:left="44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Unvested stock</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outstanding—diluted (1)</w:t>
            </w: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58,950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56,690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58,902</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(0.02)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335"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conversions of downREIT operating partnership units and Series 1 Preferred Shares are anti-dilutive for all periods presented. Accordingly, downREIT operating partnership units and Series 1 Preferred Shares have been excluded from the weighted average common shares used to compute diluted earnings per share. Certain stock options and unvested shares have also been excluded from the calculation of diluted earnings per share as they are anti-dilutive.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J—SEGMENT INFORMATION</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We operate our portfolio of properties in two geographic operating regions: East and West, which constitute our segments under Statement of Financial Accounting Standard No. 131, “Disclosures about Segments of an Enterprise and Related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operations by geographic region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Three Months Ended September 30, 2008</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w w:val="80"/>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28,679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(19,705)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8"/>
                <w:szCs w:val="18"/>
                <w:color w:val="auto"/>
              </w:rPr>
              <w:t>(7,857)</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(27,562)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(3,299)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(14,760)</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Property operating income</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70,387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19,058</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89,445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(20,431)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8"/>
                <w:szCs w:val="18"/>
                <w:color w:val="auto"/>
              </w:rPr>
              <w:t>(8,015)</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(28,642)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(25,337)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(30,517)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50,020</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11,094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(24,012)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2,127,747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86"/>
              </w:rPr>
              <w:t>899,020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84,775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3,111,542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Three Months Ended September 30, 2007</w:t>
            </w: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w w:val="80"/>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25,487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(18,033)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8"/>
                <w:szCs w:val="18"/>
                <w:color w:val="auto"/>
              </w:rPr>
              <w:t>(7,192)</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(25,225)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(12,030)</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Property operating income</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68,524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17,785</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(25,045)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(28,732)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(28,732)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10,196</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(35,676)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real estate from discontinued operations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51,505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10,196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(38,186)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23,515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vMerge w:val="restart"/>
          </w:tcPr>
          <w:p>
            <w:pPr>
              <w:jc w:val="right"/>
              <w:ind w:right="1692"/>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1"/>
          </w:tcPr>
          <w:p>
            <w:pPr>
              <w:jc w:val="right"/>
              <w:ind w:right="80"/>
              <w:spacing w:after="0"/>
              <w:rPr>
                <w:sz w:val="20"/>
                <w:szCs w:val="20"/>
                <w:color w:val="auto"/>
              </w:rPr>
            </w:pPr>
            <w:r>
              <w:rPr>
                <w:rFonts w:ascii="Arial" w:cs="Arial" w:eastAsia="Arial" w:hAnsi="Arial"/>
                <w:sz w:val="14"/>
                <w:szCs w:val="14"/>
                <w:b w:val="1"/>
                <w:bCs w:val="1"/>
                <w:color w:val="auto"/>
              </w:rPr>
              <w:t>Nine Months Ended September 30, 2008</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right"/>
              <w:ind w:right="353"/>
              <w:spacing w:after="0" w:line="142" w:lineRule="exact"/>
              <w:rPr>
                <w:sz w:val="20"/>
                <w:szCs w:val="20"/>
                <w:color w:val="auto"/>
              </w:rPr>
            </w:pPr>
            <w:r>
              <w:rPr>
                <w:rFonts w:ascii="Arial" w:cs="Arial" w:eastAsia="Arial" w:hAnsi="Arial"/>
                <w:sz w:val="14"/>
                <w:szCs w:val="14"/>
                <w:b w:val="1"/>
                <w:bCs w:val="1"/>
                <w:color w:val="auto"/>
                <w:w w:val="74"/>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288,832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82,960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(58,452)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(22,559)</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(81,011)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(8,373)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(41,331)</w:t>
            </w: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2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208,977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55,830</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(19,451)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(57,846)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(23,406)</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(81,837)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(74,166)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(74,166)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151,591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32,626</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2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151,591</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32,626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(88,155)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2,127,747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899,020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3,111,542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1"/>
          </w:tcPr>
          <w:p>
            <w:pPr>
              <w:jc w:val="right"/>
              <w:ind w:right="80"/>
              <w:spacing w:after="0"/>
              <w:rPr>
                <w:sz w:val="20"/>
                <w:szCs w:val="20"/>
                <w:color w:val="auto"/>
              </w:rPr>
            </w:pPr>
            <w:r>
              <w:rPr>
                <w:rFonts w:ascii="Arial" w:cs="Arial" w:eastAsia="Arial" w:hAnsi="Arial"/>
                <w:sz w:val="14"/>
                <w:szCs w:val="14"/>
                <w:b w:val="1"/>
                <w:bCs w:val="1"/>
                <w:color w:val="auto"/>
              </w:rPr>
              <w:t>Nine Months Ended September 30, 2007</w:t>
            </w: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right"/>
              <w:ind w:right="353"/>
              <w:spacing w:after="0" w:line="142" w:lineRule="exact"/>
              <w:rPr>
                <w:sz w:val="20"/>
                <w:szCs w:val="20"/>
                <w:color w:val="auto"/>
              </w:rPr>
            </w:pPr>
            <w:r>
              <w:rPr>
                <w:rFonts w:ascii="Arial" w:cs="Arial" w:eastAsia="Arial" w:hAnsi="Arial"/>
                <w:sz w:val="14"/>
                <w:szCs w:val="14"/>
                <w:b w:val="1"/>
                <w:bCs w:val="1"/>
                <w:color w:val="auto"/>
                <w:w w:val="74"/>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266,760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77,061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(51,977)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(21,047)</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(73,024)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(6,283)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(33,767)</w:t>
            </w: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2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53,504</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(52,178)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(22,537)</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(75,450)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(84,247)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144,797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31,077</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(102,756)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real estate from discontinued operations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144,797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31,077</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(102,505)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73,369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340" w:type="dxa"/>
            <w:vAlign w:val="bottom"/>
            <w:vMerge w:val="restart"/>
          </w:tcPr>
          <w:p>
            <w:pPr>
              <w:jc w:val="right"/>
              <w:ind w:right="1612"/>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30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2007 filed with the Securities and Exchange Commission on February 27, 2008.</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2007, before making any investments in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an equity real estate investment trust (“REIT”) specializing in the ownership, management, development and redevelopment of high quality retail and mixed-use properties located primarily in densely populated and affluent communities in strategically selected metropolitan markets in the Northeast and Mid-Atlantic regions of the United States, as well as in California. As of September 30, 2008, we owned or had a majority interest in community and neighborhood shopping centers and mixed-use properties which are operated as 84 predominantly retail real estate projects comprising approximately 18.1 million square feet. In total, the real estate projects were 95.5% leased and 94.8% occupied at September 30, 2008. A joint venture in which we own a 30% interest owned seven retail real estate projects totaling approximately 1.0 million square feet as of September 30, 2008. In total, the joint venture properties in which we own an interest were 97.6% leased at September 30,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Property Acquisitions and Dispositions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significant acquisitions we made during the nine months ended September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380" w:type="dxa"/>
            <w:vAlign w:val="bottom"/>
          </w:tcPr>
          <w:p>
            <w:pPr>
              <w:spacing w:after="0"/>
              <w:rPr>
                <w:sz w:val="14"/>
                <w:szCs w:val="14"/>
                <w:color w:val="auto"/>
              </w:rPr>
            </w:pPr>
          </w:p>
        </w:tc>
        <w:tc>
          <w:tcPr>
            <w:tcW w:w="258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Property</w:t>
            </w:r>
          </w:p>
        </w:tc>
        <w:tc>
          <w:tcPr>
            <w:tcW w:w="380" w:type="dxa"/>
            <w:vAlign w:val="bottom"/>
          </w:tcPr>
          <w:p>
            <w:pPr>
              <w:spacing w:after="0"/>
              <w:rPr>
                <w:sz w:val="14"/>
                <w:szCs w:val="14"/>
                <w:color w:val="auto"/>
              </w:rPr>
            </w:pPr>
          </w:p>
        </w:tc>
        <w:tc>
          <w:tcPr>
            <w:tcW w:w="24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City, State</w:t>
            </w:r>
          </w:p>
        </w:tc>
        <w:tc>
          <w:tcPr>
            <w:tcW w:w="3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Leasable Area</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square feet)</w:t>
            </w:r>
          </w:p>
        </w:tc>
        <w:tc>
          <w:tcPr>
            <w:tcW w:w="380" w:type="dxa"/>
            <w:vAlign w:val="bottom"/>
          </w:tcPr>
          <w:p>
            <w:pPr>
              <w:spacing w:after="0"/>
              <w:rPr>
                <w:sz w:val="12"/>
                <w:szCs w:val="12"/>
                <w:color w:val="auto"/>
              </w:rPr>
            </w:pPr>
          </w:p>
        </w:tc>
        <w:tc>
          <w:tcPr>
            <w:tcW w:w="8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30, 2008</w:t>
            </w:r>
          </w:p>
        </w:tc>
        <w:tc>
          <w:tcPr>
            <w:tcW w:w="2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Del Mar Village</w:t>
            </w:r>
          </w:p>
        </w:tc>
        <w:tc>
          <w:tcPr>
            <w:tcW w:w="2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Boca Raton, FL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154,000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41.7(1)(2)</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July 11, 2008</w:t>
            </w:r>
          </w:p>
        </w:tc>
        <w:tc>
          <w:tcPr>
            <w:tcW w:w="2960" w:type="dxa"/>
            <w:vAlign w:val="bottom"/>
            <w:gridSpan w:val="2"/>
          </w:tcPr>
          <w:p>
            <w:pPr>
              <w:ind w:left="380"/>
              <w:spacing w:after="0"/>
              <w:rPr>
                <w:sz w:val="20"/>
                <w:szCs w:val="20"/>
                <w:color w:val="auto"/>
              </w:rPr>
            </w:pPr>
            <w:r>
              <w:rPr>
                <w:rFonts w:ascii="Arial" w:cs="Arial" w:eastAsia="Arial" w:hAnsi="Arial"/>
                <w:sz w:val="18"/>
                <w:szCs w:val="18"/>
                <w:color w:val="auto"/>
              </w:rPr>
              <w:t>7015 &amp; 7045 Beracasa Way</w:t>
            </w:r>
          </w:p>
        </w:tc>
        <w:tc>
          <w:tcPr>
            <w:tcW w:w="2780" w:type="dxa"/>
            <w:vAlign w:val="bottom"/>
            <w:gridSpan w:val="2"/>
          </w:tcPr>
          <w:p>
            <w:pPr>
              <w:ind w:left="380"/>
              <w:spacing w:after="0"/>
              <w:rPr>
                <w:sz w:val="20"/>
                <w:szCs w:val="20"/>
                <w:color w:val="auto"/>
              </w:rPr>
            </w:pPr>
            <w:r>
              <w:rPr>
                <w:rFonts w:ascii="Arial" w:cs="Arial" w:eastAsia="Arial" w:hAnsi="Arial"/>
                <w:sz w:val="18"/>
                <w:szCs w:val="18"/>
                <w:color w:val="auto"/>
              </w:rPr>
              <w:t>Boca Raton, FL</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16, 2008</w:t>
            </w:r>
          </w:p>
        </w:tc>
        <w:tc>
          <w:tcPr>
            <w:tcW w:w="2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Chelsea Commons Phase II</w:t>
            </w:r>
          </w:p>
        </w:tc>
        <w:tc>
          <w:tcPr>
            <w:tcW w:w="2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Chelsea, MA</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September 4, 2008</w:t>
            </w:r>
          </w:p>
        </w:tc>
        <w:tc>
          <w:tcPr>
            <w:tcW w:w="2960" w:type="dxa"/>
            <w:vAlign w:val="bottom"/>
            <w:gridSpan w:val="2"/>
          </w:tcPr>
          <w:p>
            <w:pPr>
              <w:ind w:left="380"/>
              <w:spacing w:after="0"/>
              <w:rPr>
                <w:sz w:val="20"/>
                <w:szCs w:val="20"/>
                <w:color w:val="auto"/>
              </w:rPr>
            </w:pPr>
            <w:r>
              <w:rPr>
                <w:rFonts w:ascii="Arial" w:cs="Arial" w:eastAsia="Arial" w:hAnsi="Arial"/>
                <w:sz w:val="18"/>
                <w:szCs w:val="18"/>
                <w:color w:val="auto"/>
              </w:rPr>
              <w:t>Courtyard Shops</w:t>
            </w:r>
          </w:p>
        </w:tc>
        <w:tc>
          <w:tcPr>
            <w:tcW w:w="2780" w:type="dxa"/>
            <w:vAlign w:val="bottom"/>
            <w:gridSpan w:val="2"/>
          </w:tcPr>
          <w:p>
            <w:pPr>
              <w:ind w:left="380"/>
              <w:spacing w:after="0"/>
              <w:rPr>
                <w:sz w:val="20"/>
                <w:szCs w:val="20"/>
                <w:color w:val="auto"/>
              </w:rPr>
            </w:pPr>
            <w:r>
              <w:rPr>
                <w:rFonts w:ascii="Arial" w:cs="Arial" w:eastAsia="Arial" w:hAnsi="Arial"/>
                <w:sz w:val="18"/>
                <w:szCs w:val="18"/>
                <w:color w:val="auto"/>
              </w:rPr>
              <w:t>Wellington, FL</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127,000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37.9(2)(5)</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and 30, 2008</w:t>
            </w:r>
          </w:p>
        </w:tc>
        <w:tc>
          <w:tcPr>
            <w:tcW w:w="2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Bethesda Row</w:t>
            </w:r>
          </w:p>
        </w:tc>
        <w:tc>
          <w:tcPr>
            <w:tcW w:w="2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Bethesda, MD</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7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331,000</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$1.7 million and $7.4 million of the net assets acquired were allocated to other assets for “above market leases” and liabilities for “below market leases,” respectively.</w:t>
      </w:r>
    </w:p>
    <w:p>
      <w:pPr>
        <w:ind w:left="460" w:right="4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conjunction with the acquisitions of Del Mar Village, 7015 &amp; 7045 Beracasa Way, and Courtyard Shops, we entered into Reverse Section 1031 like-kind exchange agreements with a third party intermediary. The exchange agreements are for a maximum of 180 days and allow us to defer gains on sale of other properties sold within this period. Until the earlier of termination of the exchange agreements or 180 days after the respective acquisition dates, the third party intermediary is the legal owner of each property, although we control each property and retain all of the economic benefits and risks associated with the property. Each property is held in a variable interest entity for which we are the primary beneficiary. Accordingly, we consolidate the properties and their operations.</w:t>
      </w:r>
    </w:p>
    <w:p>
      <w:pPr>
        <w:spacing w:after="0" w:line="2"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part of the preliminary purchase price allocation, approximately $0.2 million of the net assets acquired were allocated to other assets for “above market leases”. This allocation will be finalized after various valuation studies are complete. The two buildings acquired are adjacent to our Del Mar Village shopping center.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28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part of the preliminary purchase price allocation, approximately $0.2 million and $0.3 million of the net assets acquired were allocated to other assets for “above market leases” and liabilities for “below market leases,” respectively. This allocation will be finalized after various valuation studies are complete. This property includes four pad sites that are adjacent to our Chelsea Commons property.</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price allocation is preliminary and will be finalized after various valuation studies are complete.</w:t>
      </w:r>
    </w:p>
    <w:p>
      <w:pPr>
        <w:spacing w:after="0" w:line="9" w:lineRule="exact"/>
        <w:rPr>
          <w:rFonts w:ascii="Arial" w:cs="Arial" w:eastAsia="Arial" w:hAnsi="Arial"/>
          <w:sz w:val="18"/>
          <w:szCs w:val="18"/>
          <w:color w:val="auto"/>
        </w:rPr>
      </w:pPr>
    </w:p>
    <w:p>
      <w:pPr>
        <w:ind w:left="460" w:right="80" w:hanging="452"/>
        <w:spacing w:after="0" w:line="29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September 25 and 30, 2008, we completed exchange transactions whereby we sold our fee interest in four land parcels that were subject to long-term ground leases with tenants and acquired the fee interest in two land parcels under our Bethesda Row property. Prior to the transactions, the land parcels at Bethesda Row were encumbered by capital lease obligations which were extinguished as part of the transactions. The transactions were completed as 1031 tax deferred exchange transactions and involved net cash paid to us of $23.2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significant dispositions we made during the nine months ended September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280" w:type="dxa"/>
            <w:vAlign w:val="bottom"/>
          </w:tcPr>
          <w:p>
            <w:pPr>
              <w:spacing w:after="0"/>
              <w:rPr>
                <w:sz w:val="14"/>
                <w:szCs w:val="14"/>
                <w:color w:val="auto"/>
              </w:rPr>
            </w:pPr>
          </w:p>
        </w:tc>
        <w:tc>
          <w:tcPr>
            <w:tcW w:w="310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Property</w:t>
            </w: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78"/>
              </w:rPr>
              <w:t>Gross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ind w:left="500"/>
              <w:spacing w:after="0"/>
              <w:rPr>
                <w:sz w:val="20"/>
                <w:szCs w:val="20"/>
                <w:color w:val="auto"/>
              </w:rPr>
            </w:pPr>
            <w:r>
              <w:rPr>
                <w:rFonts w:ascii="Arial" w:cs="Arial" w:eastAsia="Arial" w:hAnsi="Arial"/>
                <w:sz w:val="14"/>
                <w:szCs w:val="14"/>
                <w:b w:val="1"/>
                <w:bCs w:val="1"/>
                <w:color w:val="auto"/>
              </w:rPr>
              <w:t>City, State</w:t>
            </w:r>
          </w:p>
        </w:tc>
        <w:tc>
          <w:tcPr>
            <w:tcW w:w="30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Leasable Area</w:t>
            </w: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Sales Price</w:t>
            </w:r>
          </w:p>
        </w:tc>
        <w:tc>
          <w:tcPr>
            <w:tcW w:w="16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Gain</w:t>
            </w:r>
          </w:p>
        </w:tc>
        <w:tc>
          <w:tcPr>
            <w:tcW w:w="0" w:type="dxa"/>
            <w:vAlign w:val="bottom"/>
          </w:tcPr>
          <w:p>
            <w:pPr>
              <w:spacing w:after="0"/>
              <w:rPr>
                <w:sz w:val="1"/>
                <w:szCs w:val="1"/>
                <w:color w:val="auto"/>
              </w:rPr>
            </w:pPr>
          </w:p>
        </w:tc>
      </w:tr>
      <w:tr>
        <w:trPr>
          <w:trHeight w:val="142"/>
        </w:trPr>
        <w:tc>
          <w:tcPr>
            <w:tcW w:w="3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square feet)</w:t>
            </w:r>
          </w:p>
        </w:tc>
        <w:tc>
          <w:tcPr>
            <w:tcW w:w="50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September 25 and 30, 2008</w:t>
            </w:r>
          </w:p>
        </w:tc>
        <w:tc>
          <w:tcPr>
            <w:tcW w:w="3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Four Land Parcels: (1)</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5"/>
              </w:rPr>
              <w:t>$1.0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tcPr>
          <w:p>
            <w:pPr>
              <w:ind w:left="220"/>
              <w:spacing w:after="0"/>
              <w:rPr>
                <w:sz w:val="20"/>
                <w:szCs w:val="20"/>
                <w:color w:val="auto"/>
              </w:rPr>
            </w:pPr>
            <w:r>
              <w:rPr>
                <w:rFonts w:ascii="Arial" w:cs="Arial" w:eastAsia="Arial" w:hAnsi="Arial"/>
                <w:sz w:val="18"/>
                <w:szCs w:val="18"/>
                <w:color w:val="auto"/>
                <w:w w:val="99"/>
              </w:rPr>
              <w:t>The Shoppes at Nottingham Square</w:t>
            </w:r>
          </w:p>
        </w:tc>
        <w:tc>
          <w:tcPr>
            <w:tcW w:w="3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White Marsh, MD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134,000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White Marsh Other</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White Marsh, MD</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tcPr>
          <w:p>
            <w:pPr>
              <w:ind w:left="220"/>
              <w:spacing w:after="0"/>
              <w:rPr>
                <w:sz w:val="20"/>
                <w:szCs w:val="20"/>
                <w:color w:val="auto"/>
              </w:rPr>
            </w:pPr>
            <w:r>
              <w:rPr>
                <w:rFonts w:ascii="Arial" w:cs="Arial" w:eastAsia="Arial" w:hAnsi="Arial"/>
                <w:sz w:val="18"/>
                <w:szCs w:val="18"/>
                <w:color w:val="auto"/>
              </w:rPr>
              <w:t>White Marsh Other</w:t>
            </w:r>
          </w:p>
        </w:tc>
        <w:tc>
          <w:tcPr>
            <w:tcW w:w="3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White Marsh, MD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Dartmouth</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w w:val="92"/>
              </w:rPr>
              <w:t>North Dartmouth, MA</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2"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September 25 and 30, 2008, we completed exchange transactions whereby we sold our fee interest in four land parcels that were subject to long-term ground leases with tenants and acquired the fee interest in two land parcels under our Bethesda Row property. Three of the land parcels we sold were in White Marsh, MD, and one parcel was in North Dartmouth, MA. The transactions were completed as 1031 tax deferred exchange transactions and involved net cash paid to us of $23.2 million.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land parcel was subject to a ground lease covering 50,000 square feet of office space not included in our gross leasable area.</w:t>
      </w:r>
    </w:p>
    <w:p>
      <w:pPr>
        <w:spacing w:after="0" w:line="16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 September 2008, we applied for a refund of taxes paid to the state of California related to our TRS activities, primarily the condominium units sold in 2005 and 2006 at Santana Row. The refund related to the condominium units of $1.1 million is included in “gain on sale of real estate from discontinued operations”.</w:t>
      </w:r>
    </w:p>
    <w:p>
      <w:pPr>
        <w:spacing w:after="0" w:line="8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Warranty reserves for condominium units sold at Santana Row were established to cover potential costs for materials, labor and other items associated with warranty-type claims that may arise within the ten-year statutorily mandated latent construction defect warranty period. In 2006 and 2007, we increased our warranty reserves by $2.5 million and $5.1 million, respectively, net of taxes, related to defective work done by third party contractors while upgrades were made to certain units being prepared for sale. During 2007 and 2008, we evaluated the potentially affected units, and as of September 30, 2008, have substantially completed the inspections and repairs. The extent of the damages encountered in the units and the resulting costs to repair varied considerably amongst the units. As a result, we have adjusted the warranty reserve to reflect the actual costs expected to be incurred related to these issues which is approximately $2.4 million, net of $1.5 million of taxes. The change in the reserve of $5.2 million is included in “gain on sale of real estate from discontinued operations” in the three and nine months ended September 30, 2008.</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amounts do not reflect any amounts we may recover in the future from insurance or the contractors responsible for the defective work. Due to the inherent uncertainty related to the recovery from insurance or the contractor, we are unable to estimate an expected recovery; any recovery will be reflected in our financial statements once the amount is determinable, considered probable, and collectible.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Significant Debt, Equity and Other Transactions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February 21, 2008, we entered into two interest rate swap agreements to fix the variable portion of our $200 million term note through November 6, 2008. The first swap fixed the variable rate at 2.725% on a notional amount of $100 million and the second swap fixed the variable rate at 2.852% on a notional amount of $100 million for a combined fixed rate of 2.789%. Both swaps were designated and qualified as cash flow hedges and are recorded at fair value, which was an asset of $86,000 at September 30, 2008.</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July 1, 2008, we paid off the $9.6 million mortgage loan on Leesburg Plaza which had an original maturity date of October 1, 2008. This loan was repaid with funds borrowed on our $300 million revolving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On July 15, 2008, we exercised a one-year extension for our $200 million term note and extended the maturity date to November 6,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On August 15, 2008, one of the holders redeemed $20.8 million of the outstanding $50.0 million balance of our 7.48% debentures. The notice period for additional redemptions has expired. These debentures were repaid with funds borrowed on our $300 million revolving credit facility.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acquisition of Courtyard Shops and two land parcels at Bethesda Row, we assumed three mortgage notes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Stated Annual</w:t>
            </w:r>
          </w:p>
        </w:tc>
      </w:tr>
      <w:tr>
        <w:trPr>
          <w:trHeight w:val="16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Fair Value (1)</w:t>
            </w: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Maturity Date</w:t>
            </w:r>
          </w:p>
        </w:tc>
        <w:tc>
          <w:tcPr>
            <w:tcW w:w="3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Interest Rate</w:t>
            </w:r>
          </w:p>
        </w:tc>
      </w:tr>
      <w:tr>
        <w:trPr>
          <w:trHeight w:val="142"/>
        </w:trPr>
        <w:tc>
          <w:tcPr>
            <w:tcW w:w="540" w:type="dxa"/>
            <w:vAlign w:val="bottom"/>
            <w:tcBorders>
              <w:top w:val="single" w:sz="8" w:color="auto"/>
            </w:tcBorders>
          </w:tcPr>
          <w:p>
            <w:pPr>
              <w:spacing w:after="0"/>
              <w:rPr>
                <w:sz w:val="12"/>
                <w:szCs w:val="12"/>
                <w:color w:val="auto"/>
              </w:rPr>
            </w:pPr>
          </w:p>
        </w:tc>
        <w:tc>
          <w:tcPr>
            <w:tcW w:w="4360" w:type="dxa"/>
            <w:vAlign w:val="bottom"/>
          </w:tcPr>
          <w:p>
            <w:pPr>
              <w:spacing w:after="0"/>
              <w:rPr>
                <w:sz w:val="12"/>
                <w:szCs w:val="12"/>
                <w:color w:val="auto"/>
              </w:rPr>
            </w:pPr>
          </w:p>
        </w:tc>
        <w:tc>
          <w:tcPr>
            <w:tcW w:w="80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Courtyard Shops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July 1, 2012</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Bethesda Row</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20.0</w:t>
            </w:r>
          </w:p>
        </w:tc>
        <w:tc>
          <w:tcPr>
            <w:tcW w:w="1200" w:type="dxa"/>
            <w:vAlign w:val="bottom"/>
          </w:tcPr>
          <w:p>
            <w:pPr>
              <w:spacing w:after="0"/>
              <w:rPr>
                <w:sz w:val="20"/>
                <w:szCs w:val="20"/>
                <w:color w:val="auto"/>
              </w:rPr>
            </w:pPr>
            <w:r>
              <w:rPr>
                <w:rFonts w:ascii="Arial" w:cs="Arial" w:eastAsia="Arial" w:hAnsi="Arial"/>
                <w:sz w:val="18"/>
                <w:szCs w:val="18"/>
                <w:color w:val="auto"/>
                <w:w w:val="91"/>
              </w:rPr>
              <w:t>January 1, 2013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Bethesda Row</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w w:val="86"/>
              </w:rPr>
              <w:t>February 1, 2013</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0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face amount of the mortgage notes is $32.2 million. However, in accordance with GAAP, these mortgage notes were recorded at their aggregate fair value of $32.5 million.</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September 25 and 30, 2008, we acquired the fee interest in two land parcels under our Bethesda Row property. Prior to the transactions, we had capital lease obligations totaling $11.5 million on the two land parcels which were extinguished as part of the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growth in our portfolio from property redevelopments,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jc w:val="both"/>
        <w:ind w:right="520"/>
        <w:spacing w:after="0" w:line="306"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The infill nature and strong demographics of our properties provide a strategic advantage allowing us to maintain high occupancy and continue to increase rental rates. We seek to maintain a mix of strong national, regional, and local retailers. At September 30, 2008, no single tenant accounted for more than 2.6% of annualized base rent.</w:t>
      </w:r>
    </w:p>
    <w:p>
      <w:pPr>
        <w:spacing w:after="0" w:line="1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continue to see a positive impact from redevelopment of our shopping centers. In 2008 and 2009, we have redevelopment projects with projected costs of approximately $93 million and $73 million, respectively, stabilizing. As redevelopment properties are completed, spaces that were out of service and newly created spaces begin generating revenue. In addition, spaces that were not out of service and that have expiring leases may generate higher revenue because we generally receive higher rent on new leases at improved centers.</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continue to review acquisition opportunities in our primary markets in the East and West regions that complement our portfolio and provide long term opportunities. Additionally, in 2008, we acquired two properties in South Florida and continue to evaluate further acquisitions in the South Florida market. Generally, our acquisitions do not initially contribute significantly to earnings growth; however, they provide long 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current downturn in the economy may impact the success of our tenants’ retail operations and therefore the amount of rent and expense reimbursements we receive from our tenants. We have seen some tenants experiencing declining sales, vacating early, or filing for bankruptcy. Any reduction in our tenants’ ability to pay base rent, percentage rent or other charges, will adversely affect our financial condition and results of operations. Further, our ability to re-lease vacant spaces may be negatively impacted by the current economic environment. While we believe the locations of our centers and diverse tenant base should decrease the negative impact of the economic environment, we may see an increase in vacancy that could have a negative impact to our revenue. We continue to monitor our tenants’ operating performance as well as trends in the retail industry to evaluate any future impact.</w:t>
      </w:r>
    </w:p>
    <w:p>
      <w:pPr>
        <w:spacing w:after="0" w:line="12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continue to maintain a strong balance sheet and a conservative capital structure. We seek to maintain a staggered schedule of debt maturities such that a disproportionate amount of debt maturities does not occur in any one year.</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At September 30, 2008, the leasable square feet in our shopping centers was 94.8% occupied and 95.5%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development, redevelopment or expansion occurred during either of the periods being compared and properties classified as discontinued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SEPTEMBER 30, 2008 AND 2007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(Dollar amounts</w:t>
            </w:r>
          </w:p>
        </w:tc>
        <w:tc>
          <w:tcPr>
            <w:tcW w:w="2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126,654</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6"/>
              </w:rPr>
              <w:t>117,801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property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(629)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Total property revenue</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131,767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123,564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3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Real estate taxes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Property operating income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89,445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86,309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3,136</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(25,337)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2"/>
              </w:rPr>
              <w:t>(28,732)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(5,391)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1,781</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(28,642)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2"/>
              </w:rPr>
              <w:t>(25,045)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(3,597)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230"/>
        </w:trPr>
        <w:tc>
          <w:tcPr>
            <w:tcW w:w="8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(58,848)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(60,284)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1,436</w:t>
            </w:r>
          </w:p>
        </w:tc>
        <w:tc>
          <w:tcPr>
            <w:tcW w:w="30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before minority interests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Minority interests</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314</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(1,637)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Gain (loss) on sale of real estate from discontinued operations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7,438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10,338</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13,587</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property revenue increased $8.2 million, or 6.6%, to $131.8 million in the three months ended September 30, 2008 compared to $123.6 million in the three months ended September 30, 2007. The percentage occupied at our shopping centers decreased slightly to 94.8% at September 30, 2008 compared to 95.1% at September 30, 2007.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$8.9 million, or 7.5%, to $126.7 million in the three months ended September 30, 2008 compared to $117.8 million in the three months ended September 30, 2007 due primarily to the following:</w:t>
      </w:r>
    </w:p>
    <w:p>
      <w:pPr>
        <w:spacing w:after="0" w:line="5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of $5.8 million at same-center properties due to increased rental rates on new and renewal leases and increased cost reimbursements,</w:t>
      </w:r>
    </w:p>
    <w:p>
      <w:pPr>
        <w:spacing w:after="0" w:line="113" w:lineRule="exact"/>
        <w:rPr>
          <w:rFonts w:ascii="Arial" w:cs="Arial" w:eastAsia="Arial" w:hAnsi="Arial"/>
          <w:sz w:val="16"/>
          <w:szCs w:val="16"/>
          <w:color w:val="auto"/>
        </w:rPr>
      </w:pPr>
    </w:p>
    <w:p>
      <w:pPr>
        <w:ind w:left="900" w:right="6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$2.4 million at redevelopment properties due primarily to increased rental rates on new leases including newly created spaces generating revenue and increased cost reimbursements,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$1.2 million attributable to properties acquired in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Other property income decreased $0.6 million, or 13.6%, to $4.0 million in the three months ended September 30, 2008 compared to $4.6 million in the three months ended September 30, 2007. Included in other property income are items which, although recurring, tend to fluctuate more than rental income from period to period, such as lease termination fees. This decrease is due primarily to a decrease in lease and other termination fees at same-center properties partially offset by an increase at redevelopment properties.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Total property expenses increased $5.1 million, or 13.6%, to $42.3 million in the three months ended September 30, 2008 compared to $37.3 million in the three months ended September 30, 2007.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Rental expenses increased $2.3 million, or 9.3%, to $27.6 million in the three months ended September 30, 2008 compared to $25.2 million in the three months ended September 30, 2007. This increase is due primarily to the following:</w:t>
      </w:r>
    </w:p>
    <w:p>
      <w:pPr>
        <w:spacing w:after="0" w:line="5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$1.3 million in repairs and maintenance and utilities at same-center and redevelopment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$0.6 million in marketing at same-center and redevelopment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$0.6 million in bad debt expense at same-center and redevelopment properties,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$0.3 million attributable to properties acquired in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$0.4 million in insurance expense at same-center properties.</w:t>
      </w:r>
    </w:p>
    <w:p>
      <w:pPr>
        <w:spacing w:after="0" w:line="17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increased to 21.1% in the three months ended September 30, 2008 from 20.6% in the three months ended September 30,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Real estate tax expense increased $2.7 million, or 22.7%, to $14.8 million in the three months ended September 30, 2008 compared to $12.0 million in the three months ended September 30, 2007. This increase is due primarily to an increase of $2.6 million related to higher tax assessments at same-center and redevelopment properties and an increase of $0.2 million related to properties acquired in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Property operating income increased $3.1 million, or 3.6%, to $89.4 million in the three months ended September 30, 2008 compared to $86.3 million in the three months ended September 30, 2007. This increase is due primarily to the following:</w:t>
      </w:r>
    </w:p>
    <w:p>
      <w:pPr>
        <w:spacing w:after="0" w:line="51"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growth in same-center earnings,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growth in earnings at redevelopment properties,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Interest expense decreased $3.4 million, or 11.8%, to $25.3 million in the three months ended September 30, 2008 compared to $28.7 million in the three months ended September 30, 2007. This decrease is due primarily to the following:</w:t>
      </w:r>
    </w:p>
    <w:p>
      <w:pPr>
        <w:spacing w:after="0" w:line="5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of $2.1 million due to a lower overall weighted average borrowing rate,</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of $1.6 million due to the termination of the Mid-Pike and Huntington capital leases on October 26, 2007, as part of the acquisition of the fee interests in these properties,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of $0.8 million due to lower borrowings,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right="2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$1.1 million in capitalized interest due primarily to substantial completion of our Arlington East (Bethesda Row) and Linden Square projects.</w:t>
      </w:r>
    </w:p>
    <w:p>
      <w:pPr>
        <w:spacing w:after="0" w:line="132"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Gross interest costs were $26.2 million and $30.7 million in the three months ended September 30, 2008 and 2007, respectively. Capitalized interest was $0.8 million and $1.9 million in the three months ended September 30, 2008 and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General and administrative expense decreased $1.8 million, or 24.8%, to $5.4 million in the three months ended September 30, 2008 compared to $7.2 million in the three months ended September 30, 2007. The decrease is primarily due to lower personnel related costs and lower legal fees related to the litigation over a parcel of land adjacent to Santana Row and other legal matters.</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459" w:right="2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Depreciation and amortization expense increased $3.6 million, or 14.4%, to $28.6 million in the three months ended September 30, 2008 from $25.0 million in the three months ended September 30, 2007. This increase is due primarily to acquisitions and capital improvements at same-center and redevelopment properties.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Income from discontinued operations represents the operating income of properties that have been disposed or will be disposed, which is required to be reported separately from results of ongoing operations. The reported operating income of $0.4 million and $2.0 million for the three months ended September 30, 2008 and 2007, respectively, represents the operating income for the period during which we owned properties sold in 2008 and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Sale of Real Estate from Discontinued Operations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gain on sale of real estate from discontinued operations of $7.4 million for the three months ended September 30, 2008 consists primarily of a $5.2 million decrease in the warranty reserve for condominium units sold at Santana Row in 2005 and 2006, $1.1 million of accrued state tax refunds related to the initial sales of the condominium units, and the sale of four land parcels in Maryland and Massachusetts resulting in a $1.0 million gain. The loss on sale of real estate from discontinued operations of $2.9 million for the three months ended September 30, 2007 relates to an increase in the warranty reserve for condominiums sold in 2006 and 2005 at Santana Row.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our business on an asset management model, where asset management teams are responsible for a portfolio of assets. We manage our portfolio as two operating regions: East and West. Asset management teams consist of asset managers, leasing agents, development staff and financial personnel, each of whom has responsibility for a distinct portfolio.</w:t>
      </w:r>
    </w:p>
    <w:p>
      <w:pPr>
        <w:spacing w:after="0" w:line="140"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The following table provides selected key segment data for the three months ended September 30, 2008 and 2007. The results of properties classified as discontinued operations have been excluded for rental income, total revenue and property operating income from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September 30,</w:t>
            </w:r>
          </w:p>
        </w:tc>
      </w:tr>
      <w:tr>
        <w:trPr>
          <w:trHeight w:val="142"/>
        </w:trPr>
        <w:tc>
          <w:tcPr>
            <w:tcW w:w="6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60" w:type="dxa"/>
            <w:vAlign w:val="bottom"/>
            <w:gridSpan w:val="6"/>
          </w:tcPr>
          <w:p>
            <w:pPr>
              <w:ind w:left="140"/>
              <w:spacing w:after="0" w:line="142" w:lineRule="exact"/>
              <w:rPr>
                <w:sz w:val="20"/>
                <w:szCs w:val="20"/>
                <w:color w:val="auto"/>
              </w:rPr>
            </w:pPr>
            <w:r>
              <w:rPr>
                <w:rFonts w:ascii="Arial" w:cs="Arial" w:eastAsia="Arial" w:hAnsi="Arial"/>
                <w:sz w:val="14"/>
                <w:szCs w:val="14"/>
                <w:b w:val="1"/>
                <w:bCs w:val="1"/>
                <w:color w:val="auto"/>
              </w:rPr>
              <w:t>(Dollars and square feet in thousands)</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97,975</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92,314</w:t>
            </w: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101,553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96,643</w:t>
            </w: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70,387</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68,524</w:t>
            </w: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15,509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16,879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28,679</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25,487</w:t>
            </w: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30,214</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26,921</w:t>
            </w: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19,058</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17,785</w:t>
            </w: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22"/>
        </w:trPr>
        <w:tc>
          <w:tcPr>
            <w:tcW w:w="632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2,621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Rental income for the East region increased $5.7 million, or 6.1%, to $98.0 million in the three months ended September 30, 2008 compared to $92.3 million in the three months ended September 30, 2007 due primarily to the following:</w:t>
      </w:r>
    </w:p>
    <w:p>
      <w:pPr>
        <w:spacing w:after="0" w:line="51" w:lineRule="exact"/>
        <w:rPr>
          <w:sz w:val="20"/>
          <w:szCs w:val="20"/>
          <w:color w:val="auto"/>
        </w:rPr>
      </w:pPr>
    </w:p>
    <w:p>
      <w:pPr>
        <w:ind w:left="900" w:right="88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$2.6 million at same-center properties due primarily to increased rental rates on new and renewal leases and increased cost reimbursements,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$2.4 million at redevelopment properties,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$1.2 million attributable to properties acquired in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Property operating income for the East region increased $1.9 million due primarily to the increase in rental income discussed above partially offset by a $1.7 million increase in rental expense and a $1.4 million increase in real estate taxes due primarily to higher assessments on our same-center and redevelopment properties and property acquisitions. As a result of these changes, the ratio of property operating income to total revenue for the East region decreased to 69.3% in the three months ended September 30, 2008 from 70.9% in the three months ended September 30, 2007. The gross leasable area in the East region decreased</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1.4 million square feet due primarily to the sale of six properties in New Jersey in October 2007 and the sale of four land parcels in September 2008, the results of which are included in discontinued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Rental income for the West region increased $3.2 million, or 12.5%, to $28.7 million in the three months ended September 30, 2008 from $25.5 million in the three months ended September 30, 2007 due primarily to an increase of $3.1 million at same-center properties due primarily to increased rental rates on new and renewal retail and residential leases and increased cost reimbursements.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Property operating income for the West region increased $1.3 million due primarily to the increase in rental income discussed above partially offset by a $1.4 million increase in real estate taxes due primarily to increased assessments and a $0.7 million increase in rental expenses. As a result of these changes, the ratio of property operating income to total revenue for the West region decreased to 63.1% in the three months ended September 30, 2008 from 66.1% in the three months ended September 30,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OPERATIONS—NINE MONTHS ENDED SEPTEMBER 30, 2008 AND 2007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Dollars</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(Dollar amounts</w:t>
            </w:r>
          </w:p>
        </w:tc>
        <w:tc>
          <w:tcPr>
            <w:tcW w:w="2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80"/>
              </w:rPr>
              <w:t>thousands)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371,792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343,821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$27,971</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12,015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9,550</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2,465</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Total property revenue</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387,149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356,757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30,392</w:t>
            </w:r>
          </w:p>
        </w:tc>
        <w:tc>
          <w:tcPr>
            <w:tcW w:w="3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81,011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7,564</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122,342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106,791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15,551</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00" w:type="dxa"/>
            <w:vAlign w:val="bottom"/>
          </w:tcPr>
          <w:p>
            <w:pPr>
              <w:ind w:left="860"/>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264,807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249,966</w:t>
            </w: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14,841</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1,120</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(74,166)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(84,247)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10,081</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(19,451)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(18,894)</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(557)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(81,837)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(75,450)</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(6,387)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222"/>
        </w:trPr>
        <w:tc>
          <w:tcPr>
            <w:tcW w:w="7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(173,612)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w w:val="88"/>
              </w:rPr>
              <w:t>(176,848)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3,236</w:t>
            </w:r>
          </w:p>
        </w:tc>
        <w:tc>
          <w:tcPr>
            <w:tcW w:w="30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before minority interests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73,118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18,077</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(4,309)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5,611</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(4,126)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Gain (loss) on sale of real estate from discontinued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7,438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(1,051)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8,489</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-807.7%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96,062</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22,693</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Total property revenue increased $30.4 million, or 8.5%, to $387.1 million in the nine months ended September 30, 2008 compared to $356.8 million in the nine months ended September 30, 2007. The percentage occupied at our shopping centers decreased slightly to 94.8% at September 30, 2008 compared to 95.1% at September 30, 2007.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$28.0 million, or 8.1%, to $371.8 million in the nine months ended September 30, 2008 compared to $343.8 million in the nine months ended September 30, 2007 due primarily to the following:</w:t>
      </w:r>
    </w:p>
    <w:p>
      <w:pPr>
        <w:spacing w:after="0" w:line="59" w:lineRule="exact"/>
        <w:rPr>
          <w:sz w:val="20"/>
          <w:szCs w:val="20"/>
          <w:color w:val="auto"/>
        </w:rPr>
      </w:pPr>
    </w:p>
    <w:p>
      <w:pPr>
        <w:ind w:left="900" w:right="3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$11.3 million at same-center properties due to increased rental rates on new and renewal leases, increased cost reimbursements and increased percentage rent,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$10.4 million attributable to properties acquired in 2007 and 2008, and</w:t>
      </w:r>
    </w:p>
    <w:p>
      <w:pPr>
        <w:spacing w:after="0" w:line="90"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$7.2 million at redevelopment properties due primarily to increased rental rates on new leases including newly created spaces generating revenue and increased cost reimbursements.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Other property income increased $2.5 million, or 25.8%, to $12.0 million in the nine months ended September 30, 2008 compared to $9.6 million in the nine months ended September 30, 2007. Included in other property income are items which, although recurring, tend to fluctuate more than rental income from period to period, such as lease termination fees. This increase is due primarily to an increase in lease termination fees at redevelopment properties.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Total property expenses increased $15.6 million, or 14.6%, to $122.3 million in the nine months ended September 30, 2008 compared to $106.8 million in the nine months ended September 30, 2007.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Rental expenses increased $8.0 million, or 10.9%, to $81.0 million in the nine months ended September 30, 2008 compared to $73.0 million in the nine months ended September 30, 2007. This increase is due primarily to the following:</w:t>
      </w:r>
    </w:p>
    <w:p>
      <w:pPr>
        <w:spacing w:after="0" w:line="5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$3.2 million in repairs and maintenance at same-center and redevelopment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$2.4 million attributable to properties acquired in 2007 and 2008,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$1.2 million in bad debt expense at same-center and redevelopment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$1.0 million in marketing expense at redevelopment properties,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$0.7 million in utility expense at same-center and redevelopment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of $1.1 million in insurance expense at same-center properties.</w:t>
      </w:r>
    </w:p>
    <w:p>
      <w:pPr>
        <w:spacing w:after="0" w:line="17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increased to 21.1% in the nine months ended September 30, 2008 from 20.7% in the nine months ended September 30,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Real estate tax expense increased $7.6 million, or 22.4%, to $41.3 million in the nine months ended September 30, 2008 compared to $33.8 million in the nine months ended September 30, 2007. This increase is due primarily to an increase of $5.7 million related to higher tax assessments at same-center and redevelopment properties and an increase of $1.9 million related to properties acquired in 2007 and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Property operating income increased $14.8 million, or 5.9%, to $264.8 million in the nine months ended September 30, 2008 compared to $250.0 million in the nine months ended September 30, 2007. This increase is due primarily to the following:</w:t>
      </w:r>
    </w:p>
    <w:p>
      <w:pPr>
        <w:spacing w:after="0" w:line="5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2007 and 2008,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growth in earnings at redevelopment properties,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growth in same-center earnings.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Interest expense decreased $10.1 million, or 12.0%, to $74.2 million in the nine months ended September 30, 2008 compared to $84.2 million in the nine months ended September 30, 2007. This decrease is due primarily to the following:</w:t>
      </w:r>
    </w:p>
    <w:p>
      <w:pPr>
        <w:spacing w:after="0" w:line="5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of $4.5 million due to a lower overall weighted average borrowing rate,</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of $4.5 million due to the termination of the Mid-Pike and Huntington capital leases on October 26, 2007, as part of the acquisition of the fee interests in these properties,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of $3.0 million due to lower borrowings,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right="2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of $1.9 million in capitalized interest due primarily to substantial completion of our Arlington East (Bethesda Row) and Linden Square projects</w:t>
      </w:r>
    </w:p>
    <w:p>
      <w:pPr>
        <w:spacing w:after="0" w:line="132"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Gross interest costs were $78.3 million and $90.3 million in the nine months ended September 30, 2008 and 2007, respectively. Capitalized interest was $4.1 million and $6.0 million in the nine months ended September 30, 2008 and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 increased $0.6 million, or 2.9%, to $19.5 million in the nine months ended September 30, 2008, from $18.9 million in the nine months ended September 30, 2007. The increase is due primarily to higher legal costs related to the litigation over a parcel of land adjacent to Santana Row and other legal matters partially offset by lower personnel related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Depreciation and amortization expense increased $6.4 million, or 8.5%, to $81.8 million in the nine months ended September 30, 2008 from $75.5 million in the nine months ended September 30, 2007. This increase is due primarily to acquisitions and capital improvements at same-center and redevelopment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Income from discontinued operations represents the operating income of properties that have been disposed or will be disposed, which is required to be reported separately from results of ongoing operations. The reported operating income of $1.5 million and $5.6 million for the nine months ended September 30, 2008 and 2007, respectively, represents the operating income for the period during which we owned properties sold in 2008 and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Sale of Real Estate from Discontinued Operations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gain on sale of real estate from discontinued operations of $7.4 million for the nine months ended September 30, 2008 consists primarily of a $5.2 million decrease in the warranty reserve for condominium units sold at Santana Row in 2005 and 2006, $1.1 million of accrued state tax refunds related to the initial sales of the condominium units, and the sale of four land parcels in Maryland and Massachusetts resulting in a $1.0 million gain. The loss on sale of real estate from discontinued operations of $1.1 million during the nine months ended September 30, 2007 is due to a $2.9 million increase in the warranty reserve, related to condominiums sold at Santana Row, partially offset by a gain of $1.8 million primarily related to the sales of Bath Shopping Center, Key Road Plaza, and Riverside Plaza.</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our business on an asset management model, where asset management teams are responsible for a portfolio of assets. We manage our portfolio as two operating regions: East and West. Asset management teams consist of asset managers, leasing agents, development staff and financial personnel, each of whom has responsibility for a distinct portfolio.</w:t>
      </w:r>
    </w:p>
    <w:p>
      <w:pPr>
        <w:spacing w:after="0" w:line="140"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The following table provides selected key segment data for the nine months ended September 30, 2008 and 2007. The results of properties classified as discontinued operations have been excluded for rental income, total revenue and property operating income from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85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142"/>
        </w:trPr>
        <w:tc>
          <w:tcPr>
            <w:tcW w:w="8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(Dollars and</w:t>
            </w:r>
          </w:p>
        </w:tc>
        <w:tc>
          <w:tcPr>
            <w:tcW w:w="1800" w:type="dxa"/>
            <w:vAlign w:val="bottom"/>
            <w:gridSpan w:val="3"/>
          </w:tcPr>
          <w:p>
            <w:pPr>
              <w:jc w:val="right"/>
              <w:ind w:right="194"/>
              <w:spacing w:after="0" w:line="142" w:lineRule="exact"/>
              <w:rPr>
                <w:sz w:val="20"/>
                <w:szCs w:val="20"/>
                <w:color w:val="auto"/>
              </w:rPr>
            </w:pPr>
            <w:r>
              <w:rPr>
                <w:rFonts w:ascii="Arial" w:cs="Arial" w:eastAsia="Arial" w:hAnsi="Arial"/>
                <w:sz w:val="14"/>
                <w:szCs w:val="14"/>
                <w:b w:val="1"/>
                <w:bCs w:val="1"/>
                <w:color w:val="auto"/>
                <w:w w:val="88"/>
              </w:rPr>
              <w:t>square feet in thousands)</w:t>
            </w:r>
          </w:p>
        </w:tc>
        <w:tc>
          <w:tcPr>
            <w:tcW w:w="140" w:type="dxa"/>
            <w:vAlign w:val="bottom"/>
          </w:tcPr>
          <w:p>
            <w:pPr>
              <w:spacing w:after="0"/>
              <w:rPr>
                <w:sz w:val="12"/>
                <w:szCs w:val="1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288,832</w:t>
            </w:r>
          </w:p>
        </w:tc>
        <w:tc>
          <w:tcPr>
            <w:tcW w:w="8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266,760</w:t>
            </w: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300,387</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275,923</w:t>
            </w: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208,977</w:t>
            </w:r>
          </w:p>
        </w:tc>
        <w:tc>
          <w:tcPr>
            <w:tcW w:w="8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196,462</w:t>
            </w: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15,509</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16,879</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82,960</w:t>
            </w:r>
          </w:p>
        </w:tc>
        <w:tc>
          <w:tcPr>
            <w:tcW w:w="8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77,061</w:t>
            </w: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86,762</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80,834</w:t>
            </w: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55,830</w:t>
            </w:r>
          </w:p>
        </w:tc>
        <w:tc>
          <w:tcPr>
            <w:tcW w:w="8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53,504</w:t>
            </w: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64.3%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22"/>
        </w:trPr>
        <w:tc>
          <w:tcPr>
            <w:tcW w:w="852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2,621</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Rental income for the East region increased $22.1 million, or 8.3%, to $288.8 million in the nine months ended September 30, 2008 compared to $266.8 million in the nine months ended September 30, 2007 due primarily to the following:</w:t>
      </w:r>
    </w:p>
    <w:p>
      <w:pPr>
        <w:spacing w:after="0" w:line="5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$10.2 million attributable to properties acquired in 2007 and 2008,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$6.7 million at redevelopment properties, and</w:t>
      </w:r>
    </w:p>
    <w:p>
      <w:pPr>
        <w:spacing w:after="0" w:line="90" w:lineRule="exact"/>
        <w:rPr>
          <w:rFonts w:ascii="Arial" w:cs="Arial" w:eastAsia="Arial" w:hAnsi="Arial"/>
          <w:sz w:val="18"/>
          <w:szCs w:val="18"/>
          <w:color w:val="auto"/>
        </w:rPr>
      </w:pPr>
    </w:p>
    <w:p>
      <w:pPr>
        <w:ind w:left="900" w:right="88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$6.1 million at same-center properties due primarily to increased rental rates on new and renewal leases and increased cost reimbursements.</w:t>
      </w:r>
    </w:p>
    <w:p>
      <w:pPr>
        <w:spacing w:after="0" w:line="13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Property operating income for the East region increased $12.5 million due primarily to the increase in rental income discussed above and an increase in lease termination fees. These increases in income were partially offset by a $6.5 million increase in rental expense due to the acquisition of properties and increases in expenses at same-center and redevelopment properties, and a $5.5 million increase in real estate taxes due primarily to the acquisition of properties and higher assessments on our same-center and redevelopment properties. As a result of these changes, the ratio of property operating income to total revenue for the East region decreased to 69.6% in the nine months ended September 30, 2008 from 71.2% in the nine months ended September 30, 2007. The gross leaseable area in the East region decreased 1.4 million square feet due primarily to the sale of six properties in New Jersey in October 2007 and the sale of four land parcels in September 2008, the results of which are included in discontinued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Rental income for the West region increased $5.9 million, or 7.7%, to $83.0 million in the nine months ended September 30, 2008 from $77.1 million in the nine months ended September 30, 2007 due primarily to the following:</w:t>
      </w:r>
    </w:p>
    <w:p>
      <w:pPr>
        <w:spacing w:after="0" w:line="51" w:lineRule="exact"/>
        <w:rPr>
          <w:sz w:val="20"/>
          <w:szCs w:val="20"/>
          <w:color w:val="auto"/>
        </w:rPr>
      </w:pPr>
    </w:p>
    <w:p>
      <w:pPr>
        <w:ind w:left="900" w:right="1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$5.2 million at same-center properties due primarily to increased residential rental rates at Santana Row, increased rental rates on new and renewal retail leases, and increased percentage rent,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$0.5 million at redevelopment properties,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$0.2 million attributable to a property acquired in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335" w:lineRule="auto"/>
        <w:rPr>
          <w:sz w:val="20"/>
          <w:szCs w:val="20"/>
          <w:color w:val="auto"/>
        </w:rPr>
      </w:pPr>
      <w:r>
        <w:rPr>
          <w:rFonts w:ascii="Arial" w:cs="Arial" w:eastAsia="Arial" w:hAnsi="Arial"/>
          <w:sz w:val="15"/>
          <w:szCs w:val="15"/>
          <w:color w:val="auto"/>
        </w:rPr>
        <w:t>Property operating income for the West region increased $2.3 million due primarily to the increase in rental income discussed above partially offset by a $2.1 million increase in real estate taxes and a $1.5 million increase in rental expenses. As a result of these changes, the ratio of property operating income to total revenue for the West region decreased to 64.3% in the nine months ended September 30, 2008 from 66.2% in the nine months ended September 30, 2007.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September 2006, the FASB issued SFAS No. 157, “Fair Value Measurements” (“SFAS No. 157”).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adopted the recognition and disclosure provisions of SFAS No. 157 for financial assets and financial liabilities and for nonfinancial assets and nonfinancial liabilities that are re-measured at least annually effective January 1, 2008; the adoption did not have a material impact on our financial position, results of operations or cash flows. In accordance with FSP SFAS No. 157-2, “Effective Date of FASB Statement No. 157”, we are required to adopt the provisions of SFAS No. 157 for all other nonfinancial assets and nonfinancial liabilities effective January 1, 2009 and do not expect the adoption to have a material impact on our financial position, results of operations or cash flows.</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This standard permits entities to choose to measure many financial instruments and certain other items at fair value and is effective for the first fiscal year beginning after November 15, 2007. We did not make this fair value election when we adopted SFAS No. 159 effective January 1, 2008, and, therefore, it did not have an impact on our financial position, results of operations, or cash flows.</w:t>
      </w:r>
    </w:p>
    <w:p>
      <w:pPr>
        <w:spacing w:after="0" w:line="1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FASB Statement No. 133” (“SFAS No. 161”). SFAS No. 161 requires enhanced disclosures about an entity’s derivative instruments and hedging activities and is effective for fiscal years beginning after November 15, 2008. We do not expect the adoption of SFAS No. 161 to have a material impact on our consolidated financial statements.</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2008, the FASB issued FSP EITF No. 03-6-1, “Determining Whether Instruments Granted in Share-Based Payment Transactions Are Participating Securities” (“FSP EITF No. 03-6-1”). Under the FSP, unvested share-based payment awards that contain non-forfeitable rights to receive dividends (whether paid or unpaid) are participating securities, and should be included in computation of EPS pursuant to the two-class method. The FSP is effective for fiscal years beginning after December 15, 2008. We are currently assessing the impact, if any, the adoption of FSP EITF No. 03-6-1 will have on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Due to the nature of our business and strategy, we generally generate significant amounts of cash from operations. The cash generated from operations is primarily paid to our shareholders in the form of dividends. As a REIT, we must generally make annual distributions to shareholders of at least 90% of our REIT taxable income.</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Overall capital requirements in 2008 will depend upon acquisition opportunities, the level of improvements and redevelopments on existing properties and the timing and cost of development of future phases of existing properties.</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long-term capital requirements consist primarily of maturities under our long-term debt, development and redevelopment costs and potential acquisitions. We expect to fund these through a combination of sources which we believe will be available to us, including additional and replacement secured and unsecured borrowings, issuance of additional equity, joint venture relationships relating to existing properties or new acquisitions and property dispositions. While we expect the funds will be available to us, the current downturn in the economy and dislocation in the capital markets could impair availability of funds and lead to less favorable interest rates when utilizing secured and unsecured borrowings.</w:t>
      </w:r>
    </w:p>
    <w:p>
      <w:pPr>
        <w:spacing w:after="0" w:line="1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cash needed to execute our strategy and invest in new properties, as well as to pay our debt at maturity, must come from one or more of the following sources:</w:t>
      </w:r>
    </w:p>
    <w:p>
      <w:pPr>
        <w:spacing w:after="0" w:line="5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provided by operations that is not distributed to shareholders,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proceeds from the issuance of new debt or equity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proceeds from property dispositions.</w:t>
      </w:r>
    </w:p>
    <w:p>
      <w:pPr>
        <w:spacing w:after="0" w:line="17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We may, from time to time, seek to obtain funds by the following means:</w:t>
      </w:r>
    </w:p>
    <w:p>
      <w:pPr>
        <w:spacing w:after="0" w:line="2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equity offerings,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unsecured debt financing and/or mortgage financings, and</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debt and equity alternatives, including formation of joint ventures, in a manner consistent with our intention to operate with a conservative debt structure.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90" w:lineRule="exact"/>
        <w:rPr>
          <w:sz w:val="20"/>
          <w:szCs w:val="20"/>
          <w:color w:val="auto"/>
        </w:rPr>
      </w:pPr>
    </w:p>
    <w:p>
      <w:pPr>
        <w:ind w:left="900" w:right="32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stock equity may prohibit us from incurring debt or issuing equity at all or on acceptable terms under then-prevailing market conditions;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seek to maintain a staggered schedule of debt maturities such that a disproportionate amount of debt maturities does not occur in any one year. The largest year of maturities is in 2009 totaling $388.9 million of which $200 million matures in November 2009 and $175 million matures in December 2009. We intend to address the refinancing of this debt in advance of the respective maturities.</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Cash and cash equivalents were $49.0 million at September 30, 2008, which is a $1.7 million decrease from the balance of cash and cash equivalents at December 31, 2007. Cash and cash equivalents are not a good indicator of our liquidity. We have a $300.0 million unsecured revolving credit facility that matures July 27, 2010, subject to a one-year extension at our option. We have had no disruption in funding from any of the banks in our credit facility and expect our lenders will continue to provide funds under our credit facility.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5"/>
              </w:rPr>
              <w:t>Nine Months Ended September 30,</w:t>
            </w:r>
          </w:p>
        </w:tc>
        <w:tc>
          <w:tcPr>
            <w:tcW w:w="0" w:type="dxa"/>
            <w:vAlign w:val="bottom"/>
          </w:tcPr>
          <w:p>
            <w:pPr>
              <w:spacing w:after="0"/>
              <w:rPr>
                <w:sz w:val="1"/>
                <w:szCs w:val="1"/>
                <w:color w:val="auto"/>
              </w:rPr>
            </w:pPr>
          </w:p>
        </w:tc>
      </w:tr>
      <w:tr>
        <w:trPr>
          <w:trHeight w:val="142"/>
        </w:trPr>
        <w:tc>
          <w:tcPr>
            <w:tcW w:w="9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76"/>
              </w:rPr>
              <w:t>thousands)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174,504</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00" w:type="dxa"/>
            <w:vAlign w:val="bottom"/>
          </w:tcPr>
          <w:p>
            <w:pPr>
              <w:spacing w:after="0"/>
              <w:rPr>
                <w:sz w:val="18"/>
                <w:szCs w:val="18"/>
                <w:color w:val="auto"/>
              </w:rPr>
            </w:pPr>
          </w:p>
        </w:tc>
        <w:tc>
          <w:tcPr>
            <w:tcW w:w="1000" w:type="dxa"/>
            <w:vAlign w:val="bottom"/>
            <w:gridSpan w:val="2"/>
          </w:tcPr>
          <w:p>
            <w:pPr>
              <w:jc w:val="right"/>
              <w:ind w:right="52"/>
              <w:spacing w:after="0"/>
              <w:rPr>
                <w:sz w:val="20"/>
                <w:szCs w:val="20"/>
                <w:color w:val="auto"/>
              </w:rPr>
            </w:pPr>
            <w:r>
              <w:rPr>
                <w:rFonts w:ascii="Arial" w:cs="Arial" w:eastAsia="Arial" w:hAnsi="Arial"/>
                <w:sz w:val="18"/>
                <w:szCs w:val="18"/>
                <w:color w:val="auto"/>
              </w:rPr>
              <w:t>(167,207)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(130,063)</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(8,997)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(29,885)</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8"/>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48,991</w:t>
            </w:r>
          </w:p>
        </w:tc>
        <w:tc>
          <w:tcPr>
            <w:tcW w:w="18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Net cash provided by operating activities increased $15.8 million to $174.5 million during the nine months ended September 30, 2008 from $158.7 million during the nine months ended September 30, 2007. The increase was primarily attributable to $19.5 million higher net income before gain on sale of real estate, income from real estate partnership, depreciation and amortization, minority interests, and other non-cash expenses.</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Net cash used in investing activities increased $37.1 million to $167.2 million during the nine months ended September 30, 2008 from $130.1 million during the nine months ended September 30, 2007. The increase was primarily attributable to:</w:t>
      </w:r>
    </w:p>
    <w:p>
      <w:pPr>
        <w:spacing w:after="0" w:line="5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$50.0 million increase in acquisitions of real estate,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$13.8 million decrease in proceeds from sale of real estate,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$20.4 million decrease in contributions to our unconsolidated real estate partnership due to acquisitions by the real estate partnership in 2007,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$7.7 million decrease in capital expenditures.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Net cash used in financing activities decreased $20.9 million to $9.0 million during the nine months ended September 30, 2008 from $29.9 million during the nine months ended September 30, 2007. The decrease was primarily attributable to:</w:t>
      </w:r>
    </w:p>
    <w:p>
      <w:pPr>
        <w:spacing w:after="0" w:line="5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$59.0 million increase in net borrowings on our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$20.8 million repayment of senior debentures,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$11.2 million increase in dividends paid to shareholders due to an increase in the dividend rate and increased number of shares outstanding, and</w:t>
      </w:r>
    </w:p>
    <w:p>
      <w:pPr>
        <w:spacing w:after="0" w:line="113"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$9.7 million increase in repayment of mortgages, capital leases and notes payable due substantially to the payoff of the Leesburg mortgage in July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joint venture partners in eight restaurants at Santana Row. Our investment balance in the restaurant joint ventures was approximately $7.6 million and $7.9 million at September 30, 2008 and December 31, 2007, respectively. Our equity in earnings from the restaurant joint ventures was $1.0 million and $1.6 million for the nine months ended September 30, 2008 and 2007, respectively.</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are the manager of the Partnership and its properties, earning fees for acquisitions, management, leasing and financing. We also have the opportunity to receive performance-based earnings through our Partnership interest. We account for our interest in the Partnership using the equity method. In total, at September 30, 2008, the Partnership had $81.4 million of mortgages payable outstanding.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Original</w:t>
            </w:r>
          </w:p>
        </w:tc>
        <w:tc>
          <w:tcPr>
            <w:tcW w:w="160" w:type="dxa"/>
            <w:vAlign w:val="bottom"/>
          </w:tcPr>
          <w:p>
            <w:pPr>
              <w:spacing w:after="0"/>
              <w:rPr>
                <w:sz w:val="14"/>
                <w:szCs w:val="14"/>
                <w:color w:val="auto"/>
              </w:rPr>
            </w:pP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Principal Balance</w:t>
            </w: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Stated Interest Rate</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Debt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as of</w:t>
            </w:r>
          </w:p>
        </w:tc>
        <w:tc>
          <w:tcPr>
            <w:tcW w:w="16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as of</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Issued</w:t>
            </w:r>
          </w:p>
        </w:tc>
        <w:tc>
          <w:tcPr>
            <w:tcW w:w="1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 2008</w:t>
            </w: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September 30, 2008</w:t>
            </w: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520" w:type="dxa"/>
            <w:vAlign w:val="bottom"/>
            <w:gridSpan w:val="6"/>
          </w:tcPr>
          <w:p>
            <w:pPr>
              <w:jc w:val="right"/>
              <w:ind w:right="8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loans (1)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164 E. Houston Street (2)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6,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White Marsh Other</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1,120</w:t>
            </w:r>
          </w:p>
        </w:tc>
        <w:tc>
          <w:tcPr>
            <w:tcW w:w="4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6.060%</w:t>
            </w:r>
          </w:p>
        </w:tc>
        <w:tc>
          <w:tcPr>
            <w:tcW w:w="1520" w:type="dxa"/>
            <w:vAlign w:val="bottom"/>
          </w:tcPr>
          <w:p>
            <w:pPr>
              <w:jc w:val="right"/>
              <w:spacing w:after="0"/>
              <w:rPr>
                <w:sz w:val="20"/>
                <w:szCs w:val="20"/>
                <w:color w:val="auto"/>
              </w:rPr>
            </w:pPr>
            <w:r>
              <w:rPr>
                <w:rFonts w:ascii="Arial" w:cs="Arial" w:eastAsia="Arial" w:hAnsi="Arial"/>
                <w:sz w:val="18"/>
                <w:szCs w:val="18"/>
                <w:color w:val="auto"/>
                <w:w w:val="94"/>
              </w:rPr>
              <w:t>December 31,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Mercer Mall</w:t>
            </w: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8.375%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Federal Plaza</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36,500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33,265</w:t>
            </w:r>
          </w:p>
        </w:tc>
        <w:tc>
          <w:tcPr>
            <w:tcW w:w="4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6.750%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Tysons Station</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6,111</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Courtyard Shops</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7,782</w:t>
            </w:r>
          </w:p>
        </w:tc>
        <w:tc>
          <w:tcPr>
            <w:tcW w:w="4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6.870%</w:t>
            </w:r>
          </w:p>
        </w:tc>
        <w:tc>
          <w:tcPr>
            <w:tcW w:w="1520" w:type="dxa"/>
            <w:vAlign w:val="bottom"/>
          </w:tcPr>
          <w:p>
            <w:pPr>
              <w:jc w:val="right"/>
              <w:spacing w:after="0"/>
              <w:rPr>
                <w:sz w:val="20"/>
                <w:szCs w:val="20"/>
                <w:color w:val="auto"/>
              </w:rPr>
            </w:pPr>
            <w:r>
              <w:rPr>
                <w:rFonts w:ascii="Arial" w:cs="Arial" w:eastAsia="Arial" w:hAnsi="Arial"/>
                <w:sz w:val="18"/>
                <w:szCs w:val="18"/>
                <w:color w:val="auto"/>
              </w:rPr>
              <w:t>July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Bethesda Row</w:t>
            </w: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5.370%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Bethesda Row</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4,459</w:t>
            </w:r>
          </w:p>
        </w:tc>
        <w:tc>
          <w:tcPr>
            <w:tcW w:w="4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5.050%</w:t>
            </w:r>
          </w:p>
        </w:tc>
        <w:tc>
          <w:tcPr>
            <w:tcW w:w="1520" w:type="dxa"/>
            <w:vAlign w:val="bottom"/>
          </w:tcPr>
          <w:p>
            <w:pPr>
              <w:jc w:val="right"/>
              <w:spacing w:after="0"/>
              <w:rPr>
                <w:sz w:val="20"/>
                <w:szCs w:val="20"/>
                <w:color w:val="auto"/>
              </w:rPr>
            </w:pPr>
            <w:r>
              <w:rPr>
                <w:rFonts w:ascii="Arial" w:cs="Arial" w:eastAsia="Arial" w:hAnsi="Arial"/>
                <w:sz w:val="18"/>
                <w:szCs w:val="18"/>
                <w:color w:val="auto"/>
              </w:rPr>
              <w:t>February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White Marsh Plaza (3)</w:t>
            </w: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6.040%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Crow Canyon</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21,311</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5.400%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Melville Mall (4)</w:t>
            </w: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24,619</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September 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THE AVENUE at White Marsh</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60,275</w:t>
            </w:r>
          </w:p>
        </w:tc>
        <w:tc>
          <w:tcPr>
            <w:tcW w:w="4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5.460%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Barracks Road</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41,542</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Hauppauge</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16,700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15,660</w:t>
            </w:r>
          </w:p>
        </w:tc>
        <w:tc>
          <w:tcPr>
            <w:tcW w:w="4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Lawrence Park</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29,445</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Wildwood</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27,600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25,881</w:t>
            </w:r>
          </w:p>
        </w:tc>
        <w:tc>
          <w:tcPr>
            <w:tcW w:w="4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Wynnewood</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30,007</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Brick Plaza</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33,000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30,771</w:t>
            </w:r>
          </w:p>
        </w:tc>
        <w:tc>
          <w:tcPr>
            <w:tcW w:w="4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7.415%</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Shoppers’ World</w:t>
            </w: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Mount Vernon (5)</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13,250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11,722</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5.660%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Chelsea</w:t>
            </w: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Subtotal</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392,580</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unamortized discount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(381)</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Total mortgage loans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392,199</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Term note (6)</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200,000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LIBOR + 0.575%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6,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2,221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2,259</w:t>
            </w:r>
          </w:p>
        </w:tc>
        <w:tc>
          <w:tcPr>
            <w:tcW w:w="4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6.50%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Perring Plaza renovation</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Revolving credit facility (7)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300,000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LIBOR + 0.425%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27, 2010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Escondido (Municipal bonds) (8)</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9,400</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40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2.413%</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notes payable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341,912</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Senior notes and debentures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8.75% notes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175,000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175,000</w:t>
            </w:r>
          </w:p>
        </w:tc>
        <w:tc>
          <w:tcPr>
            <w:tcW w:w="4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8.750%</w:t>
            </w:r>
          </w:p>
        </w:tc>
        <w:tc>
          <w:tcPr>
            <w:tcW w:w="1520" w:type="dxa"/>
            <w:vAlign w:val="bottom"/>
          </w:tcPr>
          <w:p>
            <w:pPr>
              <w:jc w:val="right"/>
              <w:spacing w:after="0"/>
              <w:rPr>
                <w:sz w:val="20"/>
                <w:szCs w:val="20"/>
                <w:color w:val="auto"/>
              </w:rPr>
            </w:pPr>
            <w:r>
              <w:rPr>
                <w:rFonts w:ascii="Arial" w:cs="Arial" w:eastAsia="Arial" w:hAnsi="Arial"/>
                <w:sz w:val="18"/>
                <w:szCs w:val="18"/>
                <w:color w:val="auto"/>
              </w:rPr>
              <w:t>December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4.50% notes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15,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6.00% notes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175,000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175,000</w:t>
            </w:r>
          </w:p>
        </w:tc>
        <w:tc>
          <w:tcPr>
            <w:tcW w:w="4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6.000%</w:t>
            </w:r>
          </w:p>
        </w:tc>
        <w:tc>
          <w:tcPr>
            <w:tcW w:w="1520" w:type="dxa"/>
            <w:vAlign w:val="bottom"/>
          </w:tcPr>
          <w:p>
            <w:pPr>
              <w:jc w:val="right"/>
              <w:spacing w:after="0"/>
              <w:rPr>
                <w:sz w:val="20"/>
                <w:szCs w:val="20"/>
                <w:color w:val="auto"/>
              </w:rPr>
            </w:pPr>
            <w:r>
              <w:rPr>
                <w:rFonts w:ascii="Arial" w:cs="Arial" w:eastAsia="Arial" w:hAnsi="Arial"/>
                <w:sz w:val="18"/>
                <w:szCs w:val="18"/>
                <w:color w:val="auto"/>
              </w:rPr>
              <w:t>July 15,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5.40% notes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135,000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5.65% notes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125,000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125,000</w:t>
            </w:r>
          </w:p>
        </w:tc>
        <w:tc>
          <w:tcPr>
            <w:tcW w:w="4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5.650%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6.20% notes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200,000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7.48% debentures (9)</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29,200</w:t>
            </w:r>
          </w:p>
        </w:tc>
        <w:tc>
          <w:tcPr>
            <w:tcW w:w="4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7.480%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15,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6.82% medium term notes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 2027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Subtotal</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954,200</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unamortized premium</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Total senior notes and debentures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956,627</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ind w:left="860"/>
              <w:spacing w:after="0"/>
              <w:rPr>
                <w:sz w:val="20"/>
                <w:szCs w:val="20"/>
                <w:color w:val="auto"/>
              </w:rPr>
            </w:pPr>
            <w:r>
              <w:rPr>
                <w:rFonts w:ascii="Arial" w:cs="Arial" w:eastAsia="Arial" w:hAnsi="Arial"/>
                <w:sz w:val="18"/>
                <w:szCs w:val="18"/>
                <w:color w:val="auto"/>
              </w:rPr>
              <w:t>Various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63,783</w:t>
            </w:r>
          </w:p>
        </w:tc>
        <w:tc>
          <w:tcPr>
            <w:tcW w:w="400" w:type="dxa"/>
            <w:vAlign w:val="bottom"/>
          </w:tcPr>
          <w:p>
            <w:pPr>
              <w:spacing w:after="0"/>
              <w:rPr>
                <w:sz w:val="19"/>
                <w:szCs w:val="19"/>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Various</w:t>
            </w:r>
          </w:p>
        </w:tc>
        <w:tc>
          <w:tcPr>
            <w:tcW w:w="1520" w:type="dxa"/>
            <w:vAlign w:val="bottom"/>
          </w:tcPr>
          <w:p>
            <w:pPr>
              <w:jc w:val="right"/>
              <w:spacing w:after="0"/>
              <w:rPr>
                <w:sz w:val="20"/>
                <w:szCs w:val="20"/>
                <w:color w:val="auto"/>
              </w:rPr>
            </w:pPr>
            <w:r>
              <w:rPr>
                <w:rFonts w:ascii="Arial" w:cs="Arial" w:eastAsia="Arial" w:hAnsi="Arial"/>
                <w:sz w:val="18"/>
                <w:szCs w:val="18"/>
                <w:color w:val="auto"/>
                <w:w w:val="87"/>
              </w:rPr>
              <w:t>Various through 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1,754,521</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5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Mortgage loans do not include our 30% share ($24.4 million) of the $81.4 million debt of the partnership with a discretionary fund created and advised by ING Clarion Partners.</w:t>
      </w: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mortgage loan and accrued interest was paid off on October 6, 2008.</w:t>
      </w:r>
    </w:p>
    <w:p>
      <w:pPr>
        <w:sectPr>
          <w:pgSz w:w="11900" w:h="16838" w:orient="portrait"/>
          <w:cols w:equalWidth="0" w:num="1">
            <w:col w:w="11420"/>
          </w:cols>
          <w:pgMar w:left="240" w:top="459"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hanging="452"/>
        <w:spacing w:after="0" w:line="28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interest rate of 6.04% represents the weighted average interest rate for two mortgage loans secured by this property. The loan balance represents an interest only loan of $4.35 million at a stated rate of 6.18% and the remaining balance at a stated rate of 5.96%.</w:t>
      </w:r>
    </w:p>
    <w:p>
      <w:pPr>
        <w:jc w:val="both"/>
        <w:ind w:left="460" w:right="4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 time thereafter.</w:t>
      </w:r>
    </w:p>
    <w:p>
      <w:pPr>
        <w:ind w:left="460" w:right="2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July 2008, we exercised our option and extended the maturity date from November 6, 2008 to November 6, 2009. On February 21, 2008, we entered into two interest rate swap agreements to fix the variable portion of this debt through November 6, 2008. The first swap fixed the variable rate at 2.725% on a notional amount of $100 million and the second swap fixed the variable rate at 2.852% on a notional amount of $100 million for a combined fixed rate of 2.789%. The weighted average effective interest rate, before amortization of debt fees, was 3.41% and 3.68% for the three and nine months ended September 30, 2008, respectively.</w:t>
      </w:r>
    </w:p>
    <w:p>
      <w:pPr>
        <w:spacing w:after="0" w:line="2" w:lineRule="exact"/>
        <w:rPr>
          <w:rFonts w:ascii="Arial" w:cs="Arial" w:eastAsia="Arial" w:hAnsi="Arial"/>
          <w:sz w:val="18"/>
          <w:szCs w:val="18"/>
          <w:color w:val="auto"/>
        </w:rPr>
      </w:pPr>
    </w:p>
    <w:p>
      <w:pPr>
        <w:ind w:left="460" w:right="80" w:hanging="452"/>
        <w:spacing w:after="0" w:line="300"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maximum amount drawn under our revolving credit facility during both the three and nine months ended September 30, 2008 was $142.0 million. The weighted average effective interest rate on borrowings under our revolving credit facility, before amortization of debt fees, was 3.01% and 3.02% for the three and nine months ended September 30, 2008, respectively. This credit facility matures on July 27, 2010, subject to a one-year extension at our option.</w:t>
      </w:r>
    </w:p>
    <w:p>
      <w:pPr>
        <w:spacing w:after="0" w:line="1" w:lineRule="exact"/>
        <w:rPr>
          <w:rFonts w:ascii="Arial" w:cs="Arial" w:eastAsia="Arial" w:hAnsi="Arial"/>
          <w:sz w:val="15"/>
          <w:szCs w:val="15"/>
          <w:color w:val="auto"/>
        </w:rPr>
      </w:pPr>
    </w:p>
    <w:p>
      <w:pPr>
        <w:ind w:left="460" w:right="14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460" w:right="8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August 15, 2008, one of the holders redeemed $20.8 million of the outstanding $50.0 million balance. The notice period for additional redemptions has expired.</w:t>
      </w:r>
    </w:p>
    <w:p>
      <w:pPr>
        <w:spacing w:after="0" w:line="1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credit facility and other debt agreements include financial and other covenants that may limit our operating activities in the future. As of September 30, 2008,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or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debt maturities as of September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Secured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w w:val="85"/>
              </w:rPr>
              <w:t>Lease</w:t>
            </w: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0"/>
              </w:rPr>
              <w:t>Unsecured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vMerge w:val="continue"/>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2009</w:t>
            </w:r>
          </w:p>
        </w:tc>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11,579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376,141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388,936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129,861(1)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2011</w:t>
            </w:r>
          </w:p>
        </w:tc>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45,039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75,720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122,158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175,728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2013 and thereafter</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310,916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58,068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538,629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907,613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392,580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63,783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1,296,112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1,752,475(2)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5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$300 million four-year revolving credit facility matures on July 27, 2010, subject to a one-year extension at our option. As of September 30, 2008, there was $129.0 million drawn under this credit facility.</w:t>
      </w:r>
    </w:p>
    <w:p>
      <w:pPr>
        <w:ind w:left="460" w:right="56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September 30,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under SFAS No. 133, “Accounting for Derivative Instruments and Hedging Activities” and do not enter into derivative instruments for speculative purposes.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On February 21, 2008, we entered into two interest rate swap agreements to fix the variable portion of our $200 million term note through November 6, 2008. The first swap fixed the variable rate at 2.725% on a notional amount of $100 million and the second swap fixed the variable rate at 2.852% on a notional amount of $100 million for a combined fixed rate of 2.789%. Both swaps were designated and qualified as cash flow hedges and are recorded at fair value.</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assess effectiveness of our cash flow hedges both at inception and on an ongoing basis. The effective portion of changes in fair value of our cash flow hedges is recorded in other comprehensive income, and the ineffective portion of changes in the fair value of our cash flow hedges is recognized in earnings in the period affected. Hedge ineffectiveness did not have an impact on earnings for the nine months ended September 30, 2008. The fair value of these swaps at September 30, 2008 is an asset of $86,000, which is included in prepaid expenses and other assets on the balance sheet and accumulated other comprehensive income in the statement of shareholders’ equity. The fair value of the interest rate swap agreements are based upon the estimated amounts we would receive or pay to terminate the contracts at the reporting date and are determined using interest rate market pricing models and observable inputs. Amounts reported in accumulated other comprehensive income will be reclassified to interest expense as interest payments are made on the variable rate debt through the termination date of November 6,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900" w:right="80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REIT taxable income (including net capital gain) to remain qualified as a REIT. Therefore, a significant increase in FFO will generally require an increase in distributions to shareholders although not necessarily on a proportionate basis.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212"/>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41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9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4"/>
              </w:rPr>
              <w:t>except per share</w:t>
            </w: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7"/>
              </w:rPr>
              <w:t>data)</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7"/>
              </w:rPr>
              <w:t>37,102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23,515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96,062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(Gain) loss on sale of real estate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72"/>
              <w:spacing w:after="0"/>
              <w:rPr>
                <w:sz w:val="20"/>
                <w:szCs w:val="20"/>
                <w:color w:val="auto"/>
              </w:rPr>
            </w:pPr>
            <w:r>
              <w:rPr>
                <w:rFonts w:ascii="Arial" w:cs="Arial" w:eastAsia="Arial" w:hAnsi="Arial"/>
                <w:sz w:val="18"/>
                <w:szCs w:val="18"/>
                <w:color w:val="auto"/>
                <w:w w:val="91"/>
              </w:rPr>
              <w:t>(7,438)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(7,438)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7"/>
              </w:rPr>
              <w:t>26,037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74,037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12"/>
              <w:spacing w:after="0"/>
              <w:rPr>
                <w:sz w:val="20"/>
                <w:szCs w:val="20"/>
                <w:color w:val="auto"/>
              </w:rPr>
            </w:pPr>
            <w:r>
              <w:rPr>
                <w:rFonts w:ascii="Arial" w:cs="Arial" w:eastAsia="Arial" w:hAnsi="Arial"/>
                <w:sz w:val="18"/>
                <w:szCs w:val="18"/>
                <w:color w:val="auto"/>
              </w:rPr>
              <w:t>2,136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6,441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80" w:type="dxa"/>
            <w:vAlign w:val="bottom"/>
            <w:gridSpan w:val="2"/>
          </w:tcPr>
          <w:p>
            <w:pPr>
              <w:ind w:left="440"/>
              <w:spacing w:after="0"/>
              <w:rPr>
                <w:sz w:val="20"/>
                <w:szCs w:val="20"/>
                <w:color w:val="auto"/>
              </w:rPr>
            </w:pPr>
            <w:r>
              <w:rPr>
                <w:rFonts w:ascii="Arial" w:cs="Arial" w:eastAsia="Arial" w:hAnsi="Arial"/>
                <w:sz w:val="18"/>
                <w:szCs w:val="18"/>
                <w:color w:val="auto"/>
              </w:rPr>
              <w:t>Funds from operations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12"/>
              <w:spacing w:after="0"/>
              <w:rPr>
                <w:sz w:val="20"/>
                <w:szCs w:val="20"/>
                <w:color w:val="auto"/>
              </w:rPr>
            </w:pPr>
            <w:r>
              <w:rPr>
                <w:rFonts w:ascii="Arial" w:cs="Arial" w:eastAsia="Arial" w:hAnsi="Arial"/>
                <w:sz w:val="18"/>
                <w:szCs w:val="18"/>
                <w:color w:val="auto"/>
                <w:w w:val="87"/>
              </w:rPr>
              <w:t>58,168</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52,335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w w:val="86"/>
              </w:rPr>
              <w:t>170,094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153,367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from operations available for common shareholders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58,276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52,478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6"/>
              </w:rPr>
              <w:t>170,395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diluted (1)</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12"/>
              <w:spacing w:after="0"/>
              <w:rPr>
                <w:sz w:val="20"/>
                <w:szCs w:val="20"/>
                <w:color w:val="auto"/>
              </w:rPr>
            </w:pPr>
            <w:r>
              <w:rPr>
                <w:rFonts w:ascii="Arial" w:cs="Arial" w:eastAsia="Arial" w:hAnsi="Arial"/>
                <w:sz w:val="18"/>
                <w:szCs w:val="18"/>
                <w:color w:val="auto"/>
                <w:w w:val="87"/>
              </w:rPr>
              <w:t>59,327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57,148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59,280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0.98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80" w:hanging="452"/>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in the computation of diluted EPS for the periods presented.</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We are exposed to credit loss in the event of non-performance by the counter party to our interest rate swap agreements used to fix the variable portion of our $200 million term note. The counter party of these swaps has a long-term debt rating of “AA-” by Standards and Poor’s Rating Service and “Aa2” by Moody’s Investor Service as of September 30,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September 30, 2008, we had $1.4 billion of fixed-rate debt outstanding. On February 21, 2008, we entered into two interest rate swap agreements to fix the variable portion of our $200 million term note through November 6, 2008 which effectively fixed the interest rate on the term note. If interest rates on our fixed-rate debt instruments at September 30, 2008 had been 1.0% higher, the fair value of those debt instruments on that date would have decreased by approximately $54.4 million. If interest rates on our fixed-rate debt instruments at September 30, 2008 had been 1.0% lower, the fair value of those debt instruments on that date would have increased by approximately $55.0 million.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primary interest rate risk is due to fluctuations in interest rates on our variable rate debt. At September 30, 2008, we had $138.4 million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variable rate debt outstanding excluding the $200 million term loan as the interest rate is effectively fixed through November 6, 2008, by our two swap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Based upon this amount of variable rate debt, if interest rates increased 1.0%, our annual interest expense would increase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million, and our net income and cash flows for the year would decrease by approximately $1.4 million. Conversely, if interest rates decreased 1.0%,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interest expense would decrease by approximately $1.4 million, and our net income and cash flows for the year would increase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 million.</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2008. Based on this evaluation, our management, including our Chief Executive Officer and Chief Financial Officer, concluded that our disclosure controls and procedures were effective as of September 30, 2008 to provide reasonable assurance that information required to be disclosed in our reports filed or submitted under the Securities Exchange Act of 1934 is recorded, processed, summarized and reported within the time periods specified in the rules and forms of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May 2003, First National Mortgage Company filed a complaint against us in the United States District Court for the Northern District of California. The complaint alleged that a one page document entitled “Final Proposal,” which included language that it was subject to approval of formal documentation, constituted a ground lease of a parcel of property located adjacent to our Santana Row property and gave First National Mortgage Company the option to require that we acquire the property at a price determined in accordance with a formula included in the “Final Proposal.” A trial as to liability only was held in June 2006 and a jury rendered a verdict against us. A trial on the issue of damages was held in April 2008; however, the judge has not yet issued a ruling. Reports from our experts and the plaintiff’s experts show potential damages ranging from $600,000 to $24 million. Pending the judge’s ruling, we cannot make a reasonable estimate of potential damages. We intend to appeal the jury verdict; however, no appeal of the judgment can be taken until the judge issues his ruling on damages. If we are not successful in overturning the jury verdict, we will be liable for damages. Depending on the amount of damages awarded, it is possible, there could be a material adverse impact on our net income in the period in which it becomes both probable that we will have to pay the damages and such damages can be reasonably estimated.</w:t>
      </w:r>
    </w:p>
    <w:p>
      <w:pPr>
        <w:spacing w:after="0" w:line="123"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We are also involved in a litigation matter relating to a shopping center in New Jersey where a former tenant has alleged that we and our management agent acted improperly by failing to disclose a condemnation action at the property that was pending when the lease was signed. A trial as to liability only was concluded in April 2007, and in May 2008, a judgment was entered that ruled in our favor on certain legal issues and against us on other legal issues. As to those matters where the court ruled against us and determined that we are liable, a trial as to damages will be held but no trial date has yet been set. Because we have not completed discovery on the issue of damages, we cannot make a reasonable estimate of potential damages at this time. In lieu of pursuing an indemnification claim against the third party management agent that negotiated the lease on our behalf, we have entered into an agreement with the management agent that provides a framework for sharing litigation costs and payment of any damages that may be awarded to the plaintiff. Depending on the amount of damages actually awarded in this matter, and subject to the arrangement in place with the third party management agent, it is possible that there may be a material adverse impact on our net income in the period in which it becomes both probable that we will have to pay the damages and such damages can be reasonably estimated.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In any event, management does not believe that either matter, individually or in the aggregate, will have a material impact on our financial position.</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2007 filed with the Securities and Exchange Commission on February 27, 2008. These factors include, but are not limited to, the following:</w:t>
      </w:r>
    </w:p>
    <w:p>
      <w:pPr>
        <w:spacing w:after="0" w:line="5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occupancy levels at our properties and the amount of rent that we receive from our properties may be lower than expected,</w:t>
      </w:r>
    </w:p>
    <w:p>
      <w:pPr>
        <w:spacing w:after="0" w:line="113" w:lineRule="exact"/>
        <w:rPr>
          <w:rFonts w:ascii="Arial" w:cs="Arial" w:eastAsia="Arial" w:hAnsi="Arial"/>
          <w:sz w:val="16"/>
          <w:szCs w:val="16"/>
          <w:color w:val="auto"/>
        </w:rPr>
      </w:pPr>
    </w:p>
    <w:p>
      <w:pPr>
        <w:ind w:left="1700" w:right="500" w:hanging="558"/>
        <w:spacing w:after="0" w:line="268" w:lineRule="auto"/>
        <w:tabs>
          <w:tab w:leader="none" w:pos="1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50" w:lineRule="exact"/>
        <w:rPr>
          <w:rFonts w:ascii="Arial" w:cs="Arial" w:eastAsia="Arial" w:hAnsi="Arial"/>
          <w:sz w:val="18"/>
          <w:szCs w:val="18"/>
          <w:color w:val="auto"/>
        </w:rPr>
      </w:pPr>
    </w:p>
    <w:p>
      <w:pPr>
        <w:ind w:left="1700" w:hanging="558"/>
        <w:spacing w:after="0"/>
        <w:tabs>
          <w:tab w:leader="none" w:pos="1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24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25" w:lineRule="exact"/>
        <w:rPr>
          <w:sz w:val="20"/>
          <w:szCs w:val="20"/>
          <w:color w:val="auto"/>
        </w:rPr>
      </w:pPr>
    </w:p>
    <w:p>
      <w:pPr>
        <w:spacing w:after="0"/>
        <w:tabs>
          <w:tab w:leader="none" w:pos="7780" w:val="left"/>
        </w:tabs>
        <w:rPr>
          <w:sz w:val="20"/>
          <w:szCs w:val="20"/>
          <w:color w:val="auto"/>
        </w:rPr>
      </w:pPr>
      <w:r>
        <w:rPr>
          <w:rFonts w:ascii="Arial" w:cs="Arial" w:eastAsia="Arial" w:hAnsi="Arial"/>
          <w:sz w:val="18"/>
          <w:szCs w:val="18"/>
          <w:color w:val="auto"/>
        </w:rPr>
        <w:t>October 29, 2008</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ONALD</w:t>
      </w:r>
      <w:r>
        <w:rPr>
          <w:rFonts w:ascii="Arial" w:cs="Arial" w:eastAsia="Arial" w:hAnsi="Arial"/>
          <w:sz w:val="16"/>
          <w:szCs w:val="16"/>
          <w:b w:val="1"/>
          <w:bCs w:val="1"/>
          <w:color w:val="auto"/>
        </w:rPr>
        <w:t xml:space="preserve"> C. W</w:t>
      </w:r>
      <w:r>
        <w:rPr>
          <w:rFonts w:ascii="Arial" w:cs="Arial" w:eastAsia="Arial" w:hAnsi="Arial"/>
          <w:sz w:val="13"/>
          <w:szCs w:val="13"/>
          <w:b w:val="1"/>
          <w:bCs w:val="1"/>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8"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226" w:lineRule="exact"/>
        <w:rPr>
          <w:sz w:val="20"/>
          <w:szCs w:val="20"/>
          <w:color w:val="auto"/>
        </w:rPr>
      </w:pPr>
    </w:p>
    <w:p>
      <w:pPr>
        <w:spacing w:after="0"/>
        <w:tabs>
          <w:tab w:leader="none" w:pos="7660" w:val="left"/>
        </w:tabs>
        <w:rPr>
          <w:sz w:val="20"/>
          <w:szCs w:val="20"/>
          <w:color w:val="auto"/>
        </w:rPr>
      </w:pPr>
      <w:r>
        <w:rPr>
          <w:rFonts w:ascii="Arial" w:cs="Arial" w:eastAsia="Arial" w:hAnsi="Arial"/>
          <w:sz w:val="18"/>
          <w:szCs w:val="18"/>
          <w:color w:val="auto"/>
        </w:rPr>
        <w:t>October 29, 2008</w:t>
      </w:r>
      <w:r>
        <w:rPr>
          <w:sz w:val="20"/>
          <w:szCs w:val="20"/>
          <w:color w:val="auto"/>
        </w:rPr>
        <w:tab/>
      </w:r>
      <w:r>
        <w:rPr>
          <w:rFonts w:ascii="Arial" w:cs="Arial" w:eastAsia="Arial" w:hAnsi="Arial"/>
          <w:sz w:val="16"/>
          <w:szCs w:val="16"/>
          <w:b w:val="1"/>
          <w:bCs w:val="1"/>
          <w:color w:val="auto"/>
        </w:rPr>
        <w:t>/s/ A</w:t>
      </w:r>
      <w:r>
        <w:rPr>
          <w:rFonts w:ascii="Arial" w:cs="Arial" w:eastAsia="Arial" w:hAnsi="Arial"/>
          <w:sz w:val="13"/>
          <w:szCs w:val="13"/>
          <w:b w:val="1"/>
          <w:bCs w:val="1"/>
          <w:color w:val="auto"/>
        </w:rPr>
        <w:t>NDREW</w:t>
      </w:r>
      <w:r>
        <w:rPr>
          <w:rFonts w:ascii="Arial" w:cs="Arial" w:eastAsia="Arial" w:hAnsi="Arial"/>
          <w:sz w:val="16"/>
          <w:szCs w:val="16"/>
          <w:b w:val="1"/>
          <w:bCs w:val="1"/>
          <w:color w:val="auto"/>
        </w:rPr>
        <w:t xml:space="preserve"> P. B</w:t>
      </w:r>
      <w:r>
        <w:rPr>
          <w:rFonts w:ascii="Arial" w:cs="Arial" w:eastAsia="Arial" w:hAnsi="Arial"/>
          <w:sz w:val="13"/>
          <w:szCs w:val="13"/>
          <w:b w:val="1"/>
          <w:bCs w:val="1"/>
          <w:color w:val="auto"/>
        </w:rPr>
        <w:t>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8"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Andrew P. Blocher,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240" w:top="459" w:right="6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jc w:val="center"/>
              <w:ind w:right="933"/>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700" w:type="dxa"/>
            <w:vAlign w:val="bottom"/>
            <w:tcBorders>
              <w:top w:val="single" w:sz="8" w:color="auto"/>
            </w:tcBorders>
          </w:tcPr>
          <w:p>
            <w:pPr>
              <w:jc w:val="right"/>
              <w:ind w:right="312"/>
              <w:spacing w:after="0" w:line="201"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7"/>
                <w:szCs w:val="17"/>
                <w:color w:val="auto"/>
              </w:rPr>
            </w:pPr>
          </w:p>
        </w:tc>
        <w:tc>
          <w:tcPr>
            <w:tcW w:w="10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Declaration of Trust of Federal Realty Investment Trust dated May 5, 1999 as amended by the Articles of Amendment of Declaration of Trust of</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Federal Realty Investment Trust dated May 6, 2004, as corrected by the Certificate of Correction of Articles of Amendment of Declaration of Trust</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of Federal Realty Investment Trust dated June 17, 2004 (previously filed as Exhibit 3.1 to the Trust’s Quarterly Report on Form 10-Q for the</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quarter ended June 30, 2005 (File No. 1-07533) (the “2005 2Q Form 10-Q”) and incorporated herein by reference)</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Amended and Restated Bylaws of Federal Realty Investment Trust dated February 12, 2003, as amended October 29, 2003, May 5, 2004 and</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February 17, 2006 (previously filed as Exhibit 3.2 to the Trust’s Annual Report on Form 10-K for the year ended December 31, 2005 (File No. 1-</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07533) (the “2005 Form 10-K”) and incorporated herein by reference)</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Specimen Common Share certificate (previously filed as Exhibit 4(i) to the Trust’s Annual Report on Form 10-K for the year ended December 31,</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1999 (File No. 1-07533) and incorporated herein by reference)</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Exhibit 4.1 to the Trust’s Current Report on Form 8-K filed on March 13, 2007, (File No. 1-07533) and incorporated herein by reference)</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Amended and Restated Rights Agreement, dated March 11, 1999, between the Trust and American Stock Transfer &amp; Trust Company (previously</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filed as Exhibit 1 to the Trust’s Registration Statement on Form 8-A/A filed on March 11, 1999 (File No. 1-07533) and incorporated herein by</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First Amendment to Amended and Restated Rights Agreement, dated as of November 2003, between the Trust and American Stock Transfer &amp;</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Trust Company (previously filed as Exhibit 4.5 to the Trust’s Annual Report on Form 10-K for the year ended December 31, 2003 (File No. 1-</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07533) and incorporated herein by reference)</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Indenture dated December 13, 1993 related to the Trust’s 7.48% Debentures due August 15, 2026; and 6.82% Medium Term Notes due August 1,</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2027; (previously filed as Exhibit 4(a) to the Trust’s Registration Statement on Form S-3 (File No. 33-51029), and amended on Form S-3</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(File No. 33-63687), filed on December 13, 1993 and incorporated herein by reference)</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6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w:t>
            </w:r>
            <w:r>
              <w:rPr>
                <w:rFonts w:ascii="Arial" w:cs="Arial" w:eastAsia="Arial" w:hAnsi="Arial"/>
                <w:sz w:val="13"/>
                <w:szCs w:val="13"/>
                <w:color w:val="auto"/>
                <w:w w:val="87"/>
              </w:rPr>
              <w:t>8</w:t>
            </w:r>
            <w:r>
              <w:rPr>
                <w:rFonts w:ascii="Arial" w:cs="Arial" w:eastAsia="Arial" w:hAnsi="Arial"/>
                <w:sz w:val="18"/>
                <w:szCs w:val="18"/>
                <w:color w:val="auto"/>
                <w:w w:val="87"/>
              </w:rPr>
              <w:t xml:space="preserve"> % Notes due November 15, 2007; 4.50% Notes</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due 2011; 5.65% Notes due 2016; 6.00% Notes due 2012; 6.20% Notes due 2017; and 5.40% Notes due 2013 (previously filed as Exhibit 4(a) to</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the Trust’s Registration Statement on Form S-3 (File No. 333-63619) filed on September 17, 1998 and incorporated herein by reference)</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Pursuant to Regulation S-K Item 601(b)(4)(iii), the Trust by this filing agrees, upon request, to furnish to the Securities and Exchange Commission</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 copy of other instruments defining the rights of holders of long-term debt of the Trust</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8"/>
              </w:rPr>
              <w:t>Amended and Restated 1993 Long-Term Incentive Plan, as amended on October 6, 1997 and further amended on May 6, 1998 (previously filed as</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Exhibit 10.26 to the Trust’s Annual Report on Form 10-K for the year ended December 31, 1998 (File No. 1-07533) and incorporated herein by</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10.2</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Fiscal Agency Agreement dated as of October 28, 1993 between the Trust and Citibank, N.A. (previously filed as an exhibit to the Trust’s</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Quarterly Report on Form 10-Q for the quarter ended September 30, 1993 (File No. 1-07533) and incorporated herein by reference)</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10.3</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Form of Severance Agreement between the Trust and Certain of its Officers dated December 31, 1994 (previously filed as a portion of Exhibit 10</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to the Trust’s Annual Report on Form 10-K for the year ended December 31, 1994 (File No. 1-07533) and incorporated herein by reference)</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10.4</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Severance Agreement between the Trust and Donald C. Wood dated February 22, 1999 (previously filed as a portion of Exhibit 10 to the Trust’s</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Quarterly Report on Form 10-Q for the quarter ended March 31, 1999 (File No. 1-07533) (the “1999 1Q Form 10-Q”) and incorporated herein by</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10.5</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Exhibit 10 to the 1999 1Q Form 10-Q and incorporated herein by reference)</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10.6</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Amendment to Executive Agreement between Federal Realty Investment Trust and Donald C. Wood dated February 16, 2005 (previously filed as</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Exhibit 10.12 to the Trust’s Annual Report on Form 10-K for the year ended December 31, 2004 (File No. 1-07533) (the “2004 Form 10-K”) and</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6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20" w:type="dxa"/>
            <w:vAlign w:val="bottom"/>
          </w:tcPr>
          <w:p>
            <w:pPr>
              <w:spacing w:after="0"/>
              <w:rPr>
                <w:sz w:val="15"/>
                <w:szCs w:val="15"/>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10.7</w:t>
            </w:r>
          </w:p>
        </w:tc>
        <w:tc>
          <w:tcPr>
            <w:tcW w:w="3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0"/>
              </w:rPr>
              <w:t>Split Dollar Life Insurance Agreement dated August 12, 1998 between the Trust and Donald C. Wood (previously filed as a portion of Exhibit 10</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to the Trust’s Annual Report on Form 10-K for the year ended December 31, 2000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Severance Agreement between the Trust and Jeffrey S. Berkes dated March 1, 2000 (previously filed as a portion of Exhibit 10 to the Trust’s</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Annual Report on Form 10-K for the year ended December 31, 2001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8"/>
              </w:rPr>
              <w:t>Amendment to Severance Agreement between Federal Realty Investment Trust and Jeffrey S. Berkes dated February 16, 2005 (previously filed as</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Exhibit 10.17 to 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Severance Agreement dated March 1, 2002 between the Trust and Larry E. Finger (previously filed as a portion of Exhibit 10 to the Trust’s</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Quarterly Report on Form 10-Q for the quarter ended June 30, 2002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Amendment to Severance Agreement between Federal Realty Investment Trust and Larry E. Finger dated February 16, 2005 (previously filed as</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Exhibit 10.19 to 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Amendment to Stock Option Agreement dated August 15, 2002 between the Trust and Dawn M. Becker (previously filed as a portion of Exhibit 10</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to the Trust’s Quarterly Report on Form 10-Q for the quarter ended September 30, 2002 (File No. 1-075330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Health Coverage Continuation Agreement between Federal Realty Investment Trust and Donald C. Wood dated February 16, 2005 (previously</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filed as Exhibit 10.26 to 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Severance Agreement between the Trust and Dawn M. Becker dated April 19, 2000 (previously filed as Exhibit 10.26 to the Trust’s 2005 2Q Form</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10-Q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Amendment to Severance Agreement between the Trust and Dawn M. Becker dated February 16, 2005 (previously filed as Exhibit 10.27 to the</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8"/>
              </w:rPr>
              <w:t>Form of Restricted Share Award Agreement for awards made under the Trust’s 2003 Long-Term Incentive Award Program for shares issued out of</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Form of Restricted Share Award Agreement for awards made under the Trust’s Annual Incentive Bonus Program for shares issued out of 2001</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Long-Term Incentive Plan (previously filed as Exhibit 10.29 to 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Form of Option Award Agreement for options awarded under 2001 Long-Term Incentive Plan (previously filed as Exhibit 10.30 to the 2004 Form</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Form of Option Award Agreement for awards made under the Trust’s 2003 Long-Term Incentive Award Program for shares issued out of the 2001</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Long-Term Incentive Plan (previously filed as Exhibit 10.32 to the 2005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Credit Agreement dated as of July 28, 2006, by and between the Trust, Wachovia Capital Markets LLC, Wachovia Bank, National Association and</w:t>
            </w:r>
          </w:p>
        </w:tc>
      </w:tr>
      <w:tr>
        <w:trPr>
          <w:trHeight w:val="216"/>
        </w:trPr>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various other financial institutions (previously filed as Exhibit 10.1 to the Trust’s Current Report on Form 8-K (File No. 1-07533), filed on July 31,</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2006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Amended and Restated 2001 Long-Term Incentive Plan (previously filed as Exhibit 10.34 to the Trust’s Quarterly Report on Form 10-Q for the</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quarter ended September 30, 2007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8"/>
              </w:rPr>
              <w:t>Restricted Share Award Agreement between the Trust and Joseph M. Squeri dated October 1, 2007 (previously filed as Exhibit 10.23 to the Trust’s</w:t>
            </w:r>
          </w:p>
        </w:tc>
      </w:tr>
      <w:tr>
        <w:trPr>
          <w:trHeight w:val="216"/>
        </w:trPr>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Annual Report on Form 10-K for the year ended December 31, 2007 (File No 1-07533) (the “2007 Form 10-K”) and incorporated herein by</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8"/>
              </w:rPr>
              <w:t>Severance Agreement between the Trust and Joseph M. Squeri dated October 1, 2007 (previously filed as Exhibit 10.24 to the 2007 Form 10-K and</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Credit Agreement dated as of November 9, 2007, by and between the Trust, Wachovia Capital Markets LLC, Wachovia Bank, National</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Association and various other financial institutions (previously filed as Exhibit 10.25 to the 2007 Form 10-K and incorporated herein by 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20" w:type="dxa"/>
            <w:vAlign w:val="bottom"/>
          </w:tcPr>
          <w:p>
            <w:pPr>
              <w:spacing w:after="0"/>
              <w:rPr>
                <w:sz w:val="15"/>
                <w:szCs w:val="15"/>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9420" w:type="dxa"/>
            <w:vAlign w:val="bottom"/>
            <w:tcBorders>
              <w:bottom w:val="single" w:sz="8" w:color="auto"/>
            </w:tcBorders>
          </w:tcPr>
          <w:p>
            <w:pPr>
              <w:spacing w:after="0"/>
              <w:rPr>
                <w:sz w:val="15"/>
                <w:szCs w:val="15"/>
                <w:color w:val="auto"/>
              </w:rPr>
            </w:pP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10.26</w:t>
            </w:r>
          </w:p>
        </w:tc>
        <w:tc>
          <w:tcPr>
            <w:tcW w:w="320" w:type="dxa"/>
            <w:vAlign w:val="bottom"/>
          </w:tcPr>
          <w:p>
            <w:pPr>
              <w:spacing w:after="0"/>
              <w:rPr>
                <w:sz w:val="17"/>
                <w:szCs w:val="17"/>
                <w:color w:val="auto"/>
              </w:rPr>
            </w:pPr>
          </w:p>
        </w:tc>
        <w:tc>
          <w:tcPr>
            <w:tcW w:w="10380" w:type="dxa"/>
            <w:vAlign w:val="bottom"/>
            <w:gridSpan w:val="2"/>
          </w:tcPr>
          <w:p>
            <w:pPr>
              <w:spacing w:after="0" w:line="201" w:lineRule="exact"/>
              <w:rPr>
                <w:sz w:val="20"/>
                <w:szCs w:val="20"/>
                <w:color w:val="auto"/>
              </w:rPr>
            </w:pPr>
            <w:r>
              <w:rPr>
                <w:rFonts w:ascii="Arial" w:cs="Arial" w:eastAsia="Arial" w:hAnsi="Arial"/>
                <w:sz w:val="18"/>
                <w:szCs w:val="18"/>
                <w:color w:val="auto"/>
                <w:w w:val="89"/>
              </w:rPr>
              <w:t>Consulting Agreement between the Trust and Larry E. Finger dated January 1, 2008 (previously filed as Exhibit 10.26 to the 2007 Form 10-K and</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10.27</w:t>
            </w:r>
          </w:p>
        </w:tc>
        <w:tc>
          <w:tcPr>
            <w:tcW w:w="3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Change in Control Agreement between the Trust and Andrew P. Blocher dated February 12, 2007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942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942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(filed herewith)</w:t>
            </w:r>
          </w:p>
        </w:tc>
      </w:tr>
      <w:tr>
        <w:trPr>
          <w:trHeight w:val="365"/>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20" w:type="dxa"/>
            <w:vAlign w:val="bottom"/>
          </w:tcPr>
          <w:p>
            <w:pPr>
              <w:jc w:val="right"/>
              <w:ind w:right="5532"/>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459"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10.27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IN CONTROL AGREEMENT</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THIS CHANGE IN CONTROL AGREEMENT </w:t>
      </w:r>
      <w:r>
        <w:rPr>
          <w:rFonts w:ascii="Arial" w:cs="Arial" w:eastAsia="Arial" w:hAnsi="Arial"/>
          <w:sz w:val="18"/>
          <w:szCs w:val="18"/>
          <w:color w:val="auto"/>
        </w:rPr>
        <w:t>(“Agreement”) is made and entered into effective as of February 12, 2007 by and between</w:t>
      </w:r>
      <w:r>
        <w:rPr>
          <w:rFonts w:ascii="Arial" w:cs="Arial" w:eastAsia="Arial" w:hAnsi="Arial"/>
          <w:sz w:val="18"/>
          <w:szCs w:val="18"/>
          <w:b w:val="1"/>
          <w:bCs w:val="1"/>
          <w:color w:val="auto"/>
        </w:rPr>
        <w:t xml:space="preserve"> FEDERAL REALTY INVESTMENT TRUST</w:t>
      </w:r>
      <w:r>
        <w:rPr>
          <w:rFonts w:ascii="Arial" w:cs="Arial" w:eastAsia="Arial" w:hAnsi="Arial"/>
          <w:sz w:val="18"/>
          <w:szCs w:val="18"/>
          <w:color w:val="auto"/>
        </w:rPr>
        <w:t>, a Maryland real estate investment trust (“Employer”), and</w:t>
      </w:r>
      <w:r>
        <w:rPr>
          <w:rFonts w:ascii="Arial" w:cs="Arial" w:eastAsia="Arial" w:hAnsi="Arial"/>
          <w:sz w:val="18"/>
          <w:szCs w:val="18"/>
          <w:b w:val="1"/>
          <w:bCs w:val="1"/>
          <w:color w:val="auto"/>
        </w:rPr>
        <w:t xml:space="preserve"> ANDREW P. BLOCHER </w:t>
      </w:r>
      <w:r>
        <w:rPr>
          <w:rFonts w:ascii="Arial" w:cs="Arial" w:eastAsia="Arial" w:hAnsi="Arial"/>
          <w:sz w:val="18"/>
          <w:szCs w:val="18"/>
          <w:color w:val="auto"/>
        </w:rPr>
        <w:t>(“Employee”).</w:t>
      </w:r>
    </w:p>
    <w:p>
      <w:pPr>
        <w:spacing w:after="0" w:line="120"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serves as Employer’s Senior Vice President – Capital Markets and Investor Relations, and Employer and Employee wish to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the terms of a change in control agreement for Employee.</w:t>
      </w:r>
    </w:p>
    <w:p>
      <w:pPr>
        <w:spacing w:after="0" w:line="12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of the mutual promises herein contained and of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is hereby acknowledged, the parties hereto, intending to be legally bound hereby, agree as follows:</w:t>
      </w:r>
    </w:p>
    <w:p>
      <w:pPr>
        <w:spacing w:after="0" w:line="39"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 Upon Termination Upon Change in Control</w:t>
      </w:r>
      <w:r>
        <w:rPr>
          <w:rFonts w:ascii="Arial" w:cs="Arial" w:eastAsia="Arial" w:hAnsi="Arial"/>
          <w:sz w:val="18"/>
          <w:szCs w:val="18"/>
          <w:b w:val="1"/>
          <w:bCs w:val="1"/>
          <w:color w:val="auto"/>
        </w:rPr>
        <w:t>.</w:t>
      </w:r>
    </w:p>
    <w:p>
      <w:pPr>
        <w:spacing w:after="0" w:line="90" w:lineRule="exact"/>
        <w:rPr>
          <w:rFonts w:ascii="Arial" w:cs="Arial" w:eastAsia="Arial" w:hAnsi="Arial"/>
          <w:sz w:val="18"/>
          <w:szCs w:val="18"/>
          <w:b w:val="1"/>
          <w:bCs w:val="1"/>
          <w:color w:val="auto"/>
        </w:rPr>
      </w:pPr>
    </w:p>
    <w:p>
      <w:pPr>
        <w:ind w:right="680" w:firstLine="921"/>
        <w:spacing w:after="0" w:line="334" w:lineRule="auto"/>
        <w:tabs>
          <w:tab w:leader="none" w:pos="1161" w:val="left"/>
        </w:tabs>
        <w:numPr>
          <w:ilvl w:val="1"/>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in Control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No benefits shall be payable under this Agreement unless there shall have occurred a “Change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(hereinafter defined) of Employer. For purposes of this Agreement, a “Change in Control” of Employer shall mean any of the following events:</w:t>
      </w:r>
    </w:p>
    <w:p>
      <w:pPr>
        <w:spacing w:after="0" w:line="7" w:lineRule="exact"/>
        <w:rPr>
          <w:rFonts w:ascii="Arial" w:cs="Arial" w:eastAsia="Arial" w:hAnsi="Arial"/>
          <w:sz w:val="16"/>
          <w:szCs w:val="16"/>
          <w:b w:val="1"/>
          <w:bCs w:val="1"/>
          <w:color w:val="auto"/>
        </w:rPr>
      </w:pPr>
    </w:p>
    <w:p>
      <w:pPr>
        <w:ind w:right="80" w:firstLine="1492"/>
        <w:spacing w:after="0" w:line="288" w:lineRule="auto"/>
        <w:tabs>
          <w:tab w:leader="none" w:pos="1693" w:val="left"/>
        </w:tabs>
        <w:numPr>
          <w:ilvl w:val="2"/>
          <w:numId w:val="47"/>
        </w:numPr>
        <w:rPr>
          <w:rFonts w:ascii="Arial" w:cs="Arial" w:eastAsia="Arial" w:hAnsi="Arial"/>
          <w:sz w:val="16"/>
          <w:szCs w:val="16"/>
          <w:b w:val="1"/>
          <w:bCs w:val="1"/>
          <w:color w:val="auto"/>
        </w:rPr>
      </w:pPr>
      <w:r>
        <w:rPr>
          <w:rFonts w:ascii="Arial" w:cs="Arial" w:eastAsia="Arial" w:hAnsi="Arial"/>
          <w:sz w:val="16"/>
          <w:szCs w:val="16"/>
          <w:color w:val="auto"/>
        </w:rPr>
        <w:t>An acquisition in one or more transactions (other than directly from Employer or pursuant to options granted by Employer) of any voting securities of Employer (the “Voting Securities”) by any “Person” (as the term is used for purposes of Section 13(d) or 14(d) of the Securities Act of 1934, as amended (the “Exchange Act”)) immediately after which such Person has “Beneficial Ownership” (within the meaning of Rule 13d-3 promulgated under the Exchange Act) of 20% or more of the combined voting power of Employer’s then outstanding Voting Securities; provided, however, in determining whether a Change in Control has occurred, Voting Securities which are acquired in a “Non-Control Acquisition” (as hereinafter defined) shall not constitute an acquisition which would cause a Change in Control. A “Non-Control Acquisition” shall mean an acquisition by: (A) an employee benefit plan (or a trust forming a part thereof) maintained by (1) Employer or (2) any corporation or other Person of which a majority of its voting power or its equity securities or equity interest is owned directly or indirectly by Employer (a “Subsidiary”); (B) Employer or any Subsidiary; or (C) any Person in connection with a “Non-Control Transaction” (as hereinafter defined);</w:t>
      </w:r>
    </w:p>
    <w:p>
      <w:pPr>
        <w:spacing w:after="0" w:line="119" w:lineRule="exact"/>
        <w:rPr>
          <w:rFonts w:ascii="Arial" w:cs="Arial" w:eastAsia="Arial" w:hAnsi="Arial"/>
          <w:sz w:val="16"/>
          <w:szCs w:val="16"/>
          <w:b w:val="1"/>
          <w:bCs w:val="1"/>
          <w:color w:val="auto"/>
        </w:rPr>
      </w:pPr>
    </w:p>
    <w:p>
      <w:pPr>
        <w:ind w:right="40" w:firstLine="1492"/>
        <w:spacing w:after="0" w:line="290" w:lineRule="auto"/>
        <w:tabs>
          <w:tab w:leader="none" w:pos="1742" w:val="left"/>
        </w:tabs>
        <w:numPr>
          <w:ilvl w:val="2"/>
          <w:numId w:val="47"/>
        </w:numPr>
        <w:rPr>
          <w:rFonts w:ascii="Arial" w:cs="Arial" w:eastAsia="Arial" w:hAnsi="Arial"/>
          <w:sz w:val="16"/>
          <w:szCs w:val="16"/>
          <w:b w:val="1"/>
          <w:bCs w:val="1"/>
          <w:color w:val="auto"/>
        </w:rPr>
      </w:pPr>
      <w:r>
        <w:rPr>
          <w:rFonts w:ascii="Arial" w:cs="Arial" w:eastAsia="Arial" w:hAnsi="Arial"/>
          <w:sz w:val="16"/>
          <w:szCs w:val="16"/>
          <w:color w:val="auto"/>
        </w:rPr>
        <w:t>The individuals who, as of the date of this Agreement, are members of the Board of Trustees (the “Incumbent Trustees”), cease for any reason to constitute at least two-thirds (2/3) of the Board; provided, however, that if the election, or nomination for election by Employer’s shareholders, of any new member was approved by a vote of at least two-thirds (2/3) of the Incumbent Trustees, such new member shall, for purposes of this Agreement, be considered as a member of the Incumbent Trustees; provided, further, however,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Trustees (a “Proxy Contest”) including by reason of any agreement intended to avoid or settle any Election Contest or Proxy Contest; or</w:t>
      </w:r>
    </w:p>
    <w:p>
      <w:pPr>
        <w:sectPr>
          <w:pgSz w:w="11900" w:h="16838" w:orient="portrait"/>
          <w:cols w:equalWidth="0" w:num="1">
            <w:col w:w="11420"/>
          </w:cols>
          <w:pgMar w:left="240" w:top="125" w:right="239" w:bottom="1440" w:gutter="0" w:footer="0" w:header="0"/>
        </w:sectPr>
      </w:pPr>
    </w:p>
    <w:bookmarkStart w:id="42" w:name="page43"/>
    <w:bookmarkEnd w:id="42"/>
    <w:p>
      <w:pPr>
        <w:ind w:left="1800" w:hanging="308"/>
        <w:spacing w:after="0"/>
        <w:tabs>
          <w:tab w:leader="none" w:pos="180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Approval by shareholders of Employer of:</w:t>
      </w:r>
    </w:p>
    <w:p>
      <w:pPr>
        <w:spacing w:after="0" w:line="90" w:lineRule="exact"/>
        <w:rPr>
          <w:rFonts w:ascii="Arial" w:cs="Arial" w:eastAsia="Arial" w:hAnsi="Arial"/>
          <w:sz w:val="18"/>
          <w:szCs w:val="18"/>
          <w:b w:val="1"/>
          <w:bCs w:val="1"/>
          <w:color w:val="auto"/>
        </w:rPr>
      </w:pPr>
    </w:p>
    <w:p>
      <w:pPr>
        <w:ind w:left="2240" w:hanging="292"/>
        <w:spacing w:after="0"/>
        <w:tabs>
          <w:tab w:leader="none" w:pos="224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A merger, consolidation or reorganization involving Employer, unless:</w:t>
      </w:r>
    </w:p>
    <w:p>
      <w:pPr>
        <w:spacing w:after="0" w:line="90" w:lineRule="exact"/>
        <w:rPr>
          <w:rFonts w:ascii="Arial" w:cs="Arial" w:eastAsia="Arial" w:hAnsi="Arial"/>
          <w:sz w:val="18"/>
          <w:szCs w:val="18"/>
          <w:b w:val="1"/>
          <w:bCs w:val="1"/>
          <w:color w:val="auto"/>
        </w:rPr>
      </w:pPr>
    </w:p>
    <w:p>
      <w:pPr>
        <w:jc w:val="both"/>
        <w:ind w:right="120" w:firstLine="2404"/>
        <w:spacing w:after="0" w:line="256" w:lineRule="auto"/>
        <w:tabs>
          <w:tab w:leader="none" w:pos="2645" w:val="left"/>
        </w:tabs>
        <w:numPr>
          <w:ilvl w:val="2"/>
          <w:numId w:val="48"/>
        </w:numPr>
        <w:rPr>
          <w:rFonts w:ascii="Arial" w:cs="Arial" w:eastAsia="Arial" w:hAnsi="Arial"/>
          <w:sz w:val="18"/>
          <w:szCs w:val="18"/>
          <w:b w:val="1"/>
          <w:bCs w:val="1"/>
          <w:color w:val="auto"/>
        </w:rPr>
      </w:pPr>
      <w:r>
        <w:rPr>
          <w:rFonts w:ascii="Arial" w:cs="Arial" w:eastAsia="Arial" w:hAnsi="Arial"/>
          <w:sz w:val="18"/>
          <w:szCs w:val="18"/>
          <w:color w:val="auto"/>
        </w:rPr>
        <w:t>the shareholders of Employer, immediately before such merger, consolidation or reorganization, own, directly or indirectly immediately following such merger, consolidation or reorganization, at least a majority of the combined voting power of the outstanding voting securities of the Person resulting from such merger or consolidation or reorganization (the “Surviving Person”) in substantially the same proportion as their ownership of the Voting Securities immediately before such merger, consolidation or reorganization;</w:t>
      </w:r>
    </w:p>
    <w:p>
      <w:pPr>
        <w:spacing w:after="0" w:line="143" w:lineRule="exact"/>
        <w:rPr>
          <w:rFonts w:ascii="Arial" w:cs="Arial" w:eastAsia="Arial" w:hAnsi="Arial"/>
          <w:sz w:val="18"/>
          <w:szCs w:val="18"/>
          <w:b w:val="1"/>
          <w:bCs w:val="1"/>
          <w:color w:val="auto"/>
        </w:rPr>
      </w:pPr>
    </w:p>
    <w:p>
      <w:pPr>
        <w:ind w:firstLine="2404"/>
        <w:spacing w:after="0" w:line="332" w:lineRule="auto"/>
        <w:tabs>
          <w:tab w:leader="none" w:pos="2645" w:val="left"/>
        </w:tabs>
        <w:numPr>
          <w:ilvl w:val="2"/>
          <w:numId w:val="48"/>
        </w:numPr>
        <w:rPr>
          <w:rFonts w:ascii="Arial" w:cs="Arial" w:eastAsia="Arial" w:hAnsi="Arial"/>
          <w:sz w:val="16"/>
          <w:szCs w:val="16"/>
          <w:b w:val="1"/>
          <w:bCs w:val="1"/>
          <w:color w:val="auto"/>
        </w:rPr>
      </w:pPr>
      <w:r>
        <w:rPr>
          <w:rFonts w:ascii="Arial" w:cs="Arial" w:eastAsia="Arial" w:hAnsi="Arial"/>
          <w:sz w:val="16"/>
          <w:szCs w:val="16"/>
          <w:color w:val="auto"/>
        </w:rPr>
        <w:t>the individuals who were members of the Incumbent Trustees immediately prior to the execution of the agreement providing for such merger, consolidation or reorganization constitute at least two-thirds (2/3) of the members of the board of directors of the Surviving Person; and</w:t>
      </w:r>
    </w:p>
    <w:p>
      <w:pPr>
        <w:spacing w:after="0" w:line="85" w:lineRule="exact"/>
        <w:rPr>
          <w:rFonts w:ascii="Arial" w:cs="Arial" w:eastAsia="Arial" w:hAnsi="Arial"/>
          <w:sz w:val="16"/>
          <w:szCs w:val="16"/>
          <w:b w:val="1"/>
          <w:bCs w:val="1"/>
          <w:color w:val="auto"/>
        </w:rPr>
      </w:pPr>
    </w:p>
    <w:p>
      <w:pPr>
        <w:ind w:right="40" w:firstLine="2404"/>
        <w:spacing w:after="0" w:line="256" w:lineRule="auto"/>
        <w:tabs>
          <w:tab w:leader="none" w:pos="2645" w:val="left"/>
        </w:tabs>
        <w:numPr>
          <w:ilvl w:val="2"/>
          <w:numId w:val="48"/>
        </w:numPr>
        <w:rPr>
          <w:rFonts w:ascii="Arial" w:cs="Arial" w:eastAsia="Arial" w:hAnsi="Arial"/>
          <w:sz w:val="18"/>
          <w:szCs w:val="18"/>
          <w:b w:val="1"/>
          <w:bCs w:val="1"/>
          <w:color w:val="auto"/>
        </w:rPr>
      </w:pPr>
      <w:r>
        <w:rPr>
          <w:rFonts w:ascii="Arial" w:cs="Arial" w:eastAsia="Arial" w:hAnsi="Arial"/>
          <w:sz w:val="18"/>
          <w:szCs w:val="18"/>
          <w:color w:val="auto"/>
        </w:rPr>
        <w:t>no Person (other than Employer or any Subsidiary, any employee benefit plan (or any trust forming a part thereof) maintained by Employer, or any Subsidiary, or any Person which, immediately prior to such merger, consolidation or reorganization had Beneficial Ownership of 20% or more of the then outstanding Voting Securities) has Beneficial Ownership of 20% or more of the combined voting power of the Surviving Person’s then outstanding voting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transaction described in clauses (1) through (3) above is hereinafter referred to as a “Non-Control Transaction.”</w:t>
      </w:r>
    </w:p>
    <w:p>
      <w:pPr>
        <w:spacing w:after="0" w:line="171" w:lineRule="exact"/>
        <w:rPr>
          <w:sz w:val="20"/>
          <w:szCs w:val="20"/>
          <w:color w:val="auto"/>
        </w:rPr>
      </w:pPr>
    </w:p>
    <w:p>
      <w:pPr>
        <w:ind w:left="2220" w:hanging="272"/>
        <w:spacing w:after="0"/>
        <w:tabs>
          <w:tab w:leader="none" w:pos="22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A complete liquidation or dissolution of Employer; or</w:t>
      </w:r>
    </w:p>
    <w:p>
      <w:pPr>
        <w:spacing w:after="0" w:line="171" w:lineRule="exact"/>
        <w:rPr>
          <w:rFonts w:ascii="Arial" w:cs="Arial" w:eastAsia="Arial" w:hAnsi="Arial"/>
          <w:sz w:val="18"/>
          <w:szCs w:val="18"/>
          <w:b w:val="1"/>
          <w:bCs w:val="1"/>
          <w:color w:val="auto"/>
        </w:rPr>
      </w:pPr>
    </w:p>
    <w:p>
      <w:pPr>
        <w:ind w:left="2240" w:hanging="292"/>
        <w:spacing w:after="0"/>
        <w:tabs>
          <w:tab w:leader="none" w:pos="2240"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An agreement for the sale or other disposition of all or substantially all of the assets of Employer to any Person (other than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transfer to a Subsidiary).</w:t>
      </w:r>
    </w:p>
    <w:p>
      <w:pPr>
        <w:spacing w:after="0" w:line="165" w:lineRule="exact"/>
        <w:rPr>
          <w:sz w:val="20"/>
          <w:szCs w:val="20"/>
          <w:color w:val="auto"/>
        </w:rPr>
      </w:pPr>
    </w:p>
    <w:p>
      <w:pPr>
        <w:ind w:right="40" w:firstLine="1492"/>
        <w:spacing w:after="0" w:line="283" w:lineRule="auto"/>
        <w:tabs>
          <w:tab w:leader="none" w:pos="1781" w:val="left"/>
        </w:tabs>
        <w:numPr>
          <w:ilvl w:val="1"/>
          <w:numId w:val="50"/>
        </w:numPr>
        <w:rPr>
          <w:rFonts w:ascii="Arial" w:cs="Arial" w:eastAsia="Arial" w:hAnsi="Arial"/>
          <w:sz w:val="16"/>
          <w:szCs w:val="16"/>
          <w:b w:val="1"/>
          <w:bCs w:val="1"/>
          <w:color w:val="auto"/>
        </w:rPr>
      </w:pPr>
      <w:r>
        <w:rPr>
          <w:rFonts w:ascii="Arial" w:cs="Arial" w:eastAsia="Arial" w:hAnsi="Arial"/>
          <w:sz w:val="16"/>
          <w:szCs w:val="16"/>
          <w:color w:val="auto"/>
        </w:rPr>
        <w:t>Notwithstanding the foregoing, a Change in Control shall not be deemed to occur: (A) solely because any Person (the “Subject Person”) acquired Beneficial Ownership of more than the permitted amount of the outstanding Voting Securities as a result of the acquisition of Voting Securities by Employer which, by reducing the number of Voting Securities outstanding, increases the proportional number of Voting Securities Beneficially Owned by the Subject Person; provided, however, that if a Change in Control would occur (but for the operation of this sentence) as a result of the acquisition of Voting Securities by Employer, and after such share acquisition by Employer, the Subject Person becomes the Beneficial Owner of any additional Voting Securities which increases the percentage of the then outstanding Voting Securities Beneficially Owned by the Subject Person, then a Change in Control shall occur; or</w:t>
      </w:r>
    </w:p>
    <w:p>
      <w:pPr>
        <w:spacing w:after="0" w:line="1" w:lineRule="exact"/>
        <w:rPr>
          <w:rFonts w:ascii="Arial" w:cs="Arial" w:eastAsia="Arial" w:hAnsi="Arial"/>
          <w:sz w:val="16"/>
          <w:szCs w:val="16"/>
          <w:b w:val="1"/>
          <w:bCs w:val="1"/>
          <w:color w:val="auto"/>
        </w:rPr>
      </w:pPr>
    </w:p>
    <w:p>
      <w:pPr>
        <w:ind w:right="340" w:firstLine="8"/>
        <w:spacing w:after="0" w:line="254" w:lineRule="auto"/>
        <w:tabs>
          <w:tab w:leader="none" w:pos="278"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Employer (1) establishes a wholly-owned subsidiary (“Holding Company”); (2) causes the Holding Company to establish a wholly-owned subsidiary (“Merger Sub”); and (3) merges with Merger Sub, with Employer as the surviving entity (such transactions collectively are referred as the “Reorganization”). Immediately following the completion of the Reorganization, all references to the Voting Securities shall be deemed to refer to the voting securities of the Holding Company.</w:t>
      </w:r>
    </w:p>
    <w:p>
      <w:pPr>
        <w:spacing w:after="0" w:line="143" w:lineRule="exact"/>
        <w:rPr>
          <w:rFonts w:ascii="Arial" w:cs="Arial" w:eastAsia="Arial" w:hAnsi="Arial"/>
          <w:sz w:val="18"/>
          <w:szCs w:val="18"/>
          <w:color w:val="auto"/>
        </w:rPr>
      </w:pPr>
    </w:p>
    <w:p>
      <w:pPr>
        <w:ind w:right="80" w:firstLine="1492"/>
        <w:spacing w:after="0" w:line="294" w:lineRule="auto"/>
        <w:tabs>
          <w:tab w:leader="none" w:pos="1732" w:val="left"/>
        </w:tabs>
        <w:numPr>
          <w:ilvl w:val="1"/>
          <w:numId w:val="51"/>
        </w:numPr>
        <w:rPr>
          <w:rFonts w:ascii="Arial" w:cs="Arial" w:eastAsia="Arial" w:hAnsi="Arial"/>
          <w:sz w:val="16"/>
          <w:szCs w:val="16"/>
          <w:b w:val="1"/>
          <w:bCs w:val="1"/>
          <w:color w:val="auto"/>
        </w:rPr>
      </w:pPr>
      <w:r>
        <w:rPr>
          <w:rFonts w:ascii="Arial" w:cs="Arial" w:eastAsia="Arial" w:hAnsi="Arial"/>
          <w:sz w:val="16"/>
          <w:szCs w:val="16"/>
          <w:color w:val="auto"/>
        </w:rPr>
        <w:t>Notwithstanding anything contained in this Agreement to the contrary, if Employee’s employment is terminated while this Agreement is in effect and Employee reasonably demonstrates that such termination: (A) was at the request of a third party who has indicated an intention or taken steps reasonably calculated to effect a Change in Control and who effectuates a Change in Control (a “Third Party”); or (B) otherwise occurred in connection with, or in anticipation of, a Change in Control which actually occurs, then for all purposes of this Agreement, the date of a Change in Control with respect to Employee shall mean the date immediately prior to the date of such termination of Employee’s employment.</w:t>
      </w:r>
    </w:p>
    <w:p>
      <w:pPr>
        <w:sectPr>
          <w:pgSz w:w="11900" w:h="16838" w:orient="portrait"/>
          <w:cols w:equalWidth="0" w:num="1">
            <w:col w:w="11400"/>
          </w:cols>
          <w:pgMar w:left="240" w:top="280" w:right="259" w:bottom="1440" w:gutter="0" w:footer="0" w:header="0"/>
        </w:sectPr>
      </w:pPr>
    </w:p>
    <w:bookmarkStart w:id="43" w:name="page44"/>
    <w:bookmarkEnd w:id="43"/>
    <w:p>
      <w:pPr>
        <w:ind w:right="60" w:firstLine="921"/>
        <w:spacing w:after="0" w:line="275" w:lineRule="auto"/>
        <w:tabs>
          <w:tab w:leader="none" w:pos="1171"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Employment Following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entitled to the benefits provided in this Agreement if a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 Control occurs and Employee’s employment with Employer is terminated:</w:t>
      </w:r>
    </w:p>
    <w:p>
      <w:pPr>
        <w:spacing w:after="0" w:line="44" w:lineRule="exact"/>
        <w:rPr>
          <w:rFonts w:ascii="Arial" w:cs="Arial" w:eastAsia="Arial" w:hAnsi="Arial"/>
          <w:sz w:val="18"/>
          <w:szCs w:val="18"/>
          <w:b w:val="1"/>
          <w:bCs w:val="1"/>
          <w:color w:val="auto"/>
        </w:rPr>
      </w:pPr>
    </w:p>
    <w:p>
      <w:pPr>
        <w:ind w:left="1700" w:hanging="208"/>
        <w:spacing w:after="0"/>
        <w:tabs>
          <w:tab w:leader="none" w:pos="1700" w:val="left"/>
        </w:tabs>
        <w:numPr>
          <w:ilvl w:val="1"/>
          <w:numId w:val="52"/>
        </w:numPr>
        <w:rPr>
          <w:rFonts w:ascii="Arial" w:cs="Arial" w:eastAsia="Arial" w:hAnsi="Arial"/>
          <w:sz w:val="16"/>
          <w:szCs w:val="16"/>
          <w:b w:val="1"/>
          <w:bCs w:val="1"/>
          <w:color w:val="auto"/>
        </w:rPr>
      </w:pPr>
      <w:r>
        <w:rPr>
          <w:rFonts w:ascii="Arial" w:cs="Arial" w:eastAsia="Arial" w:hAnsi="Arial"/>
          <w:sz w:val="16"/>
          <w:szCs w:val="16"/>
          <w:color w:val="auto"/>
        </w:rPr>
        <w:t>under any of the following circumstances within a period of eighteen (18) months after the occurrence of such Change in Control:</w:t>
      </w:r>
    </w:p>
    <w:p>
      <w:pPr>
        <w:spacing w:after="0" w:line="113" w:lineRule="exact"/>
        <w:rPr>
          <w:rFonts w:ascii="Arial" w:cs="Arial" w:eastAsia="Arial" w:hAnsi="Arial"/>
          <w:sz w:val="16"/>
          <w:szCs w:val="16"/>
          <w:b w:val="1"/>
          <w:bCs w:val="1"/>
          <w:color w:val="auto"/>
        </w:rPr>
      </w:pPr>
    </w:p>
    <w:p>
      <w:pPr>
        <w:ind w:firstLine="1948"/>
        <w:spacing w:after="0" w:line="253" w:lineRule="auto"/>
        <w:tabs>
          <w:tab w:leader="none" w:pos="2227" w:val="left"/>
        </w:tabs>
        <w:numPr>
          <w:ilvl w:val="2"/>
          <w:numId w:val="52"/>
        </w:numPr>
        <w:rPr>
          <w:rFonts w:ascii="Arial" w:cs="Arial" w:eastAsia="Arial" w:hAnsi="Arial"/>
          <w:sz w:val="18"/>
          <w:szCs w:val="18"/>
          <w:b w:val="1"/>
          <w:bCs w:val="1"/>
          <w:color w:val="auto"/>
        </w:rPr>
      </w:pPr>
      <w:r>
        <w:rPr>
          <w:rFonts w:ascii="Arial" w:cs="Arial" w:eastAsia="Arial" w:hAnsi="Arial"/>
          <w:sz w:val="18"/>
          <w:szCs w:val="18"/>
          <w:color w:val="auto"/>
        </w:rPr>
        <w:t>by Employer other than with Cause. “Cause” shall mean: (1) Employee’s failure (other than failure due to disability) to substantially perform his duties with Employer or an affiliate thereof; which failure remains uncured after written notice thereof and the expiration of a reasonable period of time thereafter in which Employee is diligently pursuing cure; (2) Employee’s willful conduct which is demonstrably and materially injurious to Employer or an affiliate thereof, monetarily or otherwise; (3) Employee’s breach of fiduciary duty involving personal profit; or (4) Employee’s willful violation in the course of performing his duties for Employer of any law, rule or regulation (other than traffic violations or misdemeanor offenses). No act or failure to act shall be considered willful unless done or omitted to be done in bad faith and without reasonable belief that the action or omission was in the best interest of Employer.</w:t>
      </w:r>
    </w:p>
    <w:p>
      <w:pPr>
        <w:spacing w:after="0" w:line="147" w:lineRule="exact"/>
        <w:rPr>
          <w:rFonts w:ascii="Arial" w:cs="Arial" w:eastAsia="Arial" w:hAnsi="Arial"/>
          <w:sz w:val="18"/>
          <w:szCs w:val="18"/>
          <w:b w:val="1"/>
          <w:bCs w:val="1"/>
          <w:color w:val="auto"/>
        </w:rPr>
      </w:pPr>
    </w:p>
    <w:p>
      <w:pPr>
        <w:ind w:left="2220" w:hanging="272"/>
        <w:spacing w:after="0"/>
        <w:tabs>
          <w:tab w:leader="none" w:pos="2220" w:val="left"/>
        </w:tabs>
        <w:numPr>
          <w:ilvl w:val="2"/>
          <w:numId w:val="52"/>
        </w:numPr>
        <w:rPr>
          <w:rFonts w:ascii="Arial" w:cs="Arial" w:eastAsia="Arial" w:hAnsi="Arial"/>
          <w:sz w:val="18"/>
          <w:szCs w:val="18"/>
          <w:b w:val="1"/>
          <w:bCs w:val="1"/>
          <w:color w:val="auto"/>
        </w:rPr>
      </w:pPr>
      <w:r>
        <w:rPr>
          <w:rFonts w:ascii="Arial" w:cs="Arial" w:eastAsia="Arial" w:hAnsi="Arial"/>
          <w:sz w:val="18"/>
          <w:szCs w:val="18"/>
          <w:color w:val="auto"/>
        </w:rPr>
        <w:t>by Employee within six (6) months following the occurrence of one or more of the following events:</w:t>
      </w:r>
    </w:p>
    <w:p>
      <w:pPr>
        <w:spacing w:after="0" w:line="90" w:lineRule="exact"/>
        <w:rPr>
          <w:rFonts w:ascii="Arial" w:cs="Arial" w:eastAsia="Arial" w:hAnsi="Arial"/>
          <w:sz w:val="18"/>
          <w:szCs w:val="18"/>
          <w:b w:val="1"/>
          <w:bCs w:val="1"/>
          <w:color w:val="auto"/>
        </w:rPr>
      </w:pPr>
    </w:p>
    <w:p>
      <w:pPr>
        <w:ind w:right="20" w:firstLine="2404"/>
        <w:spacing w:after="0" w:line="253" w:lineRule="auto"/>
        <w:tabs>
          <w:tab w:leader="none" w:pos="2645" w:val="left"/>
        </w:tabs>
        <w:numPr>
          <w:ilvl w:val="3"/>
          <w:numId w:val="52"/>
        </w:numPr>
        <w:rPr>
          <w:rFonts w:ascii="Arial" w:cs="Arial" w:eastAsia="Arial" w:hAnsi="Arial"/>
          <w:sz w:val="18"/>
          <w:szCs w:val="18"/>
          <w:b w:val="1"/>
          <w:bCs w:val="1"/>
          <w:color w:val="auto"/>
        </w:rPr>
      </w:pPr>
      <w:r>
        <w:rPr>
          <w:rFonts w:ascii="Arial" w:cs="Arial" w:eastAsia="Arial" w:hAnsi="Arial"/>
          <w:sz w:val="18"/>
          <w:szCs w:val="18"/>
          <w:color w:val="auto"/>
        </w:rPr>
        <w:t>the nature of Employee’s duties or the scope of Employee’s responsibilities or authority as of the date first written above are materially modified by Employer without Employee’s written consent where such material modification constitutes an actual or constructive demotion of Employee</w:t>
      </w:r>
      <w:r>
        <w:rPr>
          <w:rFonts w:ascii="Arial" w:cs="Arial" w:eastAsia="Arial" w:hAnsi="Arial"/>
          <w:sz w:val="18"/>
          <w:szCs w:val="18"/>
          <w:i w:val="1"/>
          <w:iCs w:val="1"/>
          <w:color w:val="auto"/>
        </w:rPr>
        <w:t>;</w:t>
      </w:r>
      <w:r>
        <w:rPr>
          <w:rFonts w:ascii="Arial" w:cs="Arial" w:eastAsia="Arial" w:hAnsi="Arial"/>
          <w:sz w:val="18"/>
          <w:szCs w:val="18"/>
          <w:color w:val="auto"/>
        </w:rPr>
        <w:t xml:space="preserve"> provided, however, that a change in the position(s) to whom Employee reports shall not by itself constitute a material modification of Employee’s responsibilities; provided, further, that if Employee voluntarily becomes an employee of an affiliate of the Employer in connection with a Spin-off (as defined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that affiliate, the nature of Employee’s duties and the scope of responsibilities and authority referred to above in this </w:t>
      </w:r>
      <w:r>
        <w:rPr>
          <w:rFonts w:ascii="Arial" w:cs="Arial" w:eastAsia="Arial" w:hAnsi="Arial"/>
          <w:sz w:val="18"/>
          <w:szCs w:val="18"/>
          <w:u w:val="single" w:color="auto"/>
          <w:color w:val="auto"/>
        </w:rPr>
        <w:t>Section 1(b)(i)(A)(1)</w:t>
      </w:r>
      <w:r>
        <w:rPr>
          <w:rFonts w:ascii="Arial" w:cs="Arial" w:eastAsia="Arial" w:hAnsi="Arial"/>
          <w:sz w:val="18"/>
          <w:szCs w:val="18"/>
          <w:color w:val="auto"/>
        </w:rPr>
        <w:t xml:space="preserve"> shall mean those as in effect as of the first day of employment with the affiliate following the Spin-off and not those in effect with the Employer as of the date first written above;</w:t>
      </w:r>
    </w:p>
    <w:p>
      <w:pPr>
        <w:spacing w:after="0" w:line="147" w:lineRule="exact"/>
        <w:rPr>
          <w:rFonts w:ascii="Arial" w:cs="Arial" w:eastAsia="Arial" w:hAnsi="Arial"/>
          <w:sz w:val="18"/>
          <w:szCs w:val="18"/>
          <w:b w:val="1"/>
          <w:bCs w:val="1"/>
          <w:color w:val="auto"/>
        </w:rPr>
      </w:pPr>
    </w:p>
    <w:p>
      <w:pPr>
        <w:ind w:left="2660" w:hanging="256"/>
        <w:spacing w:after="0"/>
        <w:tabs>
          <w:tab w:leader="none" w:pos="2660" w:val="left"/>
        </w:tabs>
        <w:numPr>
          <w:ilvl w:val="3"/>
          <w:numId w:val="52"/>
        </w:numPr>
        <w:rPr>
          <w:rFonts w:ascii="Arial" w:cs="Arial" w:eastAsia="Arial" w:hAnsi="Arial"/>
          <w:sz w:val="16"/>
          <w:szCs w:val="16"/>
          <w:b w:val="1"/>
          <w:bCs w:val="1"/>
          <w:color w:val="auto"/>
        </w:rPr>
      </w:pPr>
      <w:r>
        <w:rPr>
          <w:rFonts w:ascii="Arial" w:cs="Arial" w:eastAsia="Arial" w:hAnsi="Arial"/>
          <w:sz w:val="16"/>
          <w:szCs w:val="16"/>
          <w:color w:val="auto"/>
        </w:rPr>
        <w:t>Employer changes the location of its principal office to outside a fifty (50) mile radius of the office where the Employee is</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headquartered;</w:t>
      </w:r>
    </w:p>
    <w:p>
      <w:pPr>
        <w:spacing w:after="0" w:line="164" w:lineRule="exact"/>
        <w:rPr>
          <w:rFonts w:ascii="Arial" w:cs="Arial" w:eastAsia="Arial" w:hAnsi="Arial"/>
          <w:sz w:val="16"/>
          <w:szCs w:val="16"/>
          <w:b w:val="1"/>
          <w:bCs w:val="1"/>
          <w:color w:val="auto"/>
        </w:rPr>
      </w:pPr>
    </w:p>
    <w:p>
      <w:pPr>
        <w:ind w:left="2660" w:hanging="256"/>
        <w:spacing w:after="0"/>
        <w:tabs>
          <w:tab w:leader="none" w:pos="2660" w:val="left"/>
        </w:tabs>
        <w:numPr>
          <w:ilvl w:val="3"/>
          <w:numId w:val="52"/>
        </w:numPr>
        <w:rPr>
          <w:rFonts w:ascii="Arial" w:cs="Arial" w:eastAsia="Arial" w:hAnsi="Arial"/>
          <w:sz w:val="16"/>
          <w:szCs w:val="16"/>
          <w:b w:val="1"/>
          <w:bCs w:val="1"/>
          <w:color w:val="auto"/>
        </w:rPr>
      </w:pPr>
      <w:r>
        <w:rPr>
          <w:rFonts w:ascii="Arial" w:cs="Arial" w:eastAsia="Arial" w:hAnsi="Arial"/>
          <w:sz w:val="16"/>
          <w:szCs w:val="16"/>
          <w:color w:val="auto"/>
        </w:rPr>
        <w:t>Employer’s setting of Employee’s base salary for any year at an amount which is less than ninety percent (90%) of the</w:t>
      </w:r>
    </w:p>
    <w:p>
      <w:pPr>
        <w:spacing w:after="0" w:line="38" w:lineRule="exact"/>
        <w:rPr>
          <w:rFonts w:ascii="Arial" w:cs="Arial" w:eastAsia="Arial" w:hAnsi="Arial"/>
          <w:sz w:val="16"/>
          <w:szCs w:val="16"/>
          <w:b w:val="1"/>
          <w:bCs w:val="1"/>
          <w:color w:val="auto"/>
        </w:rPr>
      </w:pPr>
    </w:p>
    <w:p>
      <w:pPr>
        <w:ind w:right="12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greater of: (x) Employee’s base salary for 2007; or (y) Employee’s highest base salary during the three (3) then most recent calendar years (including the year of termination), regardless of whether such salary reduction occurs in one year or over the course of years; or</w:t>
      </w:r>
    </w:p>
    <w:p>
      <w:pPr>
        <w:spacing w:after="0" w:line="137" w:lineRule="exact"/>
        <w:rPr>
          <w:rFonts w:ascii="Arial" w:cs="Arial" w:eastAsia="Arial" w:hAnsi="Arial"/>
          <w:sz w:val="16"/>
          <w:szCs w:val="16"/>
          <w:b w:val="1"/>
          <w:bCs w:val="1"/>
          <w:color w:val="auto"/>
        </w:rPr>
      </w:pPr>
    </w:p>
    <w:p>
      <w:pPr>
        <w:ind w:right="960" w:firstLine="2404"/>
        <w:spacing w:after="0" w:line="268" w:lineRule="auto"/>
        <w:tabs>
          <w:tab w:leader="none" w:pos="2645" w:val="left"/>
        </w:tabs>
        <w:numPr>
          <w:ilvl w:val="3"/>
          <w:numId w:val="52"/>
        </w:numPr>
        <w:rPr>
          <w:rFonts w:ascii="Arial" w:cs="Arial" w:eastAsia="Arial" w:hAnsi="Arial"/>
          <w:sz w:val="18"/>
          <w:szCs w:val="18"/>
          <w:b w:val="1"/>
          <w:bCs w:val="1"/>
          <w:color w:val="auto"/>
        </w:rPr>
      </w:pPr>
      <w:r>
        <w:rPr>
          <w:rFonts w:ascii="Arial" w:cs="Arial" w:eastAsia="Arial" w:hAnsi="Arial"/>
          <w:sz w:val="18"/>
          <w:szCs w:val="18"/>
          <w:color w:val="auto"/>
        </w:rPr>
        <w:t>this Agreement is not expressly assumed by any successor (directly or indirectly, whether by purchase, merger, consolidation or otherwise) to all or substantially all of the business and/or assets of Employer.</w:t>
      </w:r>
    </w:p>
    <w:p>
      <w:pPr>
        <w:spacing w:after="0" w:line="131" w:lineRule="exact"/>
        <w:rPr>
          <w:rFonts w:ascii="Arial" w:cs="Arial" w:eastAsia="Arial" w:hAnsi="Arial"/>
          <w:sz w:val="18"/>
          <w:szCs w:val="18"/>
          <w:b w:val="1"/>
          <w:bCs w:val="1"/>
          <w:color w:val="auto"/>
        </w:rPr>
      </w:pPr>
    </w:p>
    <w:p>
      <w:pPr>
        <w:ind w:right="20" w:firstLine="1492"/>
        <w:spacing w:after="0" w:line="268" w:lineRule="auto"/>
        <w:tabs>
          <w:tab w:leader="none" w:pos="1742"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for any reason, either voluntarily or involuntarily, during the 30-day period beginning on the first anniversary of such Change of Control, unless such termination is because of</w:t>
      </w:r>
    </w:p>
    <w:p>
      <w:pPr>
        <w:sectPr>
          <w:pgSz w:w="11900" w:h="16838" w:orient="portrait"/>
          <w:cols w:equalWidth="0" w:num="1">
            <w:col w:w="11400"/>
          </w:cols>
          <w:pgMar w:left="240" w:top="274" w:right="259" w:bottom="1440" w:gutter="0" w:footer="0" w:header="0"/>
        </w:sectPr>
      </w:pPr>
    </w:p>
    <w:bookmarkStart w:id="44" w:name="page45"/>
    <w:bookmarkEnd w:id="44"/>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death, Disability or Retirement. The term “Disability” shall have the same meaning as set forth in Employer’s group long-term disability policy. The term “Retirement” shall mean termination of employment in accordance with: (A) a qualified employee pension or profit-sharing plan maintained by Employer; or (B) Employer’s retirement policy in effect immediately prior to the Change in Control. For purposes of this Agreement, Employee’s employment shall be terminated by written notice delivered by either Employer or Employee to the other party. The date of Employee’s termination of employment shall be the earlier of the date of Employee’s or Employer’s written notice terminating Employee’s employment with Employer, unless such notice shall specify an effective date of termination occurring later than the date of such notice, in which event such specified effective date shall govern (“Termination Date”).</w:t>
      </w:r>
    </w:p>
    <w:p>
      <w:pPr>
        <w:spacing w:after="0" w:line="114" w:lineRule="exact"/>
        <w:rPr>
          <w:sz w:val="20"/>
          <w:szCs w:val="20"/>
          <w:color w:val="auto"/>
        </w:rPr>
      </w:pPr>
    </w:p>
    <w:p>
      <w:pPr>
        <w:ind w:right="60" w:firstLine="921"/>
        <w:spacing w:after="0" w:line="262" w:lineRule="auto"/>
        <w:tabs>
          <w:tab w:leader="none" w:pos="115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Benefits upon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after a Change in Control has occurred, Employee’s employment with Employer is terminated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above, then Employer shall pay to Employee and provide Employee, his or her beneficiaries and estate, the following payment and benefits:</w:t>
      </w:r>
    </w:p>
    <w:p>
      <w:pPr>
        <w:spacing w:after="0" w:line="57" w:lineRule="exact"/>
        <w:rPr>
          <w:rFonts w:ascii="Arial" w:cs="Arial" w:eastAsia="Arial" w:hAnsi="Arial"/>
          <w:sz w:val="18"/>
          <w:szCs w:val="18"/>
          <w:b w:val="1"/>
          <w:bCs w:val="1"/>
          <w:color w:val="auto"/>
        </w:rPr>
      </w:pPr>
    </w:p>
    <w:p>
      <w:pPr>
        <w:ind w:firstLine="1492"/>
        <w:spacing w:after="0" w:line="284" w:lineRule="auto"/>
        <w:tabs>
          <w:tab w:leader="none" w:pos="1693" w:val="left"/>
        </w:tabs>
        <w:numPr>
          <w:ilvl w:val="1"/>
          <w:numId w:val="53"/>
        </w:numPr>
        <w:rPr>
          <w:rFonts w:ascii="Arial" w:cs="Arial" w:eastAsia="Arial" w:hAnsi="Arial"/>
          <w:sz w:val="16"/>
          <w:szCs w:val="16"/>
          <w:b w:val="1"/>
          <w:bCs w:val="1"/>
          <w:color w:val="auto"/>
        </w:rPr>
      </w:pPr>
      <w:r>
        <w:rPr>
          <w:rFonts w:ascii="Arial" w:cs="Arial" w:eastAsia="Arial" w:hAnsi="Arial"/>
          <w:sz w:val="16"/>
          <w:szCs w:val="16"/>
          <w:color w:val="auto"/>
        </w:rPr>
        <w:t xml:space="preserve">Employer shall pay to Employee a single, lump sum cash payment equal to eighteen (18) months’ salary. For the purpose of calculating amounts payable pursuant to this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“salary” shall be an amount equal to: (A) the greater of (1) Employee’s highest annual base salary paid during the previous three (3) years; or (2) Employee’s annual base salary in the year of termination,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greatest annual aggregate amount of any annual bonus paid to Employee in respect of any of the three (3) fiscal years immediately preceding such termination. For purposes of the preceding sentence: (w) the term “salary” shall not include any cash or equity-based incentive award intended to be a long-term incentive award, including awards made pursuant to Employer’s 2003 Long-Term Incentive Award Program; (x) an annual bonus paid in the form of stock will be considered to have been paid in respect of a particular year if (1) in the case of a bonus paid under Employer’s annual Incentive Bonus Plan in effect for the applicable year (as the same may be amended from time or time, or any successor plan, the “Bonus Plan”), the stock bonus was awarded in respect of that year, even if it did not vest in that year; or (2) in the case of any other stock bonus, the shares vested in that year (other than as a result of the Change in Control); (y) a stock bonus will be valued: (1) in the case of a bonus paid under the Bonus Plan, at a figure equal to the number of shares awarded, multiplied by the per-share value (closing price) on the date on which the bonus was approved by the Compensation Committee of Employer’s Board of Trustees, and (2) in the case of any other stock bonus, at a figure equal to the number of shares that vested, multiplied by the per-share value (closing price) on the date on which they vested; and (z) notwithstanding the valuation provisions in clause (y) above, if Employee elected to receive all or any portion of an annual bonus in the form of stock rather than cash, the maximum amount to be included as bonus in the computation of “salary” for that year shall be the amount of cash bonus otherwise payable without taking into account any additional stock granted in consideration for delayed vesting. Payment also will be made for vacation time that has accrued, but is unused as of the date of termination. If Employee’s employment is terminated by Employee by a written notice which specifies a Termination Date at least five (5) business days later than the date of such notice, the payment shall be made on the Termination Date. If Employee gives less than five (5) business days notice, then such payment shall be made within five (5) business days of the date of such notice. Notwithstanding the above, if Employee’s termination of employment occurs under the circumstances described in </w:t>
      </w:r>
      <w:r>
        <w:rPr>
          <w:rFonts w:ascii="Arial" w:cs="Arial" w:eastAsia="Arial" w:hAnsi="Arial"/>
          <w:sz w:val="16"/>
          <w:szCs w:val="16"/>
          <w:u w:val="single" w:color="auto"/>
          <w:color w:val="auto"/>
        </w:rPr>
        <w:t>Section 1(b)(ii)</w:t>
      </w:r>
      <w:r>
        <w:rPr>
          <w:rFonts w:ascii="Arial" w:cs="Arial" w:eastAsia="Arial" w:hAnsi="Arial"/>
          <w:sz w:val="16"/>
          <w:szCs w:val="16"/>
          <w:color w:val="auto"/>
        </w:rPr>
        <w:t xml:space="preserve"> (i.e., for any reason, either voluntarily or involuntarily, during the 30-day period beginning on the first anniversary of such Change of Control, unless such termination is because of Employee’s death, Disability or Retirement), then if and to the extent required in order to comply with Section 409A of the Code, as determined by the Employer, the payment to Employee shall be delayed until six months and one day after the Termination Date;</w:t>
      </w:r>
    </w:p>
    <w:p>
      <w:pPr>
        <w:sectPr>
          <w:pgSz w:w="11900" w:h="16838" w:orient="portrait"/>
          <w:cols w:equalWidth="0" w:num="1">
            <w:col w:w="11360"/>
          </w:cols>
          <w:pgMar w:left="240" w:top="280" w:right="299" w:bottom="1440" w:gutter="0" w:footer="0" w:header="0"/>
        </w:sectPr>
      </w:pPr>
    </w:p>
    <w:bookmarkStart w:id="45" w:name="page46"/>
    <w:bookmarkEnd w:id="45"/>
    <w:p>
      <w:pPr>
        <w:ind w:firstLine="1492"/>
        <w:spacing w:after="0" w:line="286" w:lineRule="auto"/>
        <w:tabs>
          <w:tab w:leader="none" w:pos="1742" w:val="left"/>
        </w:tabs>
        <w:numPr>
          <w:ilvl w:val="1"/>
          <w:numId w:val="5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shall receive “Full Benefits” for eighteen (18) months following the Termination Date. Employer shall have satisfied its obligation to provide Full Benefits to Employee if it: (A) pays premiums due in connection with COBRA continuation coverage to continue Employee’s medical and dental insurance coverage at not less than the levels of coverage immediately prior to termination of Employee’s employment; (B) maintains at not less than Employee’s highest levels of coverage prior to the termination of Employee’s employment individual life insurance policies and accidental death and dismemberment policies for the benefit of Employee and pays the annual premiums associated therewith; (C) to the extent that Employer maintained a long-term disability policy that provided coverage to Employee in excess of the coverage provided under Employer’s group long-term disability policy, maintains at not less than Employee’s highest levels of coverage prior to the termination of Employee’s employment an individual long-term disability policy for the benefit of Employee and pays the annual premiums associated therewith, subject to the limitations of the policy; and (D) pays the annual premiums associated with Employee’s continued participation, at not less than Employee’s highest levels of coverage prior to the termination of Employee’s employment, under Employer’s group long-term disability policy for a period of one (1) year following the Change in Control, subject to the limitations of the policy. Notwithstanding the foregoing, Employee shall be required to pay the premiums and any other costs of such Full Benefits in the same dollar amount that Employee was required to pay for such costs immediately prior to the termination of Employee’s employment;</w:t>
      </w:r>
    </w:p>
    <w:p>
      <w:pPr>
        <w:spacing w:after="0" w:line="124" w:lineRule="exact"/>
        <w:rPr>
          <w:rFonts w:ascii="Arial" w:cs="Arial" w:eastAsia="Arial" w:hAnsi="Arial"/>
          <w:sz w:val="16"/>
          <w:szCs w:val="16"/>
          <w:b w:val="1"/>
          <w:bCs w:val="1"/>
          <w:color w:val="auto"/>
        </w:rPr>
      </w:pPr>
    </w:p>
    <w:p>
      <w:pPr>
        <w:ind w:right="40" w:firstLine="1492"/>
        <w:spacing w:after="0" w:line="255" w:lineRule="auto"/>
        <w:tabs>
          <w:tab w:leader="none" w:pos="1791"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Employer, to the extent legally permissible, shall continue to provide to Employee all other officer perquisites, allowances, accommodations of employment, and benefits on the same terms and conditions as such are from time to time made available generally to the other officers of Employer but in no event less than the highest level of the perquisites, allowances, accommodations of employment and benefits that were available to Employee during the last twelve (12) months of Employee’s employment prior to the Change in Control for a period of eighteen (18) months following the Termination Date;</w:t>
      </w:r>
    </w:p>
    <w:p>
      <w:pPr>
        <w:spacing w:after="0" w:line="142" w:lineRule="exact"/>
        <w:rPr>
          <w:rFonts w:ascii="Arial" w:cs="Arial" w:eastAsia="Arial" w:hAnsi="Arial"/>
          <w:sz w:val="18"/>
          <w:szCs w:val="18"/>
          <w:b w:val="1"/>
          <w:bCs w:val="1"/>
          <w:color w:val="auto"/>
        </w:rPr>
      </w:pPr>
    </w:p>
    <w:p>
      <w:pPr>
        <w:ind w:left="1780" w:hanging="288"/>
        <w:spacing w:after="0"/>
        <w:tabs>
          <w:tab w:leader="none" w:pos="1780" w:val="left"/>
        </w:tabs>
        <w:numPr>
          <w:ilvl w:val="1"/>
          <w:numId w:val="54"/>
        </w:numPr>
        <w:rPr>
          <w:rFonts w:ascii="Arial" w:cs="Arial" w:eastAsia="Arial" w:hAnsi="Arial"/>
          <w:sz w:val="16"/>
          <w:szCs w:val="16"/>
          <w:b w:val="1"/>
          <w:bCs w:val="1"/>
          <w:color w:val="auto"/>
        </w:rPr>
      </w:pPr>
      <w:r>
        <w:rPr>
          <w:rFonts w:ascii="Arial" w:cs="Arial" w:eastAsia="Arial" w:hAnsi="Arial"/>
          <w:sz w:val="16"/>
          <w:szCs w:val="16"/>
          <w:color w:val="auto"/>
        </w:rPr>
        <w:t xml:space="preserve">For the purposes of this </w:t>
      </w:r>
      <w:r>
        <w:rPr>
          <w:rFonts w:ascii="Arial" w:cs="Arial" w:eastAsia="Arial" w:hAnsi="Arial"/>
          <w:sz w:val="16"/>
          <w:szCs w:val="16"/>
          <w:u w:val="single" w:color="auto"/>
          <w:color w:val="auto"/>
        </w:rPr>
        <w:t>Section 1(c)</w:t>
      </w:r>
      <w:r>
        <w:rPr>
          <w:rFonts w:ascii="Arial" w:cs="Arial" w:eastAsia="Arial" w:hAnsi="Arial"/>
          <w:sz w:val="16"/>
          <w:szCs w:val="16"/>
          <w:color w:val="auto"/>
        </w:rPr>
        <w:t>, Employee’s right to receive officer perquisites, allowances and accommodations of employment is</w:t>
      </w:r>
    </w:p>
    <w:p>
      <w:pPr>
        <w:spacing w:after="0" w:line="38" w:lineRule="exact"/>
        <w:rPr>
          <w:rFonts w:ascii="Arial" w:cs="Arial" w:eastAsia="Arial" w:hAnsi="Arial"/>
          <w:sz w:val="16"/>
          <w:szCs w:val="16"/>
          <w:b w:val="1"/>
          <w:bCs w:val="1"/>
          <w:color w:val="auto"/>
        </w:rPr>
      </w:pPr>
    </w:p>
    <w:p>
      <w:pPr>
        <w:ind w:right="40"/>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 xml:space="preserve">intended to include: (A) Employee’s right to have Employer provide Employee for a period not to exceed six (6) months from Employee’s Termination Date with a telephone number assigned to Employee at Employer’s offices, telephone mail and a secretary to answer the telephone; provided, however, such benefits described in this </w:t>
      </w:r>
      <w:r>
        <w:rPr>
          <w:rFonts w:ascii="Arial" w:cs="Arial" w:eastAsia="Arial" w:hAnsi="Arial"/>
          <w:sz w:val="16"/>
          <w:szCs w:val="16"/>
          <w:u w:val="single" w:color="auto"/>
          <w:color w:val="auto"/>
        </w:rPr>
        <w:t>Section 1(c)(iv)(A)</w:t>
      </w:r>
      <w:r>
        <w:rPr>
          <w:rFonts w:ascii="Arial" w:cs="Arial" w:eastAsia="Arial" w:hAnsi="Arial"/>
          <w:sz w:val="16"/>
          <w:szCs w:val="16"/>
          <w:color w:val="auto"/>
        </w:rPr>
        <w:t xml:space="preserve"> shall not include an office or physical access to Employer’s offices and will cease upon the commencement by Employee of employment with another employer; and (B) Employee’s right to have Employer make available at Employer’s expense to Employee at Employee’s option the services of an employment search/outplacement agency selected by Employee for a period not to exceed six (6) months.</w:t>
      </w:r>
    </w:p>
    <w:p>
      <w:pPr>
        <w:spacing w:after="0" w:line="116" w:lineRule="exact"/>
        <w:rPr>
          <w:rFonts w:ascii="Arial" w:cs="Arial" w:eastAsia="Arial" w:hAnsi="Arial"/>
          <w:sz w:val="16"/>
          <w:szCs w:val="16"/>
          <w:b w:val="1"/>
          <w:bCs w:val="1"/>
          <w:color w:val="auto"/>
        </w:rPr>
      </w:pPr>
    </w:p>
    <w:p>
      <w:pPr>
        <w:jc w:val="both"/>
        <w:ind w:right="320" w:firstLine="1492"/>
        <w:spacing w:after="0" w:line="256" w:lineRule="auto"/>
        <w:tabs>
          <w:tab w:leader="none" w:pos="1732"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Upon the occurrence of a Change in Control, all restrictions on the receipt of any option to acquire or grant of Voting Securities to Employee shall lapse and such option shall become immediately and fully exercisable. Notwithstanding any applicable restrictions or any agreement to the contrary, Employee may exercise any options to acquire Voting Securities as of the Change in Control by delivery to Employer of a written notice dated on or prior to the expiration of the stated term of the option.</w:t>
      </w:r>
    </w:p>
    <w:p>
      <w:pPr>
        <w:spacing w:after="0" w:line="137" w:lineRule="exact"/>
        <w:rPr>
          <w:rFonts w:ascii="Arial" w:cs="Arial" w:eastAsia="Arial" w:hAnsi="Arial"/>
          <w:sz w:val="18"/>
          <w:szCs w:val="18"/>
          <w:b w:val="1"/>
          <w:bCs w:val="1"/>
          <w:color w:val="auto"/>
        </w:rPr>
      </w:pPr>
    </w:p>
    <w:p>
      <w:pPr>
        <w:ind w:left="1180" w:hanging="259"/>
        <w:spacing w:after="0"/>
        <w:tabs>
          <w:tab w:leader="none" w:pos="11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Excise Tax Payments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780" w:firstLine="1492"/>
        <w:spacing w:after="0" w:line="332" w:lineRule="auto"/>
        <w:tabs>
          <w:tab w:leader="none" w:pos="1693" w:val="left"/>
        </w:tabs>
        <w:numPr>
          <w:ilvl w:val="1"/>
          <w:numId w:val="55"/>
        </w:numPr>
        <w:rPr>
          <w:rFonts w:ascii="Arial" w:cs="Arial" w:eastAsia="Arial" w:hAnsi="Arial"/>
          <w:sz w:val="16"/>
          <w:szCs w:val="16"/>
          <w:b w:val="1"/>
          <w:bCs w:val="1"/>
          <w:color w:val="auto"/>
        </w:rPr>
      </w:pPr>
      <w:r>
        <w:rPr>
          <w:rFonts w:ascii="Arial" w:cs="Arial" w:eastAsia="Arial" w:hAnsi="Arial"/>
          <w:sz w:val="16"/>
          <w:szCs w:val="16"/>
          <w:color w:val="auto"/>
        </w:rPr>
        <w:t xml:space="preserve">In the event that any payment or benefit (within the meaning of Section 280G(b)(2) of the Code) that is provided for under this Agreement (other than the payment provided for in this </w:t>
      </w:r>
      <w:r>
        <w:rPr>
          <w:rFonts w:ascii="Arial" w:cs="Arial" w:eastAsia="Arial" w:hAnsi="Arial"/>
          <w:sz w:val="16"/>
          <w:szCs w:val="16"/>
          <w:u w:val="single" w:color="auto"/>
          <w:color w:val="auto"/>
        </w:rPr>
        <w:t>Section 1(d)(i)</w:t>
      </w:r>
      <w:r>
        <w:rPr>
          <w:rFonts w:ascii="Arial" w:cs="Arial" w:eastAsia="Arial" w:hAnsi="Arial"/>
          <w:sz w:val="16"/>
          <w:szCs w:val="16"/>
          <w:color w:val="auto"/>
        </w:rPr>
        <w:t>) to be paid to or for the benefit of Employee (a “Payment” or</w:t>
      </w:r>
    </w:p>
    <w:p>
      <w:pPr>
        <w:sectPr>
          <w:pgSz w:w="11900" w:h="16838" w:orient="portrait"/>
          <w:cols w:equalWidth="0" w:num="1">
            <w:col w:w="11400"/>
          </w:cols>
          <w:pgMar w:left="240" w:top="280" w:right="259" w:bottom="1440" w:gutter="0" w:footer="0" w:header="0"/>
        </w:sectPr>
      </w:pPr>
    </w:p>
    <w:bookmarkStart w:id="46" w:name="page47"/>
    <w:bookmarkEnd w:id="46"/>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 is determined or alleged to be subject to an excise or similar purpose tax pursuant to Section 4999 of the Code or any successor or other comparable federal, state, or local tax laws or any interest or penalties incurred by Employee with respect to such excise or similar purpose tax (such excise tax, together with any such interest and penalties, hereinafter collectively referred to as the “Excise Tax”), Employer shall pay to Employee such additional compensation as is necessary (after taking into account all federal, state and local taxes (including any interest and penalties imposed with respect to such taxes), including any income or Excise Tax, payable by Employee as a result of the receipt of such additional compensation)) (a “Gross-Up Payment”) to place Employee in the same after-tax position (including federal, state and local taxes) Employee would have been in had no such Excise Tax been paid or incurred.</w:t>
      </w:r>
    </w:p>
    <w:p>
      <w:pPr>
        <w:spacing w:after="0" w:line="120" w:lineRule="exact"/>
        <w:rPr>
          <w:sz w:val="20"/>
          <w:szCs w:val="20"/>
          <w:color w:val="auto"/>
        </w:rPr>
      </w:pPr>
    </w:p>
    <w:p>
      <w:pPr>
        <w:ind w:right="80" w:firstLine="1492"/>
        <w:spacing w:after="0" w:line="285" w:lineRule="auto"/>
        <w:tabs>
          <w:tab w:leader="none" w:pos="1742"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 xml:space="preserve">All mathematical determinations, and all determinations as to whether any of the total Payments are “parachute payments” (within the meaning of Section 280G of the Code) that are required to be made under this </w:t>
      </w:r>
      <w:r>
        <w:rPr>
          <w:rFonts w:ascii="Arial" w:cs="Arial" w:eastAsia="Arial" w:hAnsi="Arial"/>
          <w:sz w:val="16"/>
          <w:szCs w:val="16"/>
          <w:u w:val="single" w:color="auto"/>
          <w:color w:val="auto"/>
        </w:rPr>
        <w:t>Section 1(d)</w:t>
      </w:r>
      <w:r>
        <w:rPr>
          <w:rFonts w:ascii="Arial" w:cs="Arial" w:eastAsia="Arial" w:hAnsi="Arial"/>
          <w:sz w:val="16"/>
          <w:szCs w:val="16"/>
          <w:color w:val="auto"/>
        </w:rPr>
        <w:t>, including determinations as to whether a Gross-Up Payment is required and the amount of such Gross-Up Payment, shall be made by an independent accounting firm selected by the Employee from among the four (4) largest accounting firms in the United States (the “Accounting Firm”), which shall provide its determination (the “Determination”), together with detailed supporting calculations regarding the amount of any Gross-Up Payment and any other relevant matter, both to Employer and the Employee by no later than ten (10) days following the Termination Date, if applicable, or such earlier time as is requested by Employer or the Employee (if the Employee reasonably believes that any of the Payments may be subject to the Excise Tax). If the Accounting Firm determines that no Excise Tax is payable by the Employee, it shall furnish the Employee and Employer with a written statement that such Accounting Firm has concluded that no Excise Tax is payable (including the reasons therefor) and that the Employee has substantial authority not to report any Excise Tax on his federal income tax return. If a Gross-Up Payment is determined to be payable, it shall be paid to the Employee within twenty (20) days after the Determination (and all accompanying calculations and other material supporting the Determination) is delivered to Employer by the Accounting Firm. The cost of obtaining the Determination shall be borne by Employer, and any Determination by the Accounting Firm shall be binding upon Employer and the Employee, absent manifest error. Without limiting the obligation of Employer hereunder, Employee agrees, in the event that Employer makes a Gross-Up Payment to cover any Excise Tax, to negotiate with Employer in good faith with respect to procedures reasonably requested by Employer which would afford Employer the ability to contest the imposition of such Excise Tax; provided, however, that Employee will not be required to afford Employer any right to contest the applicability of any such Excise Tax to the extent that Employee reasonably determines (based upon the opinion of the Accounting Firm) that such contest is inconsistent with the overall tax interest of Employee.</w:t>
      </w:r>
    </w:p>
    <w:p>
      <w:pPr>
        <w:spacing w:after="0" w:line="123" w:lineRule="exact"/>
        <w:rPr>
          <w:rFonts w:ascii="Arial" w:cs="Arial" w:eastAsia="Arial" w:hAnsi="Arial"/>
          <w:sz w:val="16"/>
          <w:szCs w:val="16"/>
          <w:b w:val="1"/>
          <w:bCs w:val="1"/>
          <w:color w:val="auto"/>
        </w:rPr>
      </w:pPr>
    </w:p>
    <w:p>
      <w:pPr>
        <w:ind w:firstLine="1492"/>
        <w:spacing w:after="0" w:line="288" w:lineRule="auto"/>
        <w:tabs>
          <w:tab w:leader="none" w:pos="1791"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As a result of the uncertainty in the application of Sections 4999 and 280G of the Code, it is possible that a Gross-Up Payment (or a portion thereof) will be paid which should not have been paid (an “Excess Payment”) or a Gross-Up Payment (or a portion thereof) which should have been paid will not have been paid (an “Underpayment”). An Underpayment shall be deemed to have occurred: (A) upon notice (formal or informal) to Employee from any governmental taxing authority that Employee’s tax liability (whether in respect of Employee’s current taxable year or in respect of any prior taxable year) may be increased by reason of the imposition of the Excise Tax on a Payment or Payments with respect to which Employer has failed to make a sufficient Gross-Up Payment; (B) upon determination by a court; (C) by reason of determination by Employer (which shall include the position taken by Employer, together with its consolidated group, on its federal income tax return); or (D) upon the resolution of the dispute to Employee’s satisfaction. If an Underpayment occurs, Employee shall promptly notify Employer and Employer shall promptly, but in any event, at least five (5) days prior to the date on which the applicable governmental taxing authority has requested payment, pay to</w:t>
      </w:r>
    </w:p>
    <w:p>
      <w:pPr>
        <w:sectPr>
          <w:pgSz w:w="11900" w:h="16838" w:orient="portrait"/>
          <w:cols w:equalWidth="0" w:num="1">
            <w:col w:w="11400"/>
          </w:cols>
          <w:pgMar w:left="240" w:top="280" w:right="259" w:bottom="1440" w:gutter="0" w:footer="0" w:header="0"/>
        </w:sectPr>
      </w:pPr>
    </w:p>
    <w:bookmarkStart w:id="47" w:name="page48"/>
    <w:bookmarkEnd w:id="4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an additional Gross-Up Payment equal to the amount of the Underpayment plus any interest and penalties (other than interest and penalties imposed by reason of Employee’s failure to file a timely tax return or pay taxes shown due on Employee’s return where such failure is not due to Employer’s actions or omissions) imposed on the Underpayment. An Excess Payment shall be deemed to have occurred upon a “Final Determination” (as hereinafter defined) that the Excise Tax shall not be imposed upon a Payment or Payments (or a portion thereof) with respect to which Employee had previously received a Gross-Up Payment. A “Final Determination” shall be deemed to have occurred when Employee has received from the applicable governmental taxing authority a refund of taxes or other reduction in Employee’s tax liability by reason of the Excess Payment and upon either: (x) the date a determination is made by, or an agreement is entered into with, the applicable governmental taxing authority which finally and conclusively binds Employee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(y) the statute of limitations with respect to Employee’s applicable tax return has expired. If an Excess Payment is determined to have been made, the amount of the Excess Payment, together with interest thereon at an annual rate equal to the Applicable Federal Rate provided for in Section 1274(d) of the Code from the date the Gross-Up Payment (to which the Excess Payment relates) was paid to Employee until date of repayment of the Excess Payment to Employer, shall be paid by Employee to Employer within thirty (30) days after the determination of such Excess Payment and written notice having been delivered to Employee.</w:t>
      </w:r>
    </w:p>
    <w:p>
      <w:pPr>
        <w:spacing w:after="0" w:line="121" w:lineRule="exact"/>
        <w:rPr>
          <w:sz w:val="20"/>
          <w:szCs w:val="20"/>
          <w:color w:val="auto"/>
        </w:rPr>
      </w:pPr>
    </w:p>
    <w:p>
      <w:pPr>
        <w:jc w:val="both"/>
        <w:ind w:right="20" w:firstLine="1492"/>
        <w:spacing w:after="0" w:line="259" w:lineRule="auto"/>
        <w:tabs>
          <w:tab w:leader="none" w:pos="1781"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to the contrary, in the event that, according to the Final Determination, an Excise Tax will be imposed on any Payment or Payments, Employer shall pay to the applicable governmental taxing authorities as Excise Tax withholding, the amount of the Excise Tax that Employer has actually withheld from the Payment or Payments.</w:t>
      </w:r>
    </w:p>
    <w:p>
      <w:pPr>
        <w:spacing w:after="0" w:line="134" w:lineRule="exact"/>
        <w:rPr>
          <w:rFonts w:ascii="Arial" w:cs="Arial" w:eastAsia="Arial" w:hAnsi="Arial"/>
          <w:sz w:val="18"/>
          <w:szCs w:val="18"/>
          <w:b w:val="1"/>
          <w:bCs w:val="1"/>
          <w:color w:val="auto"/>
        </w:rPr>
      </w:pPr>
    </w:p>
    <w:p>
      <w:pPr>
        <w:ind w:right="620" w:firstLine="921"/>
        <w:spacing w:after="0" w:line="339" w:lineRule="auto"/>
        <w:tabs>
          <w:tab w:leader="none" w:pos="1152"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Set-Off</w:t>
      </w:r>
      <w:r>
        <w:rPr>
          <w:rFonts w:ascii="Arial" w:cs="Arial" w:eastAsia="Arial" w:hAnsi="Arial"/>
          <w:sz w:val="16"/>
          <w:szCs w:val="16"/>
          <w:b w:val="1"/>
          <w:bCs w:val="1"/>
          <w:color w:val="auto"/>
        </w:rPr>
        <w:t xml:space="preserve">. </w:t>
      </w:r>
      <w:r>
        <w:rPr>
          <w:rFonts w:ascii="Arial" w:cs="Arial" w:eastAsia="Arial" w:hAnsi="Arial"/>
          <w:sz w:val="16"/>
          <w:szCs w:val="16"/>
          <w:color w:val="auto"/>
        </w:rPr>
        <w:t>After a Change in Control, Employer shall have no right of set-off, reduction or counterclaim in respect of any debt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Employee to Employer against any payment, benefit or other Employer obligation to Employee provided for in this Agreement.</w:t>
      </w:r>
    </w:p>
    <w:p>
      <w:pPr>
        <w:spacing w:after="0" w:line="74" w:lineRule="exact"/>
        <w:rPr>
          <w:rFonts w:ascii="Arial" w:cs="Arial" w:eastAsia="Arial" w:hAnsi="Arial"/>
          <w:sz w:val="16"/>
          <w:szCs w:val="16"/>
          <w:b w:val="1"/>
          <w:bCs w:val="1"/>
          <w:color w:val="auto"/>
        </w:rPr>
      </w:pPr>
    </w:p>
    <w:p>
      <w:pPr>
        <w:ind w:right="80" w:firstLine="921"/>
        <w:spacing w:after="0" w:line="316" w:lineRule="auto"/>
        <w:tabs>
          <w:tab w:leader="none" w:pos="1132"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Interest on Amounts Payable</w:t>
      </w:r>
      <w:r>
        <w:rPr>
          <w:rFonts w:ascii="Arial" w:cs="Arial" w:eastAsia="Arial" w:hAnsi="Arial"/>
          <w:sz w:val="15"/>
          <w:szCs w:val="15"/>
          <w:b w:val="1"/>
          <w:bCs w:val="1"/>
          <w:color w:val="auto"/>
        </w:rPr>
        <w:t xml:space="preserve">. </w:t>
      </w:r>
      <w:r>
        <w:rPr>
          <w:rFonts w:ascii="Arial" w:cs="Arial" w:eastAsia="Arial" w:hAnsi="Arial"/>
          <w:sz w:val="15"/>
          <w:szCs w:val="15"/>
          <w:color w:val="auto"/>
        </w:rPr>
        <w:t>After a Change of Control, if any amounts which are required or determined to be paid or payable or reimbursed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or reimbursable to Employee under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1 are not so paid promptly at the times provided herein or therein, such amounts shall accrue interest, compounded daily at the annual percentage rate which is three percentage points (3%) above the interest rate which is announced by The Riggs National Bank (Washington, D.C.) from time to time as its prime lending rate, from the date such amounts were required or determined to have been paid or payable or reimbursed or reimbursable to Employee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95" w:lineRule="exact"/>
        <w:rPr>
          <w:rFonts w:ascii="Arial" w:cs="Arial" w:eastAsia="Arial" w:hAnsi="Arial"/>
          <w:sz w:val="15"/>
          <w:szCs w:val="15"/>
          <w:b w:val="1"/>
          <w:bCs w:val="1"/>
          <w:color w:val="auto"/>
        </w:rPr>
      </w:pPr>
    </w:p>
    <w:p>
      <w:pPr>
        <w:ind w:right="120" w:firstLine="921"/>
        <w:spacing w:after="0" w:line="293" w:lineRule="auto"/>
        <w:tabs>
          <w:tab w:leader="none" w:pos="1161"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Disputes; Payment of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after a Change of Control, all costs and expenses (including legal, accounting and other advisory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fees and expenses of investigation) incurred by Employee in connection with: (i) any dispute as to the validity, interpretation or application of any term or condition of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(ii) the determination in any tax year of the tax consequences to Employee of any amounts payable (or reimbursable) under this </w:t>
      </w:r>
      <w:r>
        <w:rPr>
          <w:rFonts w:ascii="Arial" w:cs="Arial" w:eastAsia="Arial" w:hAnsi="Arial"/>
          <w:sz w:val="16"/>
          <w:szCs w:val="16"/>
          <w:u w:val="single" w:color="auto"/>
          <w:color w:val="auto"/>
        </w:rPr>
        <w:t>Section 1</w:t>
      </w:r>
      <w:r>
        <w:rPr>
          <w:rFonts w:ascii="Arial" w:cs="Arial" w:eastAsia="Arial" w:hAnsi="Arial"/>
          <w:sz w:val="16"/>
          <w:szCs w:val="16"/>
          <w:color w:val="auto"/>
        </w:rPr>
        <w:t>; or (iii) the preparation of responses to an Internal Revenue Service audit of, and other defense of, Employee’s personal income tax return for any year which is the subject of any such audit or an adverse determination, administrative proceeding or civil litigation arising therefrom that is occasioned by or related to an audit of the Internal Revenue Service of Employer’s income tax returns are, upon written demand by Employee, to be paid by</w:t>
      </w:r>
    </w:p>
    <w:p>
      <w:pPr>
        <w:sectPr>
          <w:pgSz w:w="11900" w:h="16838" w:orient="portrait"/>
          <w:cols w:equalWidth="0" w:num="1">
            <w:col w:w="11380"/>
          </w:cols>
          <w:pgMar w:left="240" w:top="280" w:right="279" w:bottom="1440" w:gutter="0" w:footer="0" w:header="0"/>
        </w:sectPr>
      </w:pPr>
    </w:p>
    <w:bookmarkStart w:id="48" w:name="page49"/>
    <w:bookmarkEnd w:id="48"/>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Employer (and Employee shall be entitled, upon application to any court of competent jurisdiction, to the entry of a mandatory injunction, without the necessity of posting any bond with respect thereto, compelling Employer) promptly on a current basis (either directly or by reimbursing Employee). Under no circumstances shall Employee be obligated to pay or reimburse Employer for any attorneys’ fees, costs or expenses incurred by Employer.</w:t>
      </w:r>
    </w:p>
    <w:p>
      <w:pPr>
        <w:spacing w:after="0" w:line="101" w:lineRule="exact"/>
        <w:rPr>
          <w:sz w:val="20"/>
          <w:szCs w:val="20"/>
          <w:color w:val="auto"/>
        </w:rPr>
      </w:pPr>
    </w:p>
    <w:p>
      <w:pPr>
        <w:ind w:left="600" w:hanging="136"/>
        <w:spacing w:after="0"/>
        <w:tabs>
          <w:tab w:leader="none" w:pos="6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w:t>
      </w:r>
    </w:p>
    <w:p>
      <w:pPr>
        <w:spacing w:after="0" w:line="90" w:lineRule="exact"/>
        <w:rPr>
          <w:rFonts w:ascii="Arial" w:cs="Arial" w:eastAsia="Arial" w:hAnsi="Arial"/>
          <w:sz w:val="18"/>
          <w:szCs w:val="18"/>
          <w:b w:val="1"/>
          <w:bCs w:val="1"/>
          <w:color w:val="auto"/>
        </w:rPr>
      </w:pPr>
    </w:p>
    <w:p>
      <w:pPr>
        <w:ind w:firstLine="921"/>
        <w:spacing w:after="0" w:line="296" w:lineRule="auto"/>
        <w:tabs>
          <w:tab w:leader="none" w:pos="1161" w:val="left"/>
        </w:tabs>
        <w:numPr>
          <w:ilvl w:val="1"/>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Employer’s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Employee and Employer mutually agree on appropriate language for such purposes, in the event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employment is terminated following a Change in Control, Employer, except to the extent required by law, will not make or publish, without the express prior written consent of Employee, any written or oral statement concerning Employee’s work related performance or the reasons or basis for the severing of Employee’s employment relationship with Employer; provided, however, that the foregoing restriction is not applicable to information which was or became generally available to the public other than as a result of a disclosure by Employer.</w:t>
      </w:r>
    </w:p>
    <w:p>
      <w:pPr>
        <w:spacing w:after="0" w:line="107" w:lineRule="exact"/>
        <w:rPr>
          <w:rFonts w:ascii="Arial" w:cs="Arial" w:eastAsia="Arial" w:hAnsi="Arial"/>
          <w:sz w:val="16"/>
          <w:szCs w:val="16"/>
          <w:b w:val="1"/>
          <w:bCs w:val="1"/>
          <w:color w:val="auto"/>
        </w:rPr>
      </w:pPr>
    </w:p>
    <w:p>
      <w:pPr>
        <w:ind w:right="40" w:firstLine="921"/>
        <w:spacing w:after="0" w:line="275" w:lineRule="auto"/>
        <w:tabs>
          <w:tab w:leader="none" w:pos="1171"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acknowledges and reaffirms that Employee will comply with the terms of the confidentiality letter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by Employee upon commencement of Employee’s employment with Employer.</w:t>
      </w:r>
    </w:p>
    <w:p>
      <w:pPr>
        <w:spacing w:after="0" w:line="120" w:lineRule="exact"/>
        <w:rPr>
          <w:sz w:val="20"/>
          <w:szCs w:val="20"/>
          <w:color w:val="auto"/>
        </w:rPr>
      </w:pPr>
    </w:p>
    <w:p>
      <w:pPr>
        <w:ind w:right="80" w:firstLine="464"/>
        <w:spacing w:after="0" w:line="262" w:lineRule="auto"/>
        <w:tabs>
          <w:tab w:leader="none" w:pos="63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may withhold from any benefits payable under this Agreement, and pay over to the appropriate authority, all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county, city or other taxes (other than any excise tax imposed under Section 4999 of the Code or any similar tax) as shall be required pursuant to any law or governmental regulation or ruling.</w:t>
      </w:r>
    </w:p>
    <w:p>
      <w:pPr>
        <w:spacing w:after="0" w:line="132" w:lineRule="exact"/>
        <w:rPr>
          <w:rFonts w:ascii="Arial" w:cs="Arial" w:eastAsia="Arial" w:hAnsi="Arial"/>
          <w:sz w:val="18"/>
          <w:szCs w:val="18"/>
          <w:b w:val="1"/>
          <w:bCs w:val="1"/>
          <w:color w:val="auto"/>
        </w:rPr>
      </w:pPr>
    </w:p>
    <w:p>
      <w:pPr>
        <w:ind w:left="640" w:hanging="176"/>
        <w:spacing w:after="0"/>
        <w:tabs>
          <w:tab w:leader="none" w:pos="6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60" w:firstLine="921"/>
        <w:spacing w:after="0" w:line="256" w:lineRule="auto"/>
        <w:tabs>
          <w:tab w:leader="none" w:pos="1161" w:val="left"/>
        </w:tabs>
        <w:numPr>
          <w:ilvl w:val="1"/>
          <w:numId w:val="60"/>
        </w:numPr>
        <w:rPr>
          <w:rFonts w:ascii="Arial" w:cs="Arial" w:eastAsia="Arial" w:hAnsi="Arial"/>
          <w:sz w:val="18"/>
          <w:szCs w:val="18"/>
          <w:b w:val="1"/>
          <w:bCs w:val="1"/>
          <w:color w:val="auto"/>
        </w:rPr>
      </w:pPr>
      <w:r>
        <w:rPr>
          <w:rFonts w:ascii="Arial" w:cs="Arial" w:eastAsia="Arial" w:hAnsi="Arial"/>
          <w:sz w:val="18"/>
          <w:szCs w:val="18"/>
          <w:color w:val="auto"/>
        </w:rPr>
        <w:t>Any controversy, claim or dispute arising out of or relating to this Agreement or the breach thereof shall be settled by arbitration in accordance with the then existing Commercial Arbitration Rules of the American Arbitration Association, and judgment upon the award rendered by the arbitrator(s) may be entered in any court having jurisdiction thereof. The parties irrevocably consent to the jurisdiction of the federal and state courts located in Maryland for this purpose. Each such arbitration proceeding shall be located in Maryland.</w:t>
      </w:r>
    </w:p>
    <w:p>
      <w:pPr>
        <w:spacing w:after="0" w:line="143" w:lineRule="exact"/>
        <w:rPr>
          <w:rFonts w:ascii="Arial" w:cs="Arial" w:eastAsia="Arial" w:hAnsi="Arial"/>
          <w:sz w:val="18"/>
          <w:szCs w:val="18"/>
          <w:b w:val="1"/>
          <w:bCs w:val="1"/>
          <w:color w:val="auto"/>
        </w:rPr>
      </w:pPr>
    </w:p>
    <w:p>
      <w:pPr>
        <w:ind w:firstLine="921"/>
        <w:spacing w:after="0" w:line="291" w:lineRule="auto"/>
        <w:tabs>
          <w:tab w:leader="none" w:pos="1171" w:val="left"/>
        </w:tabs>
        <w:numPr>
          <w:ilvl w:val="1"/>
          <w:numId w:val="60"/>
        </w:numPr>
        <w:rPr>
          <w:rFonts w:ascii="Arial" w:cs="Arial" w:eastAsia="Arial" w:hAnsi="Arial"/>
          <w:sz w:val="16"/>
          <w:szCs w:val="16"/>
          <w:b w:val="1"/>
          <w:bCs w:val="1"/>
          <w:color w:val="auto"/>
        </w:rPr>
      </w:pPr>
      <w:r>
        <w:rPr>
          <w:rFonts w:ascii="Arial" w:cs="Arial" w:eastAsia="Arial" w:hAnsi="Arial"/>
          <w:sz w:val="16"/>
          <w:szCs w:val="16"/>
          <w:color w:val="auto"/>
        </w:rPr>
        <w:t>The arbitrator(s) may, in the course of the proceedings, order any provisional remedy or conservatory measure (including, without limitation, attachment, preliminary injunction or the deposit of specified security) that the arbitrator(s) consider to be necessary, just and equitable. The failure of a party to comply with such an interim 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pacing w:after="0" w:line="120" w:lineRule="exact"/>
        <w:rPr>
          <w:rFonts w:ascii="Arial" w:cs="Arial" w:eastAsia="Arial" w:hAnsi="Arial"/>
          <w:sz w:val="16"/>
          <w:szCs w:val="16"/>
          <w:b w:val="1"/>
          <w:bCs w:val="1"/>
          <w:color w:val="auto"/>
        </w:rPr>
      </w:pPr>
    </w:p>
    <w:p>
      <w:pPr>
        <w:ind w:right="20" w:firstLine="921"/>
        <w:spacing w:after="0" w:line="298" w:lineRule="auto"/>
        <w:tabs>
          <w:tab w:leader="none" w:pos="1152" w:val="left"/>
        </w:tabs>
        <w:numPr>
          <w:ilvl w:val="1"/>
          <w:numId w:val="60"/>
        </w:numPr>
        <w:rPr>
          <w:rFonts w:ascii="Arial" w:cs="Arial" w:eastAsia="Arial" w:hAnsi="Arial"/>
          <w:sz w:val="16"/>
          <w:szCs w:val="16"/>
          <w:b w:val="1"/>
          <w:bCs w:val="1"/>
          <w:color w:val="auto"/>
        </w:rPr>
      </w:pPr>
      <w:r>
        <w:rPr>
          <w:rFonts w:ascii="Arial" w:cs="Arial" w:eastAsia="Arial" w:hAnsi="Arial"/>
          <w:sz w:val="16"/>
          <w:szCs w:val="16"/>
          <w:color w:val="auto"/>
        </w:rPr>
        <w:t xml:space="preserve">The parties acknowledge that any remedy at law for breach of this Agreement may be inadequate, and that, in the event of a breach by Employee of </w:t>
      </w:r>
      <w:r>
        <w:rPr>
          <w:rFonts w:ascii="Arial" w:cs="Arial" w:eastAsia="Arial" w:hAnsi="Arial"/>
          <w:sz w:val="16"/>
          <w:szCs w:val="16"/>
          <w:u w:val="single" w:color="auto"/>
          <w:color w:val="auto"/>
        </w:rPr>
        <w:t>Section 3(b)</w:t>
      </w:r>
      <w:r>
        <w:rPr>
          <w:rFonts w:ascii="Arial" w:cs="Arial" w:eastAsia="Arial" w:hAnsi="Arial"/>
          <w:sz w:val="16"/>
          <w:szCs w:val="16"/>
          <w:color w:val="auto"/>
        </w:rPr>
        <w:t>, any remedy at law would be inadequate in that such breach would cause irreparable competitive harm to Employer. Consequently, in addition to any other relief that may be available, the arbitrator(s) also may order permanent injunctive relief, including, without limitation, specific performance, without the necessity of the prevailing party proving actual damages and without regard to the adequacy of any remedy at law.</w:t>
      </w:r>
    </w:p>
    <w:p>
      <w:pPr>
        <w:sectPr>
          <w:pgSz w:w="11900" w:h="16838" w:orient="portrait"/>
          <w:cols w:equalWidth="0" w:num="1">
            <w:col w:w="11400"/>
          </w:cols>
          <w:pgMar w:left="240" w:top="280" w:right="259" w:bottom="1440" w:gutter="0" w:footer="0" w:header="0"/>
        </w:sectPr>
      </w:pPr>
    </w:p>
    <w:bookmarkStart w:id="49" w:name="page50"/>
    <w:bookmarkEnd w:id="49"/>
    <w:p>
      <w:pPr>
        <w:ind w:left="-464" w:right="320" w:firstLine="921"/>
        <w:spacing w:after="0" w:line="259" w:lineRule="auto"/>
        <w:tabs>
          <w:tab w:leader="none" w:pos="707"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that Employee is the prevailing party in such arbitration, then Employee shall be entitled to reimbursement by Employer for all reasonable legal and other professional fees and expenses incurred by Employee in such arbitration or in enforcing the award, including reasonable attorney’s fees.</w:t>
      </w:r>
    </w:p>
    <w:p>
      <w:pPr>
        <w:spacing w:after="0" w:line="140" w:lineRule="exact"/>
        <w:rPr>
          <w:rFonts w:ascii="Arial" w:cs="Arial" w:eastAsia="Arial" w:hAnsi="Arial"/>
          <w:sz w:val="18"/>
          <w:szCs w:val="18"/>
          <w:b w:val="1"/>
          <w:bCs w:val="1"/>
          <w:color w:val="auto"/>
        </w:rPr>
      </w:pPr>
    </w:p>
    <w:p>
      <w:pPr>
        <w:ind w:left="696" w:hanging="239"/>
        <w:spacing w:after="0"/>
        <w:tabs>
          <w:tab w:leader="none" w:pos="696"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The parties agree that the results of any such arbitration proceeding shall be conclusive and binding upon them.</w:t>
      </w:r>
    </w:p>
    <w:p>
      <w:pPr>
        <w:spacing w:after="0" w:line="165" w:lineRule="exact"/>
        <w:rPr>
          <w:rFonts w:ascii="Arial" w:cs="Arial" w:eastAsia="Arial" w:hAnsi="Arial"/>
          <w:sz w:val="18"/>
          <w:szCs w:val="18"/>
          <w:b w:val="1"/>
          <w:bCs w:val="1"/>
          <w:color w:val="auto"/>
        </w:rPr>
      </w:pPr>
    </w:p>
    <w:p>
      <w:pPr>
        <w:ind w:left="176" w:hanging="176"/>
        <w:spacing w:after="0"/>
        <w:tabs>
          <w:tab w:leader="none" w:pos="176"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Continued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not confer upon the Employee any right with respect to continuance of employment by Employer.</w:t>
      </w:r>
    </w:p>
    <w:p>
      <w:pPr>
        <w:spacing w:after="0" w:line="194" w:lineRule="exact"/>
        <w:rPr>
          <w:rFonts w:ascii="Arial" w:cs="Arial" w:eastAsia="Arial" w:hAnsi="Arial"/>
          <w:sz w:val="16"/>
          <w:szCs w:val="16"/>
          <w:b w:val="1"/>
          <w:bCs w:val="1"/>
          <w:color w:val="auto"/>
        </w:rPr>
      </w:pPr>
    </w:p>
    <w:p>
      <w:pPr>
        <w:jc w:val="both"/>
        <w:ind w:left="-464" w:right="40" w:firstLine="464"/>
        <w:spacing w:after="0" w:line="262" w:lineRule="auto"/>
        <w:tabs>
          <w:tab w:leader="none" w:pos="168"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not be required to mitigate the amount of any payment, benefit or other Employer obligation provided for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by seeking other employment or otherwise and no such payment shall be offset or reduced by the amount of any compensation or benefits provided to Employee in any subsequent employment.</w:t>
      </w:r>
    </w:p>
    <w:p>
      <w:pPr>
        <w:spacing w:after="0" w:line="132" w:lineRule="exact"/>
        <w:rPr>
          <w:rFonts w:ascii="Arial" w:cs="Arial" w:eastAsia="Arial" w:hAnsi="Arial"/>
          <w:sz w:val="18"/>
          <w:szCs w:val="18"/>
          <w:b w:val="1"/>
          <w:bCs w:val="1"/>
          <w:color w:val="auto"/>
        </w:rPr>
      </w:pPr>
    </w:p>
    <w:p>
      <w:pPr>
        <w:ind w:left="-464" w:firstLine="464"/>
        <w:spacing w:after="0" w:line="287" w:lineRule="auto"/>
        <w:tabs>
          <w:tab w:leader="none" w:pos="168"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this Agreement nor any right, remedy, obligation or liability arising hereunder or by reason hereof shall be assignable by either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or Employee without the prior written consent of the other party; provided, however, that this provision shall not preclude Employee from designating one or more beneficiaries to receive any amount that may be payable after Employee’s death and shall not preclude Employee’s executor or administrator from assigning any right hereunder to the person or persons entitled thereto; provided, further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in connection with a voluntary transfer, the Employer may assign this Agreement (and its rights, remedies, obligations, and liabilities) to an affiliate of the Employer without the consent of the Employee in connection with a spin off of such affiliate (whether by a transfer of shares of beneficial ownership, assets, or other substantially similar transaction) to all or substantially all of the shareholders of the Employer (a “Spin-off”) and, upon such assignment, the affiliate shall be deemed the Employer for all purposes of this Agreement. This Agreement shall not be terminated either by the voluntary or involuntary dissolution or the winding up of the affairs of Employer, or by any merger or consolidation wherein Employer is not the surviving entity, or by any transfer of all or substantially all of Employer’s assets on a consolidated basis. In the event of any such merger, consolidation or transfer of assets, the provisions of this Agreement shall be binding upon and shall inure to the benefit of the surviving entity or to the entity to which such assets shall be transferred.</w:t>
      </w:r>
    </w:p>
    <w:p>
      <w:pPr>
        <w:spacing w:after="0" w:line="118" w:lineRule="exact"/>
        <w:rPr>
          <w:rFonts w:ascii="Arial" w:cs="Arial" w:eastAsia="Arial" w:hAnsi="Arial"/>
          <w:sz w:val="16"/>
          <w:szCs w:val="16"/>
          <w:b w:val="1"/>
          <w:bCs w:val="1"/>
          <w:color w:val="auto"/>
        </w:rPr>
      </w:pPr>
    </w:p>
    <w:p>
      <w:pPr>
        <w:ind w:left="-464" w:right="640" w:firstLine="464"/>
        <w:spacing w:after="0" w:line="275" w:lineRule="auto"/>
        <w:tabs>
          <w:tab w:leader="none" w:pos="168"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terminated, amended, modified or supplemented only by a written instrument executed by Employee and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w:t>
      </w:r>
    </w:p>
    <w:p>
      <w:pPr>
        <w:spacing w:after="0" w:line="119" w:lineRule="exact"/>
        <w:rPr>
          <w:rFonts w:ascii="Arial" w:cs="Arial" w:eastAsia="Arial" w:hAnsi="Arial"/>
          <w:sz w:val="18"/>
          <w:szCs w:val="18"/>
          <w:b w:val="1"/>
          <w:bCs w:val="1"/>
          <w:color w:val="auto"/>
        </w:rPr>
      </w:pPr>
    </w:p>
    <w:p>
      <w:pPr>
        <w:ind w:left="-464" w:right="80" w:firstLine="464"/>
        <w:spacing w:after="0" w:line="291" w:lineRule="auto"/>
        <w:tabs>
          <w:tab w:leader="none" w:pos="255"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Waiver</w:t>
      </w:r>
      <w:r>
        <w:rPr>
          <w:rFonts w:ascii="Arial" w:cs="Arial" w:eastAsia="Arial" w:hAnsi="Arial"/>
          <w:sz w:val="16"/>
          <w:szCs w:val="16"/>
          <w:b w:val="1"/>
          <w:bCs w:val="1"/>
          <w:color w:val="auto"/>
        </w:rPr>
        <w:t xml:space="preserve">. </w:t>
      </w:r>
      <w:r>
        <w:rPr>
          <w:rFonts w:ascii="Arial" w:cs="Arial" w:eastAsia="Arial" w:hAnsi="Arial"/>
          <w:sz w:val="16"/>
          <w:szCs w:val="16"/>
          <w:color w:val="auto"/>
        </w:rPr>
        <w:t>Either party hereto may by written notice to the other: (a) extend the time for performance of any of the obligations or other actions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party under this Agreement; (b) waive compliance with any of the conditions or covenants of the other party contained in this Agreement; or (c) waive or modify performance of any of the obligations of the other party under this Agreement. Except as provided in the preceding sentence, no action taken pursuant to this Agreement shall be deemed to constitute a waiver by the party taking such action of compliance with any representations, warranties, covenants or agreements contained herein. The waiver by any party hereto of a breach of any provision of this 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ectPr>
          <w:pgSz w:w="11900" w:h="16838" w:orient="portrait"/>
          <w:cols w:equalWidth="0" w:num="1">
            <w:col w:w="10936"/>
          </w:cols>
          <w:pgMar w:left="704" w:top="280" w:right="259" w:bottom="1440" w:gutter="0" w:footer="0" w:header="0"/>
        </w:sectPr>
      </w:pPr>
    </w:p>
    <w:bookmarkStart w:id="50" w:name="page51"/>
    <w:bookmarkEnd w:id="50"/>
    <w:p>
      <w:pPr>
        <w:ind w:left="-464" w:right="60" w:firstLine="464"/>
        <w:spacing w:after="0" w:line="289" w:lineRule="auto"/>
        <w:tabs>
          <w:tab w:leader="none" w:pos="246"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one or more of the provisions of this Agreement shall, for any reason, be held or found by determination of the arbitrator(s)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an arbitration held in accordance with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above to be invalid, illegal or unenforceable in any respect: (a) such invalidity, illegality or unenforceability shall not affect any other provisions of this Agreement; (b) this Agreement shall be construed as if such invalid, illegal or unenforceable provision had never been contained herein; and (c) if the effect of a holding or finding that any such provision is either invalid, illegal or unenforceable is to modify to Employee’s detriment, reduce or eliminate any compensation, reimbursement, payment, allowance or other benefit to Employee intended by Employer and Employee in entering into this Agreement, Employer shall promptly negotiate and enter into an agreement with Employee containing alternative provisions (reasonably acceptable to Employee), that will restore to Employee (to the extent legally permissible) substantially the same economic, substantive and income tax benefits Employee would have enjoyed had any such provision of this Agreement been upheld as legal, valid and enforceable. Failure to insist upon strict compliance with any provision of this Agreement shall not be deemed a waiver of such provision or of any other provision of this Agreement.</w:t>
      </w:r>
    </w:p>
    <w:p>
      <w:pPr>
        <w:spacing w:after="0" w:line="112" w:lineRule="exact"/>
        <w:rPr>
          <w:rFonts w:ascii="Arial" w:cs="Arial" w:eastAsia="Arial" w:hAnsi="Arial"/>
          <w:sz w:val="16"/>
          <w:szCs w:val="16"/>
          <w:b w:val="1"/>
          <w:bCs w:val="1"/>
          <w:color w:val="auto"/>
        </w:rPr>
      </w:pPr>
    </w:p>
    <w:p>
      <w:pPr>
        <w:ind w:left="-464" w:right="40" w:firstLine="464"/>
        <w:spacing w:after="0" w:line="262" w:lineRule="auto"/>
        <w:tabs>
          <w:tab w:leader="none" w:pos="25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has been executed and delivered in the State of Maryland and its validity, interpretation, performance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enforcement shall be governed by the laws of said State; provided, however, that any arbitration under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shall be conducted in accordance with the Federal Arbitration Act as then in force.</w:t>
      </w:r>
    </w:p>
    <w:p>
      <w:pPr>
        <w:spacing w:after="0" w:line="132" w:lineRule="exact"/>
        <w:rPr>
          <w:rFonts w:ascii="Arial" w:cs="Arial" w:eastAsia="Arial" w:hAnsi="Arial"/>
          <w:sz w:val="18"/>
          <w:szCs w:val="18"/>
          <w:b w:val="1"/>
          <w:bCs w:val="1"/>
          <w:color w:val="auto"/>
        </w:rPr>
      </w:pPr>
    </w:p>
    <w:p>
      <w:pPr>
        <w:ind w:left="-464" w:right="160" w:firstLine="464"/>
        <w:spacing w:after="0" w:line="310" w:lineRule="auto"/>
        <w:tabs>
          <w:tab w:leader="none" w:pos="255"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Attachment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required by law, no right to receive payments under this Agreement shall be subject to anticipation, commutation,</w:t>
      </w:r>
      <w:r>
        <w:rPr>
          <w:rFonts w:ascii="Arial" w:cs="Arial" w:eastAsia="Arial" w:hAnsi="Arial"/>
          <w:sz w:val="16"/>
          <w:szCs w:val="16"/>
          <w:b w:val="1"/>
          <w:bCs w:val="1"/>
          <w:color w:val="auto"/>
        </w:rPr>
        <w:t xml:space="preserve"> </w:t>
      </w:r>
      <w:r>
        <w:rPr>
          <w:rFonts w:ascii="Arial" w:cs="Arial" w:eastAsia="Arial" w:hAnsi="Arial"/>
          <w:sz w:val="16"/>
          <w:szCs w:val="16"/>
          <w:color w:val="auto"/>
        </w:rPr>
        <w:t>alienation, sale, assignment, encumbrance, charge, pledge, or hypothecation or the execution, attachment, levy, or similar process or assignment by operation of law, and any attempt, voluntary or involuntary, to effect any such action shall be null, void and of no effect.</w:t>
      </w:r>
    </w:p>
    <w:p>
      <w:pPr>
        <w:spacing w:after="0" w:line="97" w:lineRule="exact"/>
        <w:rPr>
          <w:rFonts w:ascii="Arial" w:cs="Arial" w:eastAsia="Arial" w:hAnsi="Arial"/>
          <w:sz w:val="16"/>
          <w:szCs w:val="16"/>
          <w:b w:val="1"/>
          <w:bCs w:val="1"/>
          <w:color w:val="auto"/>
        </w:rPr>
      </w:pPr>
    </w:p>
    <w:p>
      <w:pPr>
        <w:ind w:left="-464" w:firstLine="464"/>
        <w:spacing w:after="0" w:line="275" w:lineRule="auto"/>
        <w:tabs>
          <w:tab w:leader="none" w:pos="25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Source of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All payments provided under this Agreement shall be paid in cash from the general funds of Employer, and no special or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fund shall be established and no other segregation of assets shall be made to assure payment.</w:t>
      </w:r>
    </w:p>
    <w:p>
      <w:pPr>
        <w:spacing w:after="0" w:line="119" w:lineRule="exact"/>
        <w:rPr>
          <w:rFonts w:ascii="Arial" w:cs="Arial" w:eastAsia="Arial" w:hAnsi="Arial"/>
          <w:sz w:val="18"/>
          <w:szCs w:val="18"/>
          <w:b w:val="1"/>
          <w:bCs w:val="1"/>
          <w:color w:val="auto"/>
        </w:rPr>
      </w:pPr>
    </w:p>
    <w:p>
      <w:pPr>
        <w:ind w:left="-464" w:right="960" w:firstLine="464"/>
        <w:spacing w:after="0" w:line="275" w:lineRule="auto"/>
        <w:tabs>
          <w:tab w:leader="none" w:pos="25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section and other headings contained in this Agreement are for reference purposes only and shall not affect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w:t>
      </w:r>
    </w:p>
    <w:p>
      <w:pPr>
        <w:spacing w:after="0" w:line="119" w:lineRule="exact"/>
        <w:rPr>
          <w:rFonts w:ascii="Arial" w:cs="Arial" w:eastAsia="Arial" w:hAnsi="Arial"/>
          <w:sz w:val="18"/>
          <w:szCs w:val="18"/>
          <w:b w:val="1"/>
          <w:bCs w:val="1"/>
          <w:color w:val="auto"/>
        </w:rPr>
      </w:pPr>
    </w:p>
    <w:p>
      <w:pPr>
        <w:ind w:left="-464" w:right="60" w:firstLine="464"/>
        <w:spacing w:after="0" w:line="258" w:lineRule="auto"/>
        <w:tabs>
          <w:tab w:leader="none" w:pos="25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to be given under this Agreement shall be in writing and shall be deemed to have been given when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in person or when deposited in the U.S. mail, registered or certified, postage prepaid, and mailed to Employee’s addresses set forth herein and the business address of Employer, unless a party changes its address for receiving notices by giving notice in accordance with this Section, in which case, to the address specified in such notice.</w:t>
      </w:r>
    </w:p>
    <w:p>
      <w:pPr>
        <w:spacing w:after="0" w:line="136" w:lineRule="exact"/>
        <w:rPr>
          <w:rFonts w:ascii="Arial" w:cs="Arial" w:eastAsia="Arial" w:hAnsi="Arial"/>
          <w:sz w:val="18"/>
          <w:szCs w:val="18"/>
          <w:b w:val="1"/>
          <w:bCs w:val="1"/>
          <w:color w:val="auto"/>
        </w:rPr>
      </w:pPr>
    </w:p>
    <w:p>
      <w:pPr>
        <w:ind w:left="-464" w:right="340" w:firstLine="464"/>
        <w:spacing w:after="0" w:line="275" w:lineRule="auto"/>
        <w:tabs>
          <w:tab w:leader="none" w:pos="25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multiple counterparts with the same effect as if each of the signing parties had signed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All counterparts shall be construed together and constitute the same instrument.</w:t>
      </w:r>
    </w:p>
    <w:p>
      <w:pPr>
        <w:spacing w:after="0" w:line="119" w:lineRule="exact"/>
        <w:rPr>
          <w:rFonts w:ascii="Arial" w:cs="Arial" w:eastAsia="Arial" w:hAnsi="Arial"/>
          <w:sz w:val="18"/>
          <w:szCs w:val="18"/>
          <w:b w:val="1"/>
          <w:bCs w:val="1"/>
          <w:color w:val="auto"/>
        </w:rPr>
      </w:pPr>
    </w:p>
    <w:p>
      <w:pPr>
        <w:ind w:left="-464" w:right="340" w:firstLine="464"/>
        <w:spacing w:after="0" w:line="275" w:lineRule="auto"/>
        <w:tabs>
          <w:tab w:leader="none" w:pos="25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otherwise be provided herein, this Agreement supersedes any and all prior written agreements existing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and Employee with regard to the subject matter hereof.</w:t>
      </w:r>
    </w:p>
    <w:p>
      <w:pPr>
        <w:sectPr>
          <w:pgSz w:w="11900" w:h="16838" w:orient="portrait"/>
          <w:cols w:equalWidth="0" w:num="1">
            <w:col w:w="10936"/>
          </w:cols>
          <w:pgMar w:left="704" w:top="274" w:right="25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6"/>
          <w:szCs w:val="16"/>
          <w:color w:val="auto"/>
        </w:rPr>
        <w:t>, the parties have executed and delivered this Agreement to be effective as of the day and year indicated above.</w:t>
      </w: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Employee’s Signature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Employee’s Permanent Address: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2319 Gerken Avenue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Vienna, VA 22181</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FEDERAL REALTY INVESTMENT TRUST</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Donald C. Wood</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6560"/>
        <w:spacing w:after="0"/>
        <w:tabs>
          <w:tab w:leader="none" w:pos="7380" w:val="left"/>
        </w:tabs>
        <w:rPr>
          <w:sz w:val="20"/>
          <w:szCs w:val="20"/>
          <w:color w:val="auto"/>
        </w:rPr>
      </w:pPr>
      <w:r>
        <w:rPr>
          <w:rFonts w:ascii="Arial" w:cs="Arial" w:eastAsia="Arial" w:hAnsi="Arial"/>
          <w:sz w:val="18"/>
          <w:szCs w:val="18"/>
          <w:color w:val="auto"/>
        </w:rPr>
        <w:t>Address:</w:t>
        <w:tab/>
        <w:t>1626 East Jefferson Street</w:t>
      </w:r>
    </w:p>
    <w:p>
      <w:pPr>
        <w:spacing w:after="0" w:line="1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Rockville, Maryland 20852</w:t>
      </w:r>
    </w:p>
    <w:p>
      <w:pPr>
        <w:sectPr>
          <w:pgSz w:w="11900" w:h="16838" w:orient="portrait"/>
          <w:cols w:equalWidth="0" w:num="1">
            <w:col w:w="9840"/>
          </w:cols>
          <w:pgMar w:left="700" w:top="274" w:right="13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7780" w:val="left"/>
        </w:tabs>
        <w:rPr>
          <w:sz w:val="20"/>
          <w:szCs w:val="20"/>
          <w:color w:val="auto"/>
        </w:rPr>
      </w:pPr>
      <w:r>
        <w:rPr>
          <w:rFonts w:ascii="Arial" w:cs="Arial" w:eastAsia="Arial" w:hAnsi="Arial"/>
          <w:sz w:val="18"/>
          <w:szCs w:val="18"/>
          <w:color w:val="auto"/>
        </w:rPr>
        <w:t>October 29, 2008</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ONALD</w:t>
      </w:r>
      <w:r>
        <w:rPr>
          <w:rFonts w:ascii="Arial" w:cs="Arial" w:eastAsia="Arial" w:hAnsi="Arial"/>
          <w:sz w:val="16"/>
          <w:szCs w:val="16"/>
          <w:b w:val="1"/>
          <w:bCs w:val="1"/>
          <w:color w:val="auto"/>
        </w:rPr>
        <w:t xml:space="preserve"> C. W</w:t>
      </w:r>
      <w:r>
        <w:rPr>
          <w:rFonts w:ascii="Arial" w:cs="Arial" w:eastAsia="Arial" w:hAnsi="Arial"/>
          <w:sz w:val="13"/>
          <w:szCs w:val="13"/>
          <w:b w:val="1"/>
          <w:bCs w:val="1"/>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8"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Andrew P. Blocher</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7660" w:val="left"/>
        </w:tabs>
        <w:rPr>
          <w:sz w:val="20"/>
          <w:szCs w:val="20"/>
          <w:color w:val="auto"/>
        </w:rPr>
      </w:pPr>
      <w:r>
        <w:rPr>
          <w:rFonts w:ascii="Arial" w:cs="Arial" w:eastAsia="Arial" w:hAnsi="Arial"/>
          <w:sz w:val="18"/>
          <w:szCs w:val="18"/>
          <w:color w:val="auto"/>
        </w:rPr>
        <w:t>October 29, 2008</w:t>
      </w:r>
      <w:r>
        <w:rPr>
          <w:sz w:val="20"/>
          <w:szCs w:val="20"/>
          <w:color w:val="auto"/>
        </w:rPr>
        <w:tab/>
      </w:r>
      <w:r>
        <w:rPr>
          <w:rFonts w:ascii="Arial" w:cs="Arial" w:eastAsia="Arial" w:hAnsi="Arial"/>
          <w:sz w:val="16"/>
          <w:szCs w:val="16"/>
          <w:b w:val="1"/>
          <w:bCs w:val="1"/>
          <w:color w:val="auto"/>
        </w:rPr>
        <w:t>/s/ A</w:t>
      </w:r>
      <w:r>
        <w:rPr>
          <w:rFonts w:ascii="Arial" w:cs="Arial" w:eastAsia="Arial" w:hAnsi="Arial"/>
          <w:sz w:val="13"/>
          <w:szCs w:val="13"/>
          <w:b w:val="1"/>
          <w:bCs w:val="1"/>
          <w:color w:val="auto"/>
        </w:rPr>
        <w:t>NDREW</w:t>
      </w:r>
      <w:r>
        <w:rPr>
          <w:rFonts w:ascii="Arial" w:cs="Arial" w:eastAsia="Arial" w:hAnsi="Arial"/>
          <w:sz w:val="16"/>
          <w:szCs w:val="16"/>
          <w:b w:val="1"/>
          <w:bCs w:val="1"/>
          <w:color w:val="auto"/>
        </w:rPr>
        <w:t xml:space="preserve"> P. B</w:t>
      </w:r>
      <w:r>
        <w:rPr>
          <w:rFonts w:ascii="Arial" w:cs="Arial" w:eastAsia="Arial" w:hAnsi="Arial"/>
          <w:sz w:val="13"/>
          <w:szCs w:val="13"/>
          <w:b w:val="1"/>
          <w:bCs w:val="1"/>
          <w:color w:val="auto"/>
        </w:rPr>
        <w:t>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8"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2008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7780" w:val="left"/>
        </w:tabs>
        <w:rPr>
          <w:sz w:val="20"/>
          <w:szCs w:val="20"/>
          <w:color w:val="auto"/>
        </w:rPr>
      </w:pPr>
      <w:r>
        <w:rPr>
          <w:rFonts w:ascii="Arial" w:cs="Arial" w:eastAsia="Arial" w:hAnsi="Arial"/>
          <w:sz w:val="18"/>
          <w:szCs w:val="18"/>
          <w:color w:val="auto"/>
        </w:rPr>
        <w:t>October 29, 2008</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ONALD</w:t>
      </w:r>
      <w:r>
        <w:rPr>
          <w:rFonts w:ascii="Arial" w:cs="Arial" w:eastAsia="Arial" w:hAnsi="Arial"/>
          <w:sz w:val="16"/>
          <w:szCs w:val="16"/>
          <w:b w:val="1"/>
          <w:bCs w:val="1"/>
          <w:color w:val="auto"/>
        </w:rPr>
        <w:t xml:space="preserve"> C. W</w:t>
      </w:r>
      <w:r>
        <w:rPr>
          <w:rFonts w:ascii="Arial" w:cs="Arial" w:eastAsia="Arial" w:hAnsi="Arial"/>
          <w:sz w:val="13"/>
          <w:szCs w:val="13"/>
          <w:b w:val="1"/>
          <w:bCs w:val="1"/>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8"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undersigned, Andrew P. Blocher, the Senior Vice President and Chief Financial Officer of Federal Realty Investment Trust (the “Company”), has executed this certification in connection with the filing with the Securities and Exchange Commission of the Company’s Quarterly Report on Form 10-Q for the period ended September 30, 2008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7660" w:val="left"/>
        </w:tabs>
        <w:rPr>
          <w:sz w:val="20"/>
          <w:szCs w:val="20"/>
          <w:color w:val="auto"/>
        </w:rPr>
      </w:pPr>
      <w:r>
        <w:rPr>
          <w:rFonts w:ascii="Arial" w:cs="Arial" w:eastAsia="Arial" w:hAnsi="Arial"/>
          <w:sz w:val="18"/>
          <w:szCs w:val="18"/>
          <w:color w:val="auto"/>
        </w:rPr>
        <w:t>October 29, 2008</w:t>
      </w:r>
      <w:r>
        <w:rPr>
          <w:sz w:val="20"/>
          <w:szCs w:val="20"/>
          <w:color w:val="auto"/>
        </w:rPr>
        <w:tab/>
      </w:r>
      <w:r>
        <w:rPr>
          <w:rFonts w:ascii="Arial" w:cs="Arial" w:eastAsia="Arial" w:hAnsi="Arial"/>
          <w:sz w:val="16"/>
          <w:szCs w:val="16"/>
          <w:b w:val="1"/>
          <w:bCs w:val="1"/>
          <w:color w:val="auto"/>
        </w:rPr>
        <w:t>/s/ A</w:t>
      </w:r>
      <w:r>
        <w:rPr>
          <w:rFonts w:ascii="Arial" w:cs="Arial" w:eastAsia="Arial" w:hAnsi="Arial"/>
          <w:sz w:val="13"/>
          <w:szCs w:val="13"/>
          <w:b w:val="1"/>
          <w:bCs w:val="1"/>
          <w:color w:val="auto"/>
        </w:rPr>
        <w:t>NDREW</w:t>
      </w:r>
      <w:r>
        <w:rPr>
          <w:rFonts w:ascii="Arial" w:cs="Arial" w:eastAsia="Arial" w:hAnsi="Arial"/>
          <w:sz w:val="16"/>
          <w:szCs w:val="16"/>
          <w:b w:val="1"/>
          <w:bCs w:val="1"/>
          <w:color w:val="auto"/>
        </w:rPr>
        <w:t xml:space="preserve"> P. B</w:t>
      </w:r>
      <w:r>
        <w:rPr>
          <w:rFonts w:ascii="Arial" w:cs="Arial" w:eastAsia="Arial" w:hAnsi="Arial"/>
          <w:sz w:val="13"/>
          <w:szCs w:val="13"/>
          <w:b w:val="1"/>
          <w:bCs w:val="1"/>
          <w:color w:val="auto"/>
        </w:rPr>
        <w:t>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8"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1)"/>
      <w:numFmt w:val="decimal"/>
      <w:start w:val="4"/>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1)"/>
      <w:numFmt w:val="decimal"/>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1)"/>
      <w:numFmt w:val="decimal"/>
      <w:start w:val="3"/>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
      <w:numFmt w:val="bullet"/>
      <w:start w:val="1"/>
    </w:lvl>
    <w:lvl w:ilvl="1">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7">
    <w:nsid w:val="180115BE"/>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48">
    <w:nsid w:val="235BA861"/>
    <w:multiLevelType w:val="hybridMultilevel"/>
    <w:lvl w:ilvl="0">
      <w:lvlJc w:val="left"/>
      <w:lvlText w:val="(%1)"/>
      <w:numFmt w:val="upperLetter"/>
      <w:start w:val="2"/>
    </w:lvl>
  </w:abstractNum>
  <w:abstractNum w:abstractNumId="49">
    <w:nsid w:val="47398C89"/>
    <w:multiLevelType w:val="hybridMultilevel"/>
    <w:lvl w:ilvl="0">
      <w:lvlJc w:val="left"/>
      <w:lvlText w:val="%1"/>
      <w:numFmt w:val="upperLetter"/>
      <w:start w:val="1"/>
    </w:lvl>
    <w:lvl w:ilvl="1">
      <w:lvlJc w:val="left"/>
      <w:lvlText w:val="(%2)"/>
      <w:numFmt w:val="lowerRoman"/>
      <w:start w:val="4"/>
    </w:lvl>
  </w:abstractNum>
  <w:abstractNum w:abstractNumId="50">
    <w:nsid w:val="354FE9F9"/>
    <w:multiLevelType w:val="hybridMultilevel"/>
    <w:lvl w:ilvl="0">
      <w:lvlJc w:val="left"/>
      <w:lvlText w:val="(%1)"/>
      <w:numFmt w:val="upperLetter"/>
      <w:start w:val="2"/>
    </w:lvl>
    <w:lvl w:ilvl="1">
      <w:lvlJc w:val="left"/>
      <w:lvlText w:val="(%2)"/>
      <w:numFmt w:val="lowerRoman"/>
      <w:start w:val="5"/>
    </w:lvl>
  </w:abstractNum>
  <w:abstractNum w:abstractNumId="51">
    <w:nsid w:val="15B5AF5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52">
    <w:nsid w:val="741226BB"/>
    <w:multiLevelType w:val="hybridMultilevel"/>
    <w:lvl w:ilvl="0">
      <w:lvlJc w:val="left"/>
      <w:lvlText w:val="(%1)"/>
      <w:numFmt w:val="lowerLetter"/>
      <w:start w:val="3"/>
    </w:lvl>
    <w:lvl w:ilvl="1">
      <w:lvlJc w:val="left"/>
      <w:lvlText w:val="(%2)"/>
      <w:numFmt w:val="lowerLetter"/>
      <w:start w:val="9"/>
    </w:lvl>
  </w:abstractNum>
  <w:abstractNum w:abstractNumId="53">
    <w:nsid w:val="D34B6A8"/>
    <w:multiLevelType w:val="hybridMultilevel"/>
    <w:lvl w:ilvl="0">
      <w:lvlJc w:val="left"/>
      <w:lvlText w:val="%1"/>
      <w:numFmt w:val="lowerLetter"/>
      <w:start w:val="1"/>
    </w:lvl>
    <w:lvl w:ilvl="1">
      <w:lvlJc w:val="left"/>
      <w:lvlText w:val="(%2)"/>
      <w:numFmt w:val="lowerRoman"/>
      <w:start w:val="2"/>
    </w:lvl>
  </w:abstractNum>
  <w:abstractNum w:abstractNumId="54">
    <w:nsid w:val="10233C99"/>
    <w:multiLevelType w:val="hybridMultilevel"/>
    <w:lvl w:ilvl="0">
      <w:lvlJc w:val="left"/>
      <w:lvlText w:val="(%1)"/>
      <w:numFmt w:val="lowerLetter"/>
      <w:start w:val="4"/>
    </w:lvl>
    <w:lvl w:ilvl="1">
      <w:lvlJc w:val="left"/>
      <w:lvlText w:val="(%2)"/>
      <w:numFmt w:val="lowerRoman"/>
      <w:start w:val="1"/>
    </w:lvl>
  </w:abstractNum>
  <w:abstractNum w:abstractNumId="55">
    <w:nsid w:val="3F6AB60F"/>
    <w:multiLevelType w:val="hybridMultilevel"/>
    <w:lvl w:ilvl="0">
      <w:lvlJc w:val="left"/>
      <w:lvlText w:val="(%1)"/>
      <w:numFmt w:val="lowerRoman"/>
      <w:start w:val="2"/>
    </w:lvl>
  </w:abstractNum>
  <w:abstractNum w:abstractNumId="56">
    <w:nsid w:val="61574095"/>
    <w:multiLevelType w:val="hybridMultilevel"/>
    <w:lvl w:ilvl="0">
      <w:lvlJc w:val="left"/>
      <w:lvlText w:val="%1"/>
      <w:numFmt w:val="lowerLetter"/>
      <w:start w:val="1"/>
    </w:lvl>
    <w:lvl w:ilvl="1">
      <w:lvlJc w:val="left"/>
      <w:lvlText w:val="(%2)"/>
      <w:numFmt w:val="lowerRoman"/>
      <w:start w:val="4"/>
    </w:lvl>
  </w:abstractNum>
  <w:abstractNum w:abstractNumId="57">
    <w:nsid w:val="7E0C57B1"/>
    <w:multiLevelType w:val="hybridMultilevel"/>
    <w:lvl w:ilvl="0">
      <w:lvlJc w:val="left"/>
      <w:lvlText w:val="(%1)"/>
      <w:numFmt w:val="lowerLetter"/>
      <w:start w:val="5"/>
    </w:lvl>
    <w:lvl w:ilvl="1">
      <w:lvlJc w:val="left"/>
      <w:lvlText w:val="%2"/>
      <w:numFmt w:val="lowerRoman"/>
      <w:start w:val="1"/>
    </w:lvl>
  </w:abstractNum>
  <w:abstractNum w:abstractNumId="58">
    <w:nsid w:val="77AE35EB"/>
    <w:multiLevelType w:val="hybridMultilevel"/>
    <w:lvl w:ilvl="0">
      <w:lvlJc w:val="left"/>
      <w:lvlText w:val="3"/>
      <w:numFmt w:val="bullet"/>
      <w:start w:val="1"/>
    </w:lvl>
    <w:lvl w:ilvl="1">
      <w:lvlJc w:val="left"/>
      <w:lvlText w:val="(%2)"/>
      <w:numFmt w:val="lowerLetter"/>
      <w:start w:val="1"/>
    </w:lvl>
  </w:abstractNum>
  <w:abstractNum w:abstractNumId="59">
    <w:nsid w:val="579BE4F1"/>
    <w:multiLevelType w:val="hybridMultilevel"/>
    <w:lvl w:ilvl="0">
      <w:lvlJc w:val="left"/>
      <w:lvlText w:val="%1."/>
      <w:numFmt w:val="decimal"/>
      <w:start w:val="4"/>
    </w:lvl>
    <w:lvl w:ilvl="1">
      <w:lvlJc w:val="left"/>
      <w:lvlText w:val="(%2)"/>
      <w:numFmt w:val="lowerLetter"/>
      <w:start w:val="1"/>
    </w:lvl>
  </w:abstractNum>
  <w:abstractNum w:abstractNumId="60">
    <w:nsid w:val="310C50B3"/>
    <w:multiLevelType w:val="hybridMultilevel"/>
    <w:lvl w:ilvl="0">
      <w:lvlJc w:val="left"/>
      <w:lvlText w:val="%1"/>
      <w:numFmt w:val="decimal"/>
      <w:start w:val="1"/>
    </w:lvl>
    <w:lvl w:ilvl="1">
      <w:lvlJc w:val="left"/>
      <w:lvlText w:val="(%2)"/>
      <w:numFmt w:val="lowerLetter"/>
      <w:start w:val="4"/>
    </w:lvl>
  </w:abstractNum>
  <w:abstractNum w:abstractNumId="61">
    <w:nsid w:val="5FF87E05"/>
    <w:multiLevelType w:val="hybridMultilevel"/>
    <w:lvl w:ilvl="0">
      <w:lvlJc w:val="left"/>
      <w:lvlText w:val="%1."/>
      <w:numFmt w:val="decimal"/>
      <w:start w:val="6"/>
    </w:lvl>
    <w:lvl w:ilvl="1">
      <w:lvlJc w:val="left"/>
      <w:lvlText w:val="%2"/>
      <w:numFmt w:val="lowerLetter"/>
      <w:start w:val="1"/>
    </w:lvl>
  </w:abstractNum>
  <w:abstractNum w:abstractNumId="62">
    <w:nsid w:val="2F305DEF"/>
    <w:multiLevelType w:val="hybridMultilevel"/>
    <w:lvl w:ilvl="0">
      <w:lvlJc w:val="left"/>
      <w:lvlText w:val="%1."/>
      <w:numFmt w:val="decimal"/>
      <w:start w:val="1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2019-12-11T11:47:42Z</dcterms:created>
  <dcterms:modified xsi:type="dcterms:W3CDTF">2019-12-11T11:47:42Z</dcterms:modified>
</cp:coreProperties>
</file>