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September 30, 2012</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jc w:val="both"/>
        <w:ind w:right="200" w:firstLine="648"/>
        <w:spacing w:after="0" w:line="253" w:lineRule="auto"/>
        <w:rPr>
          <w:sz w:val="20"/>
          <w:szCs w:val="20"/>
          <w:color w:val="auto"/>
        </w:rPr>
      </w:pPr>
      <w:r>
        <w:rPr>
          <w:rFonts w:ascii="Arial" w:cs="Arial" w:eastAsia="Arial" w:hAnsi="Arial"/>
          <w:sz w:val="22"/>
          <w:szCs w:val="22"/>
          <w:color w:val="auto"/>
        </w:rPr>
        <w:t>On November 1, 2012, Federal Realty Investment Trust issued supplemental data pertaining to its operations, as well as a press release, to report its financial results for the quarter ended September 30, 2012.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September 30, 2012 (including press release dated November 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385"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FEDERAL REALTY INVESTMENT TRUST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640" w:val="left"/>
          <w:tab w:leader="none" w:pos="2660" w:val="left"/>
        </w:tabs>
        <w:rPr>
          <w:sz w:val="20"/>
          <w:szCs w:val="20"/>
          <w:color w:val="auto"/>
        </w:rPr>
      </w:pPr>
      <w:r>
        <w:rPr>
          <w:rFonts w:ascii="Arial" w:cs="Arial" w:eastAsia="Arial" w:hAnsi="Arial"/>
          <w:sz w:val="22"/>
          <w:szCs w:val="22"/>
          <w:color w:val="auto"/>
        </w:rPr>
        <w:t>Date:</w:t>
        <w:tab/>
        <w:t>November 1, 2012</w:t>
      </w:r>
      <w:r>
        <w:rPr>
          <w:sz w:val="20"/>
          <w:szCs w:val="20"/>
          <w:color w:val="auto"/>
        </w:rPr>
        <w:tab/>
      </w:r>
      <w:r>
        <w:rPr>
          <w:rFonts w:ascii="Arial" w:cs="Arial" w:eastAsia="Arial" w:hAnsi="Arial"/>
          <w:sz w:val="19"/>
          <w:szCs w:val="19"/>
          <w:u w:val="single" w:color="auto"/>
          <w:color w:val="auto"/>
        </w:rPr>
        <w:t>/s/ James M. Taylor</w:t>
      </w:r>
    </w:p>
    <w:p>
      <w:pPr>
        <w:spacing w:after="0" w:line="23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James M. Taylor</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Executive Vice President-</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September 30, 2012</w:t>
      </w:r>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Third Quarter 2012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Summarized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Summarized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Summary of Capital Expenditures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11">
              <w:r>
                <w:rPr>
                  <w:rFonts w:ascii="Arial" w:cs="Arial" w:eastAsia="Arial" w:hAnsi="Arial"/>
                  <w:sz w:val="18"/>
                  <w:szCs w:val="18"/>
                  <w:color w:val="0000FF"/>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12">
              <w:r>
                <w:rPr>
                  <w:rFonts w:ascii="Arial" w:cs="Arial" w:eastAsia="Arial" w:hAnsi="Arial"/>
                  <w:sz w:val="18"/>
                  <w:szCs w:val="18"/>
                  <w:color w:val="0000FF"/>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FF"/>
                <w:w w:val="79"/>
              </w:rPr>
            </w:pPr>
            <w:hyperlink w:anchor="page13">
              <w:r>
                <w:rPr>
                  <w:rFonts w:ascii="Arial" w:cs="Arial" w:eastAsia="Arial" w:hAnsi="Arial"/>
                  <w:sz w:val="18"/>
                  <w:szCs w:val="18"/>
                  <w:color w:val="0000FF"/>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00" w:type="dxa"/>
            <w:vAlign w:val="bottom"/>
            <w:shd w:val="clear" w:color="auto" w:fill="CCEEFF"/>
          </w:tcPr>
          <w:p>
            <w:pPr>
              <w:spacing w:after="0"/>
              <w:rPr>
                <w:sz w:val="23"/>
                <w:szCs w:val="23"/>
                <w:color w:val="auto"/>
              </w:rPr>
            </w:pPr>
          </w:p>
        </w:tc>
        <w:tc>
          <w:tcPr>
            <w:tcW w:w="8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shd w:val="clear" w:color="auto" w:fill="CCEEFF"/>
          </w:tcPr>
          <w:p>
            <w:pPr>
              <w:jc w:val="right"/>
              <w:ind w:right="2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12</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7">
              <w:r>
                <w:rPr>
                  <w:rFonts w:ascii="Arial" w:cs="Arial" w:eastAsia="Arial" w:hAnsi="Arial"/>
                  <w:sz w:val="18"/>
                  <w:szCs w:val="18"/>
                  <w:color w:val="0000FF"/>
                  <w:w w:val="79"/>
                </w:rPr>
                <w:t>14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Development and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8">
              <w:r>
                <w:rPr>
                  <w:rFonts w:ascii="Arial" w:cs="Arial" w:eastAsia="Arial" w:hAnsi="Arial"/>
                  <w:sz w:val="18"/>
                  <w:szCs w:val="18"/>
                  <w:color w:val="0000FF"/>
                  <w:w w:val="79"/>
                </w:rPr>
                <w:t>15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Future 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9">
              <w:r>
                <w:rPr>
                  <w:rFonts w:ascii="Arial" w:cs="Arial" w:eastAsia="Arial" w:hAnsi="Arial"/>
                  <w:sz w:val="18"/>
                  <w:szCs w:val="18"/>
                  <w:color w:val="0000FF"/>
                  <w:w w:val="79"/>
                </w:rPr>
                <w:t>16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1">
              <w:r>
                <w:rPr>
                  <w:rFonts w:ascii="Arial" w:cs="Arial" w:eastAsia="Arial" w:hAnsi="Arial"/>
                  <w:sz w:val="18"/>
                  <w:szCs w:val="18"/>
                  <w:color w:val="0000FF"/>
                  <w:w w:val="79"/>
                </w:rPr>
                <w:t>17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3">
              <w:r>
                <w:rPr>
                  <w:rFonts w:ascii="Arial" w:cs="Arial" w:eastAsia="Arial" w:hAnsi="Arial"/>
                  <w:sz w:val="18"/>
                  <w:szCs w:val="18"/>
                  <w:color w:val="0000FF"/>
                  <w:w w:val="79"/>
                </w:rPr>
                <w:t>20</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4">
              <w:r>
                <w:rPr>
                  <w:rFonts w:ascii="Arial" w:cs="Arial" w:eastAsia="Arial" w:hAnsi="Arial"/>
                  <w:sz w:val="18"/>
                  <w:szCs w:val="18"/>
                  <w:color w:val="0000FF"/>
                  <w:w w:val="79"/>
                </w:rPr>
                <w:t>21</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5">
              <w:r>
                <w:rPr>
                  <w:rFonts w:ascii="Arial" w:cs="Arial" w:eastAsia="Arial" w:hAnsi="Arial"/>
                  <w:sz w:val="18"/>
                  <w:szCs w:val="18"/>
                  <w:color w:val="0000FF"/>
                  <w:w w:val="79"/>
                </w:rPr>
                <w:t>22</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6">
              <w:r>
                <w:rPr>
                  <w:rFonts w:ascii="Arial" w:cs="Arial" w:eastAsia="Arial" w:hAnsi="Arial"/>
                  <w:sz w:val="18"/>
                  <w:szCs w:val="18"/>
                  <w:color w:val="0000FF"/>
                  <w:w w:val="79"/>
                </w:rPr>
                <w:t>23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Reconciliation of Net Income to FFO Guidance</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7">
              <w:r>
                <w:rPr>
                  <w:rFonts w:ascii="Arial" w:cs="Arial" w:eastAsia="Arial" w:hAnsi="Arial"/>
                  <w:sz w:val="18"/>
                  <w:szCs w:val="18"/>
                  <w:color w:val="0000FF"/>
                  <w:w w:val="79"/>
                </w:rPr>
                <w:t>24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540" w:type="dxa"/>
            <w:vAlign w:val="bottom"/>
          </w:tcPr>
          <w:p>
            <w:pPr>
              <w:ind w:left="20"/>
              <w:spacing w:after="0"/>
              <w:rPr>
                <w:sz w:val="20"/>
                <w:szCs w:val="20"/>
                <w:color w:val="auto"/>
              </w:rPr>
            </w:pPr>
            <w:r>
              <w:rPr>
                <w:rFonts w:ascii="Arial" w:cs="Arial" w:eastAsia="Arial" w:hAnsi="Arial"/>
                <w:sz w:val="18"/>
                <w:szCs w:val="18"/>
                <w:color w:val="auto"/>
              </w:rPr>
              <w:t>12</w:t>
            </w:r>
          </w:p>
        </w:tc>
        <w:tc>
          <w:tcPr>
            <w:tcW w:w="8720" w:type="dxa"/>
            <w:vAlign w:val="bottom"/>
          </w:tcPr>
          <w:p>
            <w:pPr>
              <w:ind w:left="360"/>
              <w:spacing w:after="0"/>
              <w:rPr>
                <w:sz w:val="20"/>
                <w:szCs w:val="20"/>
                <w:color w:val="auto"/>
              </w:rPr>
            </w:pPr>
            <w:r>
              <w:rPr>
                <w:rFonts w:ascii="Arial" w:cs="Arial" w:eastAsia="Arial" w:hAnsi="Arial"/>
                <w:sz w:val="18"/>
                <w:szCs w:val="18"/>
                <w:color w:val="auto"/>
              </w:rPr>
              <w:t>30% Owned Joint Venture Disclosure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Real Estate Status &amp; Debt Summary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28">
              <w:r>
                <w:rPr>
                  <w:rFonts w:ascii="Arial" w:cs="Arial" w:eastAsia="Arial" w:hAnsi="Arial"/>
                  <w:sz w:val="18"/>
                  <w:szCs w:val="18"/>
                  <w:color w:val="0000FF"/>
                  <w:w w:val="79"/>
                </w:rPr>
                <w:t>25</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29">
              <w:r>
                <w:rPr>
                  <w:rFonts w:ascii="Arial" w:cs="Arial" w:eastAsia="Arial" w:hAnsi="Arial"/>
                  <w:sz w:val="18"/>
                  <w:szCs w:val="18"/>
                  <w:color w:val="0000FF"/>
                  <w:w w:val="79"/>
                </w:rPr>
                <w:t>26</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460"/>
          </w:cols>
          <w:pgMar w:left="1220" w:top="742" w:right="1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16, 2012,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16, 2012.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380365</wp:posOffset>
            </wp:positionV>
            <wp:extent cx="5848985" cy="1252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54"/>
        </w:trPr>
        <w:tc>
          <w:tcPr>
            <w:tcW w:w="20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Arial" w:cs="Arial" w:eastAsia="Arial" w:hAnsi="Arial"/>
                <w:sz w:val="18"/>
                <w:szCs w:val="18"/>
                <w:i w:val="1"/>
                <w:iCs w:val="1"/>
                <w:color w:val="auto"/>
              </w:rPr>
              <w:t>Investor Inquiries</w:t>
            </w:r>
          </w:p>
        </w:tc>
        <w:tc>
          <w:tcPr>
            <w:tcW w:w="2320" w:type="dxa"/>
            <w:vAlign w:val="bottom"/>
            <w:gridSpan w:val="2"/>
          </w:tcPr>
          <w:p>
            <w:pPr>
              <w:spacing w:after="0"/>
              <w:rPr>
                <w:sz w:val="20"/>
                <w:szCs w:val="20"/>
                <w:color w:val="auto"/>
              </w:rPr>
            </w:pPr>
            <w:r>
              <w:rPr>
                <w:rFonts w:ascii="Arial" w:cs="Arial" w:eastAsia="Arial" w:hAnsi="Arial"/>
                <w:sz w:val="18"/>
                <w:szCs w:val="18"/>
                <w:i w:val="1"/>
                <w:iCs w:val="1"/>
                <w:color w:val="auto"/>
              </w:rPr>
              <w:t>Media Inquiries</w:t>
            </w:r>
          </w:p>
        </w:tc>
      </w:tr>
      <w:tr>
        <w:trPr>
          <w:trHeight w:val="20"/>
        </w:trPr>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Kristina Lennox</w:t>
            </w:r>
          </w:p>
        </w:tc>
        <w:tc>
          <w:tcPr>
            <w:tcW w:w="476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Andrea Simpson</w:t>
            </w:r>
          </w:p>
        </w:tc>
      </w:tr>
      <w:tr>
        <w:trPr>
          <w:trHeight w:val="257"/>
        </w:trPr>
        <w:tc>
          <w:tcPr>
            <w:tcW w:w="200" w:type="dxa"/>
            <w:vAlign w:val="bottom"/>
          </w:tcPr>
          <w:p>
            <w:pPr>
              <w:spacing w:after="0"/>
              <w:rPr>
                <w:sz w:val="22"/>
                <w:szCs w:val="22"/>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Investor Relations Coordinator</w:t>
            </w:r>
          </w:p>
        </w:tc>
        <w:tc>
          <w:tcPr>
            <w:tcW w:w="2320" w:type="dxa"/>
            <w:vAlign w:val="bottom"/>
            <w:gridSpan w:val="2"/>
          </w:tcPr>
          <w:p>
            <w:pPr>
              <w:spacing w:after="0"/>
              <w:rPr>
                <w:sz w:val="20"/>
                <w:szCs w:val="20"/>
                <w:color w:val="auto"/>
              </w:rPr>
            </w:pPr>
            <w:r>
              <w:rPr>
                <w:rFonts w:ascii="Arial" w:cs="Arial" w:eastAsia="Arial" w:hAnsi="Arial"/>
                <w:sz w:val="18"/>
                <w:szCs w:val="18"/>
                <w:color w:val="auto"/>
              </w:rPr>
              <w:t>Director, Marketing</w:t>
            </w:r>
          </w:p>
        </w:tc>
      </w:tr>
      <w:tr>
        <w:trPr>
          <w:trHeight w:val="257"/>
        </w:trPr>
        <w:tc>
          <w:tcPr>
            <w:tcW w:w="1560" w:type="dxa"/>
            <w:vAlign w:val="bottom"/>
            <w:gridSpan w:val="2"/>
          </w:tcPr>
          <w:p>
            <w:pPr>
              <w:ind w:left="200"/>
              <w:spacing w:after="0"/>
              <w:rPr>
                <w:sz w:val="20"/>
                <w:szCs w:val="20"/>
                <w:color w:val="auto"/>
              </w:rPr>
            </w:pPr>
            <w:r>
              <w:rPr>
                <w:rFonts w:ascii="Arial" w:cs="Arial" w:eastAsia="Arial" w:hAnsi="Arial"/>
                <w:sz w:val="18"/>
                <w:szCs w:val="18"/>
                <w:color w:val="auto"/>
              </w:rPr>
              <w:t>301/998-8265</w:t>
            </w:r>
          </w:p>
        </w:tc>
        <w:tc>
          <w:tcPr>
            <w:tcW w:w="4760" w:type="dxa"/>
            <w:vAlign w:val="bottom"/>
          </w:tcPr>
          <w:p>
            <w:pPr>
              <w:spacing w:after="0"/>
              <w:rPr>
                <w:sz w:val="22"/>
                <w:szCs w:val="22"/>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617/684-1511</w:t>
            </w:r>
          </w:p>
        </w:tc>
        <w:tc>
          <w:tcPr>
            <w:tcW w:w="1100" w:type="dxa"/>
            <w:vAlign w:val="bottom"/>
          </w:tcPr>
          <w:p>
            <w:pPr>
              <w:spacing w:after="0"/>
              <w:rPr>
                <w:sz w:val="22"/>
                <w:szCs w:val="22"/>
                <w:color w:val="auto"/>
              </w:rPr>
            </w:pPr>
          </w:p>
        </w:tc>
      </w:tr>
      <w:tr>
        <w:trPr>
          <w:trHeight w:val="257"/>
        </w:trPr>
        <w:tc>
          <w:tcPr>
            <w:tcW w:w="200" w:type="dxa"/>
            <w:vAlign w:val="bottom"/>
          </w:tcPr>
          <w:p>
            <w:pPr>
              <w:spacing w:after="0"/>
              <w:rPr>
                <w:sz w:val="22"/>
                <w:szCs w:val="22"/>
                <w:color w:val="auto"/>
              </w:rPr>
            </w:pPr>
          </w:p>
        </w:tc>
        <w:tc>
          <w:tcPr>
            <w:tcW w:w="6120" w:type="dxa"/>
            <w:vAlign w:val="bottom"/>
            <w:gridSpan w:val="2"/>
          </w:tcPr>
          <w:p>
            <w:pPr>
              <w:spacing w:after="0"/>
              <w:rPr>
                <w:sz w:val="20"/>
                <w:szCs w:val="20"/>
                <w:color w:val="auto"/>
              </w:rPr>
            </w:pPr>
            <w:r>
              <w:rPr>
                <w:rFonts w:ascii="Arial" w:cs="Arial" w:eastAsia="Arial" w:hAnsi="Arial"/>
                <w:sz w:val="18"/>
                <w:szCs w:val="18"/>
                <w:i w:val="1"/>
                <w:iCs w:val="1"/>
                <w:color w:val="auto"/>
              </w:rPr>
              <w:t>klennox@federalrealty.com</w:t>
            </w:r>
          </w:p>
        </w:tc>
        <w:tc>
          <w:tcPr>
            <w:tcW w:w="2320" w:type="dxa"/>
            <w:vAlign w:val="bottom"/>
            <w:gridSpan w:val="2"/>
          </w:tcPr>
          <w:p>
            <w:pPr>
              <w:spacing w:after="0"/>
              <w:rPr>
                <w:sz w:val="20"/>
                <w:szCs w:val="20"/>
                <w:color w:val="auto"/>
              </w:rPr>
            </w:pPr>
            <w:r>
              <w:rPr>
                <w:rFonts w:ascii="Arial" w:cs="Arial" w:eastAsia="Arial" w:hAnsi="Arial"/>
                <w:sz w:val="18"/>
                <w:szCs w:val="18"/>
                <w:i w:val="1"/>
                <w:iCs w:val="1"/>
                <w:color w:val="auto"/>
                <w:w w:val="98"/>
              </w:rPr>
              <w:t>asimpson@federalrealty.com</w:t>
            </w:r>
          </w:p>
        </w:tc>
      </w:tr>
    </w:tbl>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THIRD QUARTER 2012 OPERATING RESULTS</w:t>
      </w:r>
    </w:p>
    <w:p>
      <w:pPr>
        <w:spacing w:after="0" w:line="342"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 xml:space="preserve">ROCKVILLE, Md. (November 1, 2012) - </w:t>
      </w:r>
      <w:r>
        <w:rPr>
          <w:rFonts w:ascii="Arial" w:cs="Arial" w:eastAsia="Arial" w:hAnsi="Arial"/>
          <w:sz w:val="18"/>
          <w:szCs w:val="18"/>
          <w:u w:val="single" w:color="auto"/>
          <w:color w:val="0000FF"/>
        </w:rPr>
        <w:t>Federal Realty Investment Trust</w:t>
      </w:r>
      <w:r>
        <w:rPr>
          <w:rFonts w:ascii="Arial" w:cs="Arial" w:eastAsia="Arial" w:hAnsi="Arial"/>
          <w:sz w:val="18"/>
          <w:szCs w:val="18"/>
          <w:color w:val="auto"/>
        </w:rPr>
        <w:t xml:space="preserve"> (NYSE:FRT) today reported operating results for its third quarter ended September 30, 2012.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26"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In the third quarter 2012, Federal Realty generated funds from operations available for common shareholders (FFO) of $72.1 million, or $1.12 per diluted share. This compares to FFO of $63.9 million, or $1.01 per diluted share, in third quarter 2011. For the nine months ended September 30, 2012, Federal Realty reported FFO of $205.5 million, or $3.20 per diluted share, compared to $189.5 million, or $3.02 per diluted share for the same nine-month period in 2011.</w:t>
      </w:r>
    </w:p>
    <w:p>
      <w:pPr>
        <w:spacing w:after="0" w:line="297"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Net income available for common shareholders was $38.5 million and earnings per diluted share was $0.60 for the quarter ended September 30, 2012 versus $46.9 million and $0.74, respectively, for third quarter 2011. Year-to-date, Federal Realty reported net income available for common shareholders of $113.8 million and earnings per diluted share of $1.77. This compares to net income available for common shareholders of $112.6 million and earnings per diluted share of $1.80 for the nine months ended September 30, 2011.</w:t>
      </w:r>
    </w:p>
    <w:p>
      <w:pPr>
        <w:spacing w:after="0" w:line="297"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126"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In third quarter 2012, same-center property operating income increased 10.3% (4.0% excluding the lease termination fee from Safeway described below) over third quarter 2011. When redevelopment and expansion properties are excluded from same-center results, property operating income for third quarter 2012 increased 10.4% (3.5% excluding the lease termination fee from Safeway described below) compared to third quarter 2011.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FEDERAL REALTY INVESTMENT TRUST ANNOUNCES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2012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7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The overall portfolio was 95.1% leased as of September 30, 2012, compared to 94.2% on June 30, 2012 and 93.3% on September 30, 2011. Federal Realty's same-center portfolio was 95.0% leased on September 30, 2012, compared to 94.8% on June 30, 2012 and 94.3% on September 30, 2011.</w:t>
      </w:r>
    </w:p>
    <w:p>
      <w:pPr>
        <w:spacing w:after="0" w:line="298"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During the third quarter of 2012, Federal Realty signed 109 leases for 531,573 square feet of retail space. On a comparable space basis (i.e., spaces for which there was a former tenant), the Trust leased 504,082 square feet at an average cash basis contractual rent increase per square foot (i.e., excluding the impact of straight-line rents) of 11%. The average contractual rent on this comparable space for the first year of the new leases is $28.43 per square foot, compared to the average contractual rent of $25.63 per square foot for the last year of the prior leases. The previous average contractual rent was calculated by including both the minimum rent and any percentage rent actually paid during the last year of the lease term for the re-leased space. On a GAAP basis (i.e., including the impact of straight-line rents), rent increases per square foot for comparable retail space averaged 25% for third quarter 2012. As of September 30, 2012, Federal Realty's average contractual, cash basis minimum rent for retail and commercial space in its portfolio was $23.95 per square foot.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12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 also announced today that its Board of Trustees declared a regular quarterly cash dividend of $0.73 per share, resulting in an indicated annual rate of $2.92 per share. The regular common dividend will be payable on January 15, 2013, to common shareholders of record as of January 2, 2013.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2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 updated its guidance for 2012 FFO per diluted share to a range of $4.29 to $4.31 and 2012 earnings per diluted share guidance of $2.35 to $2.37. In addition, Federal Realty provided initial 2013 FFO per diluted share guidance of $4.50 to $4.56 and 2013 earnings per diluted share guidance of $2.39 to $2.45.</w:t>
      </w:r>
    </w:p>
    <w:p>
      <w:pPr>
        <w:spacing w:after="0" w:line="298"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“We delivered a record quarter driven by strong leasing, improving occupancy and increasing rents, all of which were further augmented by larger lease termination fees,” commented Don Wood, president and chief executive officer of Federal Realty. “Looking forward, we expect to see continued strong performance in our core portfolio, complemented by our active development/redevelopment pipeline and potential acquisitions.”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126" w:lineRule="exact"/>
        <w:rPr>
          <w:sz w:val="20"/>
          <w:szCs w:val="20"/>
          <w:color w:val="auto"/>
        </w:rPr>
      </w:pPr>
    </w:p>
    <w:p>
      <w:pPr>
        <w:jc w:val="both"/>
        <w:ind w:left="240" w:hanging="232"/>
        <w:spacing w:after="0" w:line="365"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October 2012 - Federal Realty announced that Harold Nafash has joined the Trust as senior director of acquisitions, northeast. Mr. Nafash will be based out of New Jersey, and will source and underwrite retail acquisitions in the Trust's core markets within the Northeast region, including metropolitan New York, Boston, and Philadelphia.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FEDERAL REALTY INVESTMENT TRUST ANNOUNCES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2012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374" w:lineRule="exact"/>
        <w:rPr>
          <w:sz w:val="20"/>
          <w:szCs w:val="20"/>
          <w:color w:val="auto"/>
        </w:rPr>
      </w:pPr>
    </w:p>
    <w:p>
      <w:pPr>
        <w:jc w:val="both"/>
        <w:ind w:left="240" w:hanging="232"/>
        <w:spacing w:after="0" w:line="354" w:lineRule="auto"/>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August 2012 - As previously announced, Mr. James M. Taylor succeeded Mr. Andrew Blocher as chief financial officer effective August 15, 2012. Following a transition, Mr. Blocher left the Trust effective September 30, 2012. The Company incurred approximately $2.1 million in costs associated with the CFO transition</w:t>
      </w:r>
    </w:p>
    <w:p>
      <w:pPr>
        <w:spacing w:after="0" w:line="15" w:lineRule="exact"/>
        <w:rPr>
          <w:rFonts w:ascii="Arial" w:cs="Arial" w:eastAsia="Arial" w:hAnsi="Arial"/>
          <w:sz w:val="18"/>
          <w:szCs w:val="18"/>
          <w:color w:val="auto"/>
        </w:rPr>
      </w:pPr>
    </w:p>
    <w:p>
      <w:pPr>
        <w:ind w:left="240" w:hanging="232"/>
        <w:spacing w:after="0" w:line="371" w:lineRule="auto"/>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July 2012 - As previously announced, Federal Realty received an approximately $6 million termination fee from Safeway in connection with the termination of its Genuardi's lease at our Ellisburg property.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126"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 xml:space="preserve">Federal Realty's management team will present an in-depth discussion of the Trust's operating performance on its third quarter 2012 earnings conference call, which is scheduled for November 2, 2012, at 11 a.m. Eastern Daylight Time. To participate, please call (866) 271-0675 five to ten minutes prior to the call start time and use the passcode FRT EARNINGS (required). Federal Realty will also provide an online webcast on the Company's website, </w:t>
      </w:r>
      <w:r>
        <w:rPr>
          <w:rFonts w:ascii="Arial" w:cs="Arial" w:eastAsia="Arial" w:hAnsi="Arial"/>
          <w:sz w:val="18"/>
          <w:szCs w:val="18"/>
          <w:u w:val="single" w:color="auto"/>
          <w:color w:val="0000FF"/>
        </w:rPr>
        <w:t>www.federalrealty.com</w:t>
      </w:r>
      <w:r>
        <w:rPr>
          <w:rFonts w:ascii="Arial" w:cs="Arial" w:eastAsia="Arial" w:hAnsi="Arial"/>
          <w:sz w:val="18"/>
          <w:szCs w:val="18"/>
          <w:color w:val="auto"/>
        </w:rPr>
        <w:t>, which will remain available for 30 days following the call. A telephone recording of the call will also be available through December 2, 2012, by dialing (888) 286-8010 and using the passcode 67340939.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126"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 xml:space="preserve">In 2012, Federal Realty celebrates 50 years of being a proven leader in the ownership, operation, and redevelopment of high quality retail real estate in the country's best markets. Federal Realty's portfolio (excluding joint venture properties) contains approximately 19.1 million square feet located primarily in strategically selected metropolitan markets in the Northeast and Mid-Atlantic regions of the United States, and California. In addition, the Trust has an ownership interest in approximately 1.0 million square feet of retail space through a joint venture in which the Trust has a 30% interest. Our operating portfolio (excluding joint venture properties) was 95.1% leased to national, regional, and local retailers as of September 30, 2012, with no single tenant accounting for more than approximately 3.1% of annualized base rent. Federal Realty has paid quarterly dividends to its shareholders continuously since its founding in 1962, and has increased its dividend rate for 45 consecutive years, the longest record in the REIT industry. Federal Realty is an S&amp;P MidCap 400 company and its shares are traded on the NYSE under the symbol FRT. For more information, please visit </w:t>
      </w:r>
      <w:r>
        <w:rPr>
          <w:rFonts w:ascii="Arial" w:cs="Arial" w:eastAsia="Arial" w:hAnsi="Arial"/>
          <w:sz w:val="18"/>
          <w:szCs w:val="18"/>
          <w:u w:val="single" w:color="auto"/>
          <w:color w:val="0000FF"/>
        </w:rPr>
        <w:t>www.federalrealty.com</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16, 2012, and include the following:</w:t>
      </w:r>
    </w:p>
    <w:p>
      <w:pPr>
        <w:spacing w:after="0" w:line="206" w:lineRule="exact"/>
        <w:rPr>
          <w:sz w:val="20"/>
          <w:szCs w:val="20"/>
          <w:color w:val="auto"/>
        </w:rPr>
      </w:pPr>
    </w:p>
    <w:p>
      <w:pPr>
        <w:ind w:left="660" w:hanging="652"/>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30" w:lineRule="exact"/>
        <w:rPr>
          <w:rFonts w:ascii="Arial" w:cs="Arial" w:eastAsia="Arial" w:hAnsi="Arial"/>
          <w:sz w:val="18"/>
          <w:szCs w:val="18"/>
          <w:color w:val="auto"/>
        </w:rPr>
      </w:pPr>
    </w:p>
    <w:p>
      <w:pPr>
        <w:ind w:left="660" w:right="20" w:hanging="652"/>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30" w:lineRule="exact"/>
        <w:rPr>
          <w:rFonts w:ascii="Arial" w:cs="Arial" w:eastAsia="Arial" w:hAnsi="Arial"/>
          <w:sz w:val="18"/>
          <w:szCs w:val="18"/>
          <w:color w:val="auto"/>
        </w:rPr>
      </w:pPr>
    </w:p>
    <w:p>
      <w:pPr>
        <w:ind w:left="660" w:right="200" w:hanging="652"/>
        <w:spacing w:after="0" w:line="29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5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FEDERAL REALTY INVESTMENT TRUST ANNOUNCES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2012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33" w:lineRule="exact"/>
        <w:rPr>
          <w:sz w:val="20"/>
          <w:szCs w:val="20"/>
          <w:color w:val="auto"/>
        </w:rPr>
      </w:pPr>
    </w:p>
    <w:p>
      <w:pPr>
        <w:jc w:val="both"/>
        <w:ind w:left="660" w:hanging="652"/>
        <w:spacing w:after="0" w:line="250" w:lineRule="auto"/>
        <w:tabs>
          <w:tab w:leader="none" w:pos="66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4"/>
          <w:szCs w:val="14"/>
          <w:i w:val="1"/>
          <w:iCs w:val="1"/>
          <w:color w:val="auto"/>
        </w:rPr>
      </w:pPr>
    </w:p>
    <w:p>
      <w:pPr>
        <w:ind w:left="660" w:hanging="652"/>
        <w:spacing w:after="0" w:line="21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12" w:lineRule="exact"/>
        <w:rPr>
          <w:rFonts w:ascii="Arial" w:cs="Arial" w:eastAsia="Arial" w:hAnsi="Arial"/>
          <w:sz w:val="18"/>
          <w:szCs w:val="18"/>
          <w:color w:val="auto"/>
        </w:rPr>
      </w:pPr>
    </w:p>
    <w:p>
      <w:pPr>
        <w:ind w:left="660" w:hanging="652"/>
        <w:spacing w:after="0" w:line="23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30" w:lineRule="exact"/>
        <w:rPr>
          <w:rFonts w:ascii="Arial" w:cs="Arial" w:eastAsia="Arial" w:hAnsi="Arial"/>
          <w:sz w:val="18"/>
          <w:szCs w:val="18"/>
          <w:color w:val="auto"/>
        </w:rPr>
      </w:pPr>
    </w:p>
    <w:p>
      <w:pPr>
        <w:jc w:val="both"/>
        <w:ind w:left="660" w:right="20" w:hanging="652"/>
        <w:spacing w:after="0" w:line="28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1" w:lineRule="exact"/>
        <w:rPr>
          <w:rFonts w:ascii="Arial" w:cs="Arial" w:eastAsia="Arial" w:hAnsi="Arial"/>
          <w:sz w:val="18"/>
          <w:szCs w:val="18"/>
          <w:color w:val="auto"/>
        </w:rPr>
      </w:pPr>
    </w:p>
    <w:p>
      <w:pPr>
        <w:jc w:val="both"/>
        <w:ind w:left="660" w:right="20" w:hanging="652"/>
        <w:spacing w:after="0" w:line="29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16,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8"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6"/>
                <w:szCs w:val="16"/>
                <w:color w:val="auto"/>
              </w:rPr>
            </w:pPr>
          </w:p>
        </w:tc>
        <w:tc>
          <w:tcPr>
            <w:tcW w:w="202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r>
      <w:tr>
        <w:trPr>
          <w:trHeight w:val="250"/>
        </w:trPr>
        <w:tc>
          <w:tcPr>
            <w:tcW w:w="65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w w:val="89"/>
              </w:rPr>
              <w:t>2011</w:t>
            </w:r>
          </w:p>
        </w:tc>
      </w:tr>
      <w:tr>
        <w:trPr>
          <w:trHeight w:val="244"/>
        </w:trPr>
        <w:tc>
          <w:tcPr>
            <w:tcW w:w="6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gridSpan w:val="6"/>
          </w:tcPr>
          <w:p>
            <w:pPr>
              <w:ind w:left="60"/>
              <w:spacing w:after="0"/>
              <w:rPr>
                <w:sz w:val="20"/>
                <w:szCs w:val="20"/>
                <w:color w:val="auto"/>
              </w:rPr>
            </w:pPr>
            <w:r>
              <w:rPr>
                <w:rFonts w:ascii="Arial" w:cs="Arial" w:eastAsia="Arial" w:hAnsi="Arial"/>
                <w:sz w:val="14"/>
                <w:szCs w:val="14"/>
                <w:b w:val="1"/>
                <w:bCs w:val="1"/>
                <w:color w:val="auto"/>
                <w:w w:val="96"/>
              </w:rPr>
              <w:t>(in thousands, except per share data)</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6"/>
        </w:trPr>
        <w:tc>
          <w:tcPr>
            <w:tcW w:w="6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Rental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147,515</w:t>
            </w:r>
          </w:p>
        </w:tc>
        <w:tc>
          <w:tcPr>
            <w:tcW w:w="10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2"/>
              </w:rPr>
              <w:t>134,014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429,972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401,452</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6,577</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Mortgage interest income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3,834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3,564</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157,805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137,664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451,654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411,593</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82,695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81,130</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Real estate taxes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17,320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15,047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49,914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46,001</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19,643</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34,932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32,068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106,702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94,355</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90,682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80,907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262,205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241,129</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67,123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56,757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8"/>
              </w:rPr>
              <w:t>189,449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170,464</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(23,795)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(85,744)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(72,744)</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Early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Income from real estate partnerships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1,201</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105,514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99,388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Discontinued operations - gain on deconsolidation of VIE</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2,026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 gain on sale of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14,800</w:t>
            </w:r>
          </w:p>
        </w:tc>
      </w:tr>
      <w:tr>
        <w:trPr>
          <w:trHeight w:val="237"/>
        </w:trPr>
        <w:tc>
          <w:tcPr>
            <w:tcW w:w="6520" w:type="dxa"/>
            <w:vAlign w:val="bottom"/>
          </w:tcPr>
          <w:p>
            <w:pPr>
              <w:ind w:left="500"/>
              <w:spacing w:after="0"/>
              <w:rPr>
                <w:sz w:val="20"/>
                <w:szCs w:val="20"/>
                <w:color w:val="auto"/>
              </w:rPr>
            </w:pPr>
            <w:r>
              <w:rPr>
                <w:rFonts w:ascii="Arial" w:cs="Arial" w:eastAsia="Arial" w:hAnsi="Arial"/>
                <w:sz w:val="18"/>
                <w:szCs w:val="18"/>
                <w:color w:val="auto"/>
              </w:rPr>
              <w:t>Results from discontinued operations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17,769</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gain on sale of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105,514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117,157</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Gain on sale of real estate in real estate partnership</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11,860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117,374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117,157</w:t>
            </w:r>
          </w:p>
        </w:tc>
      </w:tr>
      <w:tr>
        <w:trPr>
          <w:trHeight w:val="243"/>
        </w:trPr>
        <w:tc>
          <w:tcPr>
            <w:tcW w:w="6520" w:type="dxa"/>
            <w:vAlign w:val="bottom"/>
          </w:tcPr>
          <w:p>
            <w:pPr>
              <w:ind w:left="30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(4,161)</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114,233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112,996</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Dividends on preferred shares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38,508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46,917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113,827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112,590</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71"/>
        </w:trPr>
        <w:tc>
          <w:tcPr>
            <w:tcW w:w="6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BASIC</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6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64"/>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basic</w:t>
            </w: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64,014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62,818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63,711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62,172</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7"/>
        </w:trPr>
        <w:tc>
          <w:tcPr>
            <w:tcW w:w="6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DILUTED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6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64"/>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diluted</w:t>
            </w: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64,202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62,990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63,891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62,341</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462"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42" w:right="239" w:bottom="462"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44"/>
        </w:trPr>
        <w:tc>
          <w:tcPr>
            <w:tcW w:w="8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60" w:type="dxa"/>
            <w:vAlign w:val="bottom"/>
            <w:gridSpan w:val="4"/>
          </w:tcPr>
          <w:p>
            <w:pPr>
              <w:jc w:val="right"/>
              <w:ind w:right="89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at cost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Operating (including $263,664 and $263,570 of consolidated variable interest entities, 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4,276,146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4,232,608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Construction-in-progress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264,982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193,836</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4,541,128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4,426,444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Less accumulated depreciation and amortization (including $10,253 and $4,991 of consolidated variable interest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entities, respectively)</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(1,195,336)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(1,127,588)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real estate</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3,345,792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3,298,856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147,680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67,806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82,152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75,921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notes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55,661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55,967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 in real estate partnership</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33,871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34,352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139,183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133,308</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3,804,339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3,666,210</w:t>
            </w:r>
          </w:p>
        </w:tc>
        <w:tc>
          <w:tcPr>
            <w:tcW w:w="0" w:type="dxa"/>
            <w:vAlign w:val="bottom"/>
          </w:tcPr>
          <w:p>
            <w:pPr>
              <w:spacing w:after="0"/>
              <w:rPr>
                <w:sz w:val="1"/>
                <w:szCs w:val="1"/>
                <w:color w:val="auto"/>
              </w:rPr>
            </w:pPr>
          </w:p>
        </w:tc>
      </w:tr>
      <w:tr>
        <w:trPr>
          <w:trHeight w:val="271"/>
        </w:trPr>
        <w:tc>
          <w:tcPr>
            <w:tcW w:w="85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6"/>
              </w:rPr>
              <w:t>Mortgages and capital lease obligations (including $205,907 and $207,683 of consolidated variable interest</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entities, 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802,341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810,616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299,618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295,159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Senior notes and debentures</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1,076,456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1,004,635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232,151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229,871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2,410,566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2,340,281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81,851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85,325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Preferred shares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Common shares and other shareholders' equity</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1,277,700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1,206,095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 of the Trust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1,287,697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1,216,092</w:t>
            </w: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24,225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24,512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1,311,922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1,240,604</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3,804,339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3,666,210</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66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91"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Pr>
          <w:p>
            <w:pPr>
              <w:spacing w:after="0"/>
              <w:rPr>
                <w:sz w:val="24"/>
                <w:szCs w:val="24"/>
                <w:color w:val="auto"/>
              </w:rPr>
            </w:pPr>
          </w:p>
        </w:tc>
        <w:tc>
          <w:tcPr>
            <w:tcW w:w="17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83"/>
              </w:rPr>
              <w:t>2011</w:t>
            </w:r>
          </w:p>
        </w:tc>
      </w:tr>
      <w:tr>
        <w:trPr>
          <w:trHeight w:val="250"/>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thousands, except per share data)</w:t>
            </w: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09"/>
        </w:trPr>
        <w:tc>
          <w:tcPr>
            <w:tcW w:w="54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7"/>
              </w:rPr>
              <w:t>Funds from Operations available for common shareholders (FFO) (1)</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6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r>
      <w:tr>
        <w:trPr>
          <w:trHeight w:val="243"/>
        </w:trPr>
        <w:tc>
          <w:tcPr>
            <w:tcW w:w="5400" w:type="dxa"/>
            <w:vAlign w:val="bottom"/>
            <w:gridSpan w:val="5"/>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39,656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48,302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117,374</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117,157</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(4,161)</w:t>
            </w:r>
          </w:p>
        </w:tc>
      </w:tr>
      <w:tr>
        <w:trPr>
          <w:trHeight w:val="243"/>
        </w:trPr>
        <w:tc>
          <w:tcPr>
            <w:tcW w:w="5400" w:type="dxa"/>
            <w:vAlign w:val="bottom"/>
            <w:gridSpan w:val="5"/>
          </w:tcPr>
          <w:p>
            <w:pPr>
              <w:ind w:left="40"/>
              <w:spacing w:after="0"/>
              <w:rPr>
                <w:sz w:val="20"/>
                <w:szCs w:val="20"/>
                <w:color w:val="auto"/>
              </w:rPr>
            </w:pPr>
            <w:r>
              <w:rPr>
                <w:rFonts w:ascii="Arial" w:cs="Arial" w:eastAsia="Arial" w:hAnsi="Arial"/>
                <w:sz w:val="18"/>
                <w:szCs w:val="18"/>
                <w:color w:val="auto"/>
              </w:rPr>
              <w:t>Gain on sale of real estate</w:t>
            </w:r>
          </w:p>
        </w:tc>
        <w:tc>
          <w:tcPr>
            <w:tcW w:w="34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(14,757)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(14,800)</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Gain on sale of real estate in real estate partnership</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(11,860)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400" w:type="dxa"/>
            <w:vAlign w:val="bottom"/>
            <w:gridSpan w:val="5"/>
          </w:tcPr>
          <w:p>
            <w:pPr>
              <w:ind w:left="40"/>
              <w:spacing w:after="0"/>
              <w:rPr>
                <w:sz w:val="20"/>
                <w:szCs w:val="20"/>
                <w:color w:val="auto"/>
              </w:rPr>
            </w:pPr>
            <w:r>
              <w:rPr>
                <w:rFonts w:ascii="Arial" w:cs="Arial" w:eastAsia="Arial" w:hAnsi="Arial"/>
                <w:sz w:val="18"/>
                <w:szCs w:val="18"/>
                <w:color w:val="auto"/>
              </w:rPr>
              <w:t>Gain on deconsolidation of VIE</w:t>
            </w:r>
          </w:p>
        </w:tc>
        <w:tc>
          <w:tcPr>
            <w:tcW w:w="34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(2,026)</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30,556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28,671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94,328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84,723</w:t>
            </w:r>
          </w:p>
        </w:tc>
      </w:tr>
      <w:tr>
        <w:trPr>
          <w:trHeight w:val="243"/>
        </w:trPr>
        <w:tc>
          <w:tcPr>
            <w:tcW w:w="5400" w:type="dxa"/>
            <w:vAlign w:val="bottom"/>
            <w:gridSpan w:val="5"/>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4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8,330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7,737</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of joint venture real estate assets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1,304</w:t>
            </w:r>
          </w:p>
        </w:tc>
      </w:tr>
      <w:tr>
        <w:trPr>
          <w:trHeight w:val="237"/>
        </w:trPr>
        <w:tc>
          <w:tcPr>
            <w:tcW w:w="40" w:type="dxa"/>
            <w:vAlign w:val="bottom"/>
          </w:tcPr>
          <w:p>
            <w:pPr>
              <w:spacing w:after="0"/>
              <w:rPr>
                <w:sz w:val="20"/>
                <w:szCs w:val="20"/>
                <w:color w:val="auto"/>
              </w:rPr>
            </w:pPr>
          </w:p>
        </w:tc>
        <w:tc>
          <w:tcPr>
            <w:tcW w:w="5360" w:type="dxa"/>
            <w:vAlign w:val="bottom"/>
            <w:gridSpan w:val="4"/>
          </w:tcPr>
          <w:p>
            <w:pPr>
              <w:ind w:left="340"/>
              <w:spacing w:after="0"/>
              <w:rPr>
                <w:sz w:val="20"/>
                <w:szCs w:val="20"/>
                <w:color w:val="auto"/>
              </w:rPr>
            </w:pPr>
            <w:r>
              <w:rPr>
                <w:rFonts w:ascii="Arial" w:cs="Arial" w:eastAsia="Arial" w:hAnsi="Arial"/>
                <w:sz w:val="18"/>
                <w:szCs w:val="18"/>
                <w:color w:val="auto"/>
              </w:rPr>
              <w:t>Funds from operations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72,301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64,097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206,164</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189,934</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w:t>
            </w:r>
          </w:p>
        </w:tc>
      </w:tr>
      <w:tr>
        <w:trPr>
          <w:trHeight w:val="243"/>
        </w:trPr>
        <w:tc>
          <w:tcPr>
            <w:tcW w:w="5400" w:type="dxa"/>
            <w:vAlign w:val="bottom"/>
            <w:gridSpan w:val="5"/>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4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733</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(793)</w:t>
            </w:r>
          </w:p>
        </w:tc>
      </w:tr>
      <w:tr>
        <w:trPr>
          <w:trHeight w:val="297"/>
        </w:trPr>
        <w:tc>
          <w:tcPr>
            <w:tcW w:w="40" w:type="dxa"/>
            <w:vAlign w:val="bottom"/>
            <w:tcBorders>
              <w:bottom w:val="single" w:sz="8" w:color="CCEEFF"/>
            </w:tcBorders>
          </w:tcPr>
          <w:p>
            <w:pPr>
              <w:spacing w:after="0"/>
              <w:rPr>
                <w:sz w:val="24"/>
                <w:szCs w:val="24"/>
                <w:color w:val="auto"/>
              </w:rPr>
            </w:pPr>
          </w:p>
        </w:tc>
        <w:tc>
          <w:tcPr>
            <w:tcW w:w="5360" w:type="dxa"/>
            <w:vAlign w:val="bottom"/>
            <w:tcBorders>
              <w:bottom w:val="single" w:sz="8" w:color="CCEEFF"/>
            </w:tcBorders>
            <w:gridSpan w:val="4"/>
          </w:tcPr>
          <w:p>
            <w:pPr>
              <w:ind w:left="340"/>
              <w:spacing w:after="0"/>
              <w:rPr>
                <w:sz w:val="20"/>
                <w:szCs w:val="20"/>
                <w:color w:val="auto"/>
              </w:rPr>
            </w:pPr>
            <w:r>
              <w:rPr>
                <w:rFonts w:ascii="Arial" w:cs="Arial" w:eastAsia="Arial" w:hAnsi="Arial"/>
                <w:sz w:val="18"/>
                <w:szCs w:val="18"/>
                <w:color w:val="auto"/>
              </w:rPr>
              <w:t>FFO</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72,061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63,925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205,495</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189,468</w:t>
            </w:r>
          </w:p>
        </w:tc>
      </w:tr>
      <w:tr>
        <w:trPr>
          <w:trHeight w:val="251"/>
        </w:trPr>
        <w:tc>
          <w:tcPr>
            <w:tcW w:w="5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FFO per diluted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3.02</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91"/>
        </w:trPr>
        <w:tc>
          <w:tcPr>
            <w:tcW w:w="40" w:type="dxa"/>
            <w:vAlign w:val="bottom"/>
            <w:tcBorders>
              <w:bottom w:val="single" w:sz="8" w:color="CCEEFF"/>
            </w:tcBorders>
          </w:tcPr>
          <w:p>
            <w:pPr>
              <w:spacing w:after="0"/>
              <w:rPr>
                <w:sz w:val="24"/>
                <w:szCs w:val="24"/>
                <w:color w:val="auto"/>
              </w:rPr>
            </w:pPr>
          </w:p>
        </w:tc>
        <w:tc>
          <w:tcPr>
            <w:tcW w:w="5360" w:type="dxa"/>
            <w:vAlign w:val="bottom"/>
            <w:tcBorders>
              <w:bottom w:val="single" w:sz="8" w:color="CCEEFF"/>
            </w:tcBorders>
            <w:gridSpan w:val="4"/>
          </w:tcPr>
          <w:p>
            <w:pPr>
              <w:ind w:left="340"/>
              <w:spacing w:after="0"/>
              <w:rPr>
                <w:sz w:val="20"/>
                <w:szCs w:val="20"/>
                <w:color w:val="auto"/>
              </w:rPr>
            </w:pPr>
            <w:r>
              <w:rPr>
                <w:rFonts w:ascii="Arial" w:cs="Arial" w:eastAsia="Arial" w:hAnsi="Arial"/>
                <w:sz w:val="18"/>
                <w:szCs w:val="18"/>
                <w:color w:val="auto"/>
              </w:rPr>
              <w:t>Weighted average number of common shares, diluted</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64,526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63,350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64,227</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62,702</w:t>
            </w:r>
          </w:p>
        </w:tc>
      </w:tr>
      <w:tr>
        <w:trPr>
          <w:trHeight w:val="271"/>
        </w:trPr>
        <w:tc>
          <w:tcPr>
            <w:tcW w:w="4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03"/>
        </w:trPr>
        <w:tc>
          <w:tcPr>
            <w:tcW w:w="540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Summary of Capital Expenditures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0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5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Non-maintenance capital expenditures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60" w:type="dxa"/>
            <w:vAlign w:val="bottom"/>
            <w:gridSpan w:val="4"/>
          </w:tcPr>
          <w:p>
            <w:pPr>
              <w:ind w:left="340"/>
              <w:spacing w:after="0"/>
              <w:rPr>
                <w:sz w:val="20"/>
                <w:szCs w:val="20"/>
                <w:color w:val="auto"/>
              </w:rPr>
            </w:pPr>
            <w:r>
              <w:rPr>
                <w:rFonts w:ascii="Arial" w:cs="Arial" w:eastAsia="Arial" w:hAnsi="Arial"/>
                <w:sz w:val="18"/>
                <w:szCs w:val="18"/>
                <w:color w:val="auto"/>
              </w:rPr>
              <w:t>Development, redevelopment and expansions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48,757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27,657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96,218</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62,313</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6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Tenant improvements and incentives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8,716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23,527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18,346</w:t>
            </w:r>
          </w:p>
        </w:tc>
      </w:tr>
      <w:tr>
        <w:trPr>
          <w:trHeight w:val="237"/>
        </w:trPr>
        <w:tc>
          <w:tcPr>
            <w:tcW w:w="5400" w:type="dxa"/>
            <w:vAlign w:val="bottom"/>
            <w:gridSpan w:val="5"/>
          </w:tcPr>
          <w:p>
            <w:pPr>
              <w:ind w:left="40"/>
              <w:spacing w:after="0"/>
              <w:rPr>
                <w:sz w:val="20"/>
                <w:szCs w:val="20"/>
                <w:color w:val="auto"/>
              </w:rPr>
            </w:pPr>
            <w:r>
              <w:rPr>
                <w:rFonts w:ascii="Arial" w:cs="Arial" w:eastAsia="Arial" w:hAnsi="Arial"/>
                <w:sz w:val="18"/>
                <w:szCs w:val="18"/>
                <w:color w:val="auto"/>
              </w:rPr>
              <w:t>Total non-maintenance capital expenditures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57,473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31,885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119,745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80,659</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6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Maintenance capital expenditures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4,039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10,766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12,750</w:t>
            </w:r>
          </w:p>
        </w:tc>
      </w:tr>
      <w:tr>
        <w:trPr>
          <w:trHeight w:val="297"/>
        </w:trPr>
        <w:tc>
          <w:tcPr>
            <w:tcW w:w="540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Total capital expenditures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61,512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38,067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130,511</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93,409</w:t>
            </w:r>
          </w:p>
        </w:tc>
      </w:tr>
      <w:tr>
        <w:trPr>
          <w:trHeight w:val="271"/>
        </w:trPr>
        <w:tc>
          <w:tcPr>
            <w:tcW w:w="4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03"/>
        </w:trPr>
        <w:tc>
          <w:tcPr>
            <w:tcW w:w="540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Dividends and Payout Ratios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0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2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5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Regular common dividends declared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47,182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43,809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135,500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127,488</w:t>
            </w:r>
          </w:p>
        </w:tc>
      </w:tr>
      <w:tr>
        <w:trPr>
          <w:trHeight w:val="284"/>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3"/>
        </w:trPr>
        <w:tc>
          <w:tcPr>
            <w:tcW w:w="54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Dividend payout ratio as a percentage of FFO</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4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250"/>
        </w:trPr>
        <w:tc>
          <w:tcPr>
            <w:tcW w:w="84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2011</w:t>
            </w:r>
          </w:p>
        </w:tc>
      </w:tr>
      <w:tr>
        <w:trPr>
          <w:trHeight w:val="250"/>
        </w:trPr>
        <w:tc>
          <w:tcPr>
            <w:tcW w:w="8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5"/>
              </w:rPr>
              <w:t>(in thousands, except per share data)</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Common shares outstanding (1)</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64,621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63,494</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Market price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105.30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82.41</w:t>
            </w:r>
          </w:p>
        </w:tc>
      </w:tr>
      <w:tr>
        <w:trPr>
          <w:trHeight w:val="237"/>
        </w:trPr>
        <w:tc>
          <w:tcPr>
            <w:tcW w:w="8420" w:type="dxa"/>
            <w:vAlign w:val="bottom"/>
          </w:tcPr>
          <w:p>
            <w:pPr>
              <w:ind w:left="580"/>
              <w:spacing w:after="0"/>
              <w:rPr>
                <w:sz w:val="20"/>
                <w:szCs w:val="20"/>
                <w:color w:val="auto"/>
              </w:rPr>
            </w:pPr>
            <w:r>
              <w:rPr>
                <w:rFonts w:ascii="Arial" w:cs="Arial" w:eastAsia="Arial" w:hAnsi="Arial"/>
                <w:sz w:val="18"/>
                <w:szCs w:val="18"/>
                <w:color w:val="auto"/>
              </w:rPr>
              <w:t>Common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6,804,591</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7"/>
              </w:rPr>
              <w:t>5,232,541</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Series 1 preferred shares outstanding (2)</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Liquidation price per Series 1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r>
      <w:tr>
        <w:trPr>
          <w:trHeight w:val="237"/>
        </w:trPr>
        <w:tc>
          <w:tcPr>
            <w:tcW w:w="8420" w:type="dxa"/>
            <w:vAlign w:val="bottom"/>
          </w:tcPr>
          <w:p>
            <w:pPr>
              <w:ind w:left="580"/>
              <w:spacing w:after="0"/>
              <w:rPr>
                <w:sz w:val="20"/>
                <w:szCs w:val="20"/>
                <w:color w:val="auto"/>
              </w:rPr>
            </w:pPr>
            <w:r>
              <w:rPr>
                <w:rFonts w:ascii="Arial" w:cs="Arial" w:eastAsia="Arial" w:hAnsi="Arial"/>
                <w:sz w:val="18"/>
                <w:szCs w:val="18"/>
                <w:color w:val="auto"/>
              </w:rPr>
              <w:t>Series 1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10,000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Equity market capitalization</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6,814,591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w w:val="97"/>
              </w:rPr>
              <w:t>5,242,541</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Total debt (3)</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2,178,415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w w:val="97"/>
              </w:rPr>
              <w:t>1,730,875</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r>
      <w:tr>
        <w:trPr>
          <w:trHeight w:val="297"/>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market capitalization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8,993,006</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7"/>
              </w:rPr>
              <w:t>6,973,416</w:t>
            </w:r>
          </w:p>
        </w:tc>
      </w:tr>
      <w:tr>
        <w:trPr>
          <w:trHeight w:val="271"/>
        </w:trPr>
        <w:tc>
          <w:tcPr>
            <w:tcW w:w="8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Total debt to market capitalization at then current market price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Total debt to market capitalization at constant common share price of $82.41</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Fixed rate debt ratio:</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Fixed rate debt and capital lease obligations (4)</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8420" w:type="dxa"/>
            <w:vAlign w:val="bottom"/>
          </w:tcPr>
          <w:p>
            <w:pPr>
              <w:ind w:left="580"/>
              <w:spacing w:after="0"/>
              <w:rPr>
                <w:sz w:val="20"/>
                <w:szCs w:val="20"/>
                <w:color w:val="auto"/>
              </w:rPr>
            </w:pPr>
            <w:r>
              <w:rPr>
                <w:rFonts w:ascii="Arial" w:cs="Arial" w:eastAsia="Arial" w:hAnsi="Arial"/>
                <w:sz w:val="18"/>
                <w:szCs w:val="18"/>
                <w:color w:val="auto"/>
              </w:rPr>
              <w:t>Variable rate debt</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&lt;1%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Amounts do not include 324,140 and 360,314 Operating Partnership Units outstanding at September 30, 2012 and 2011,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280" w:hanging="652"/>
        <w:spacing w:after="0" w:line="308"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Total debt includes capital leases, mortgages payable, notes payable, senior notes and debentures, net of premiums and discounts from our consolidated balance sheet. It does not include $17.2 million at September 30, 2012 and 2011, which is the Trust's 30% share of the total mortgages payable of $57.2 million and $57.4 million at September 30, 2012 and 2011, respectively, of the partnership with a discretionary fund created and advised by ING Clarion Partners.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238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Retail and commercial (1)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106,344</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98,654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313,934</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293,622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 (2)</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20,467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16,958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29,171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25,714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82,603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80,083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4,598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3,217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7,801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6,191</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147,515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134,014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429,972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401,452</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20" w:hanging="652"/>
        <w:spacing w:after="0" w:line="25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Minimum rents include $1.8 million and $1.6 million for the three months ended September 30, 2012 and 2011, and $3.9 million for the nine months ended September 30, 2012 and 2011 to recognize minimum rents on a straight-line basis. In addition, minimum rents include $0.3 million for the three months ended September 30, 2012 and 2011, and $0.8 million and $1.0 million for the nine months ended September 30, 2012 and 2011, respectively, to recognize income from the amortization of in-place leases.</w:t>
      </w:r>
    </w:p>
    <w:p>
      <w:pPr>
        <w:spacing w:after="0" w:line="25"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Residential minimum rents consist of the rental amounts for residential units at Rollingwood Apartments, the Crest at Congressional Plaza Apartments, Santana Row and Bethesda 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4" w:name="page15"/>
    <w:bookmarkEnd w:id="14"/>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As of September 30, 2012</w:t>
            </w:r>
          </w:p>
        </w:tc>
        <w:tc>
          <w:tcPr>
            <w:tcW w:w="1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Stated maturity date</w:t>
            </w: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Stated interest rate</w:t>
            </w:r>
          </w:p>
        </w:tc>
        <w:tc>
          <w:tcPr>
            <w:tcW w:w="220" w:type="dxa"/>
            <w:vAlign w:val="bottom"/>
          </w:tcPr>
          <w:p>
            <w:pPr>
              <w:spacing w:after="0"/>
              <w:rPr>
                <w:sz w:val="13"/>
                <w:szCs w:val="13"/>
                <w:color w:val="auto"/>
              </w:rPr>
            </w:pPr>
          </w:p>
        </w:tc>
        <w:tc>
          <w:tcPr>
            <w:tcW w:w="126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Balance</w:t>
            </w:r>
          </w:p>
        </w:tc>
        <w:tc>
          <w:tcPr>
            <w:tcW w:w="1220" w:type="dxa"/>
            <w:vAlign w:val="bottom"/>
          </w:tcPr>
          <w:p>
            <w:pPr>
              <w:spacing w:after="0"/>
              <w:rPr>
                <w:sz w:val="13"/>
                <w:szCs w:val="13"/>
                <w:color w:val="auto"/>
              </w:rPr>
            </w:pPr>
          </w:p>
        </w:tc>
        <w:tc>
          <w:tcPr>
            <w:tcW w:w="13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effective rate (9)</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7"/>
              </w:rPr>
              <w:t>(in thousands)</w:t>
            </w:r>
          </w:p>
        </w:tc>
        <w:tc>
          <w:tcPr>
            <w:tcW w:w="122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68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Mortgages Payable (1)</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i w:val="1"/>
                <w:iCs w:val="1"/>
                <w:color w:val="auto"/>
              </w:rPr>
              <w:t>Secured fixed rate</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Bethesda Row</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1/1/2013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19,992</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Bethesda Row</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2/1/2013</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3,900</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White Marsh Plaza (2)</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4/1/2013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9,050</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Crow Canyon</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8/11/2013</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19,605</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Idylwood Plaza</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6/5/2014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16,062</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Leesburg Plaza</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6/5/2014</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27,947</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Loehmann's Plaza</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6/5/2014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36,139</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Pentagon Row</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6/5/2014</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51,879</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Melville Mall (3)</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9/1/2014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21,737</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THE AVENUE at White Marsh</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1/1/2015</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55,659</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Barracks Road</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38,309</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Hauppauge</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14,441</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Lawrence Park</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27,153</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Wildwood</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23,867</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Wynnewood</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27,672</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Brick Plaza</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28,219</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Plaza El Segundo</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8/5/2017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175,000</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Rollingwood Apartments</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5/1/2019</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22,980</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Shoppers' World</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1/31/2021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5,327</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Montrose Crossing</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1/10/2022</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4.20%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79,099</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Mount Vernon (4)</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4/15/2028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10,253</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Chelsea</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1/15/2031</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7,498</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721,788</w:t>
            </w:r>
          </w:p>
        </w:tc>
        <w:tc>
          <w:tcPr>
            <w:tcW w:w="1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Net unamortized premium</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8,855</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Total mortgages payable</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730,643</w:t>
            </w:r>
          </w:p>
        </w:tc>
        <w:tc>
          <w:tcPr>
            <w:tcW w:w="20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6.23%</w:t>
            </w: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68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Notes payable</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i w:val="1"/>
                <w:iCs w:val="1"/>
                <w:color w:val="auto"/>
              </w:rPr>
              <w:t>Unsecured fixed rate</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Various (5)</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Various through 2027</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15,218</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Term loan (6)</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11/21/2018</w:t>
            </w:r>
          </w:p>
        </w:tc>
        <w:tc>
          <w:tcPr>
            <w:tcW w:w="1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LIBOR + 1.45%</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i w:val="1"/>
                <w:iCs w:val="1"/>
                <w:color w:val="auto"/>
              </w:rPr>
              <w:t>Unsecured variable rate</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Revolving credit facility (7)</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7/6/2015</w:t>
            </w:r>
          </w:p>
        </w:tc>
        <w:tc>
          <w:tcPr>
            <w:tcW w:w="1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LIBOR + 1.15%</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Escondido (municipal bonds) (8)</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10/1/2016</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9,400</w:t>
            </w:r>
          </w:p>
        </w:tc>
        <w:tc>
          <w:tcPr>
            <w:tcW w:w="1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Total notes payable</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299,618</w:t>
            </w:r>
          </w:p>
        </w:tc>
        <w:tc>
          <w:tcPr>
            <w:tcW w:w="2080" w:type="dxa"/>
            <w:vAlign w:val="bottom"/>
            <w:gridSpan w:val="2"/>
          </w:tcPr>
          <w:p>
            <w:pPr>
              <w:jc w:val="right"/>
              <w:ind w:right="108"/>
              <w:spacing w:after="0"/>
              <w:rPr>
                <w:sz w:val="20"/>
                <w:szCs w:val="20"/>
                <w:color w:val="auto"/>
              </w:rPr>
            </w:pPr>
            <w:r>
              <w:rPr>
                <w:rFonts w:ascii="Arial" w:cs="Arial" w:eastAsia="Arial" w:hAnsi="Arial"/>
                <w:sz w:val="16"/>
                <w:szCs w:val="16"/>
                <w:color w:val="auto"/>
              </w:rPr>
              <w:t>3.44%</w:t>
            </w: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680" w:type="dxa"/>
            <w:vAlign w:val="bottom"/>
            <w:gridSpan w:val="6"/>
          </w:tcPr>
          <w:p>
            <w:pPr>
              <w:ind w:left="40"/>
              <w:spacing w:after="0"/>
              <w:rPr>
                <w:sz w:val="20"/>
                <w:szCs w:val="20"/>
                <w:color w:val="auto"/>
              </w:rPr>
            </w:pPr>
            <w:r>
              <w:rPr>
                <w:rFonts w:ascii="Arial" w:cs="Arial" w:eastAsia="Arial" w:hAnsi="Arial"/>
                <w:sz w:val="16"/>
                <w:szCs w:val="16"/>
                <w:color w:val="auto"/>
              </w:rPr>
              <w:t>Senior notes and debentures</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8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i w:val="1"/>
                <w:iCs w:val="1"/>
                <w:color w:val="auto"/>
              </w:rPr>
              <w:t>Unsecured fixed rate</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5.40%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12/1/2013</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135,000</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5.95%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8/15/2014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150,000</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5.65%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6/1/2016</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125,000</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6.20%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1/15/2017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200,000</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5.90%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4/1/2020</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150,000</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3.00%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8/1/2022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7.48% debentures</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8/15/2026</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29,200</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6.82% medium term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8/1/2027</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6.82%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Subtotal</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1,079,200</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Net unamortized discount</w:t>
            </w:r>
          </w:p>
        </w:tc>
        <w:tc>
          <w:tcPr>
            <w:tcW w:w="1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(2,744)</w:t>
            </w:r>
          </w:p>
        </w:tc>
        <w:tc>
          <w:tcPr>
            <w:tcW w:w="1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Total senior notes and debentures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1,076,456</w:t>
            </w:r>
          </w:p>
        </w:tc>
        <w:tc>
          <w:tcPr>
            <w:tcW w:w="2080" w:type="dxa"/>
            <w:vAlign w:val="bottom"/>
            <w:gridSpan w:val="2"/>
          </w:tcPr>
          <w:p>
            <w:pPr>
              <w:jc w:val="right"/>
              <w:ind w:right="108"/>
              <w:spacing w:after="0"/>
              <w:rPr>
                <w:sz w:val="20"/>
                <w:szCs w:val="20"/>
                <w:color w:val="auto"/>
              </w:rPr>
            </w:pPr>
            <w:r>
              <w:rPr>
                <w:rFonts w:ascii="Arial" w:cs="Arial" w:eastAsia="Arial" w:hAnsi="Arial"/>
                <w:sz w:val="16"/>
                <w:szCs w:val="16"/>
                <w:color w:val="auto"/>
              </w:rPr>
              <w:t>5.43%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680" w:type="dxa"/>
            <w:vAlign w:val="bottom"/>
            <w:gridSpan w:val="6"/>
          </w:tcPr>
          <w:p>
            <w:pPr>
              <w:ind w:left="40"/>
              <w:spacing w:after="0"/>
              <w:rPr>
                <w:sz w:val="20"/>
                <w:szCs w:val="20"/>
                <w:color w:val="auto"/>
              </w:rPr>
            </w:pPr>
            <w:r>
              <w:rPr>
                <w:rFonts w:ascii="Arial" w:cs="Arial" w:eastAsia="Arial" w:hAnsi="Arial"/>
                <w:sz w:val="16"/>
                <w:szCs w:val="16"/>
                <w:color w:val="auto"/>
              </w:rPr>
              <w:t>Capital lease obligations</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Various</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Various through 2106</w:t>
            </w: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Various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71,698</w:t>
            </w:r>
          </w:p>
        </w:tc>
        <w:tc>
          <w:tcPr>
            <w:tcW w:w="20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8.05%</w:t>
            </w:r>
          </w:p>
        </w:tc>
        <w:tc>
          <w:tcPr>
            <w:tcW w:w="5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3680" w:type="dxa"/>
            <w:vAlign w:val="bottom"/>
            <w:tcBorders>
              <w:bottom w:val="single" w:sz="8" w:color="CCEEFF"/>
            </w:tcBorders>
            <w:gridSpan w:val="6"/>
          </w:tcPr>
          <w:p>
            <w:pPr>
              <w:ind w:left="40"/>
              <w:spacing w:after="0"/>
              <w:rPr>
                <w:sz w:val="20"/>
                <w:szCs w:val="20"/>
                <w:color w:val="auto"/>
              </w:rPr>
            </w:pPr>
            <w:r>
              <w:rPr>
                <w:rFonts w:ascii="Arial" w:cs="Arial" w:eastAsia="Arial" w:hAnsi="Arial"/>
                <w:sz w:val="16"/>
                <w:szCs w:val="16"/>
                <w:color w:val="auto"/>
              </w:rPr>
              <w:t>Total debt and capital lease obligations</w:t>
            </w:r>
          </w:p>
        </w:tc>
        <w:tc>
          <w:tcPr>
            <w:tcW w:w="18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2,178,415</w:t>
            </w:r>
          </w:p>
        </w:tc>
        <w:tc>
          <w:tcPr>
            <w:tcW w:w="12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747" w:right="239" w:bottom="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t>12</w:t>
      </w:r>
    </w:p>
    <w:p>
      <w:pPr>
        <w:sectPr>
          <w:pgSz w:w="11900" w:h="16838" w:orient="portrait"/>
          <w:cols w:equalWidth="0" w:num="1">
            <w:col w:w="9019"/>
          </w:cols>
          <w:pgMar w:left="1440" w:top="1071"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6"/>
        </w:trPr>
        <w:tc>
          <w:tcPr>
            <w:tcW w:w="7320" w:type="dxa"/>
            <w:vAlign w:val="bottom"/>
          </w:tcPr>
          <w:p>
            <w:pPr>
              <w:ind w:left="40"/>
              <w:spacing w:after="0"/>
              <w:rPr>
                <w:sz w:val="20"/>
                <w:szCs w:val="20"/>
                <w:color w:val="auto"/>
              </w:rPr>
            </w:pPr>
            <w:r>
              <w:rPr>
                <w:rFonts w:ascii="Arial" w:cs="Arial" w:eastAsia="Arial" w:hAnsi="Arial"/>
                <w:sz w:val="16"/>
                <w:szCs w:val="16"/>
                <w:color w:val="auto"/>
              </w:rPr>
              <w:t>Total fixed rate debt and capital lease obligations</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2,169,015</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5.52%</w:t>
            </w:r>
          </w:p>
        </w:tc>
        <w:tc>
          <w:tcPr>
            <w:tcW w:w="440" w:type="dxa"/>
            <w:vAlign w:val="bottom"/>
          </w:tcPr>
          <w:p>
            <w:pPr>
              <w:spacing w:after="0"/>
              <w:rPr>
                <w:sz w:val="17"/>
                <w:szCs w:val="17"/>
                <w:color w:val="auto"/>
              </w:rPr>
            </w:pPr>
          </w:p>
        </w:tc>
      </w:tr>
      <w:tr>
        <w:trPr>
          <w:trHeight w:val="33"/>
        </w:trPr>
        <w:tc>
          <w:tcPr>
            <w:tcW w:w="7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variable rate debt</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9,400</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&lt;1%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1.80%</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44"/>
        </w:trPr>
        <w:tc>
          <w:tcPr>
            <w:tcW w:w="7320" w:type="dxa"/>
            <w:vAlign w:val="bottom"/>
          </w:tcPr>
          <w:p>
            <w:pPr>
              <w:ind w:left="40"/>
              <w:spacing w:after="0"/>
              <w:rPr>
                <w:sz w:val="20"/>
                <w:szCs w:val="20"/>
                <w:color w:val="auto"/>
              </w:rPr>
            </w:pPr>
            <w:r>
              <w:rPr>
                <w:rFonts w:ascii="Arial" w:cs="Arial" w:eastAsia="Arial" w:hAnsi="Arial"/>
                <w:sz w:val="16"/>
                <w:szCs w:val="16"/>
                <w:color w:val="auto"/>
              </w:rPr>
              <w:t>Total debt and capital lease obligations</w:t>
            </w: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2,178,415</w:t>
            </w:r>
          </w:p>
        </w:tc>
        <w:tc>
          <w:tcPr>
            <w:tcW w:w="34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5.51%</w:t>
            </w:r>
          </w:p>
        </w:tc>
        <w:tc>
          <w:tcPr>
            <w:tcW w:w="4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64" w:right="239" w:bottom="1440" w:gutter="0" w:footer="0" w:header="0"/>
        </w:sectPr>
      </w:pPr>
    </w:p>
    <w:p>
      <w:pPr>
        <w:spacing w:after="0" w:line="7" w:lineRule="exact"/>
        <w:rPr>
          <w:sz w:val="20"/>
          <w:szCs w:val="20"/>
          <w:color w:val="auto"/>
        </w:rPr>
      </w:pPr>
    </w:p>
    <w:p>
      <w:pPr>
        <w:jc w:val="center"/>
        <w:ind w:left="7440"/>
        <w:spacing w:after="0"/>
        <w:rPr>
          <w:sz w:val="20"/>
          <w:szCs w:val="20"/>
          <w:color w:val="auto"/>
        </w:rPr>
      </w:pPr>
      <w:r>
        <w:rPr>
          <w:rFonts w:ascii="Arial" w:cs="Arial" w:eastAsia="Arial" w:hAnsi="Arial"/>
          <w:sz w:val="13"/>
          <w:szCs w:val="13"/>
          <w:b w:val="1"/>
          <w:bCs w:val="1"/>
          <w:color w:val="auto"/>
        </w:rPr>
        <w:t>Three Months Ended</w:t>
      </w:r>
    </w:p>
    <w:p>
      <w:pPr>
        <w:spacing w:after="0" w:line="121"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23495</wp:posOffset>
            </wp:positionV>
            <wp:extent cx="1286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89" w:lineRule="exact"/>
        <w:rPr>
          <w:sz w:val="20"/>
          <w:szCs w:val="20"/>
          <w:color w:val="auto"/>
        </w:rPr>
      </w:pPr>
    </w:p>
    <w:p>
      <w:pPr>
        <w:ind w:left="7640"/>
        <w:spacing w:after="0"/>
        <w:tabs>
          <w:tab w:leader="none" w:pos="8640" w:val="left"/>
        </w:tabs>
        <w:rPr>
          <w:sz w:val="20"/>
          <w:szCs w:val="20"/>
          <w:color w:val="auto"/>
        </w:rPr>
      </w:pPr>
      <w:r>
        <w:rPr>
          <w:rFonts w:ascii="Arial" w:cs="Arial" w:eastAsia="Arial" w:hAnsi="Arial"/>
          <w:sz w:val="12"/>
          <w:szCs w:val="12"/>
          <w:b w:val="1"/>
          <w:bCs w:val="1"/>
          <w:color w:val="auto"/>
        </w:rPr>
        <w:t>2012</w:t>
      </w:r>
      <w:r>
        <w:rPr>
          <w:sz w:val="20"/>
          <w:szCs w:val="20"/>
          <w:color w:val="auto"/>
        </w:rPr>
        <w:tab/>
      </w:r>
      <w:r>
        <w:rPr>
          <w:rFonts w:ascii="Arial" w:cs="Arial" w:eastAsia="Arial" w:hAnsi="Arial"/>
          <w:sz w:val="12"/>
          <w:szCs w:val="12"/>
          <w:b w:val="1"/>
          <w:bCs w:val="1"/>
          <w:color w:val="auto"/>
        </w:rPr>
        <w:t>2011</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Arial" w:cs="Arial" w:eastAsia="Arial" w:hAnsi="Arial"/>
          <w:sz w:val="13"/>
          <w:szCs w:val="13"/>
          <w:b w:val="1"/>
          <w:bCs w:val="1"/>
          <w:color w:val="auto"/>
        </w:rPr>
        <w:t>Nine Months Ended</w:t>
      </w:r>
    </w:p>
    <w:p>
      <w:pPr>
        <w:spacing w:after="0" w:line="121"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23495</wp:posOffset>
            </wp:positionV>
            <wp:extent cx="12179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89"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2"/>
          <w:szCs w:val="12"/>
          <w:b w:val="1"/>
          <w:bCs w:val="1"/>
          <w:color w:val="auto"/>
        </w:rPr>
        <w:t>2012</w:t>
      </w:r>
      <w:r>
        <w:rPr>
          <w:sz w:val="20"/>
          <w:szCs w:val="20"/>
          <w:color w:val="auto"/>
        </w:rPr>
        <w:tab/>
      </w:r>
      <w:r>
        <w:rPr>
          <w:rFonts w:ascii="Arial" w:cs="Arial" w:eastAsia="Arial" w:hAnsi="Arial"/>
          <w:sz w:val="12"/>
          <w:szCs w:val="12"/>
          <w:b w:val="1"/>
          <w:bCs w:val="1"/>
          <w:color w:val="auto"/>
        </w:rPr>
        <w:t>2011</w:t>
      </w:r>
    </w:p>
    <w:p>
      <w:pPr>
        <w:spacing w:after="0" w:line="48" w:lineRule="exact"/>
        <w:rPr>
          <w:sz w:val="20"/>
          <w:szCs w:val="20"/>
          <w:color w:val="auto"/>
        </w:rPr>
      </w:pPr>
    </w:p>
    <w:p>
      <w:pPr>
        <w:sectPr>
          <w:pgSz w:w="11900" w:h="16838" w:orient="portrait"/>
          <w:cols w:equalWidth="0" w:num="2">
            <w:col w:w="9140" w:space="720"/>
            <w:col w:w="1560"/>
          </w:cols>
          <w:pgMar w:left="240" w:top="764"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40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1"/>
              </w:rPr>
              <w:t>Operational Statistics</w:t>
            </w:r>
          </w:p>
        </w:tc>
        <w:tc>
          <w:tcPr>
            <w:tcW w:w="5720" w:type="dxa"/>
            <w:vAlign w:val="bottom"/>
            <w:tcBorders>
              <w:top w:val="single" w:sz="8" w:color="CCEEFF"/>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37"/>
        </w:trPr>
        <w:tc>
          <w:tcPr>
            <w:tcW w:w="140" w:type="dxa"/>
            <w:vAlign w:val="bottom"/>
          </w:tcPr>
          <w:p>
            <w:pPr>
              <w:spacing w:after="0"/>
              <w:rPr>
                <w:sz w:val="20"/>
                <w:szCs w:val="20"/>
                <w:color w:val="auto"/>
              </w:rPr>
            </w:pPr>
          </w:p>
        </w:tc>
        <w:tc>
          <w:tcPr>
            <w:tcW w:w="7120" w:type="dxa"/>
            <w:vAlign w:val="bottom"/>
            <w:gridSpan w:val="2"/>
          </w:tcPr>
          <w:p>
            <w:pPr>
              <w:ind w:left="360"/>
              <w:spacing w:after="0"/>
              <w:rPr>
                <w:sz w:val="20"/>
                <w:szCs w:val="20"/>
                <w:color w:val="auto"/>
              </w:rPr>
            </w:pPr>
            <w:r>
              <w:rPr>
                <w:rFonts w:ascii="Arial" w:cs="Arial" w:eastAsia="Arial" w:hAnsi="Arial"/>
                <w:sz w:val="16"/>
                <w:szCs w:val="16"/>
                <w:color w:val="auto"/>
              </w:rPr>
              <w:t>Ratio of EBITDA to combined fixed charges and preferred share dividends (11)</w:t>
            </w:r>
          </w:p>
        </w:tc>
        <w:tc>
          <w:tcPr>
            <w:tcW w:w="640" w:type="dxa"/>
            <w:vAlign w:val="bottom"/>
          </w:tcPr>
          <w:p>
            <w:pPr>
              <w:jc w:val="right"/>
              <w:spacing w:after="0"/>
              <w:rPr>
                <w:sz w:val="20"/>
                <w:szCs w:val="20"/>
                <w:color w:val="auto"/>
              </w:rPr>
            </w:pPr>
            <w:r>
              <w:rPr>
                <w:rFonts w:ascii="Arial" w:cs="Arial" w:eastAsia="Arial" w:hAnsi="Arial"/>
                <w:sz w:val="16"/>
                <w:szCs w:val="16"/>
                <w:color w:val="auto"/>
              </w:rPr>
              <w:t>3.31</w:t>
            </w:r>
          </w:p>
        </w:tc>
        <w:tc>
          <w:tcPr>
            <w:tcW w:w="400" w:type="dxa"/>
            <w:vAlign w:val="bottom"/>
          </w:tcPr>
          <w:p>
            <w:pPr>
              <w:ind w:left="60"/>
              <w:spacing w:after="0"/>
              <w:rPr>
                <w:sz w:val="20"/>
                <w:szCs w:val="20"/>
                <w:color w:val="auto"/>
              </w:rPr>
            </w:pPr>
            <w:r>
              <w:rPr>
                <w:rFonts w:ascii="Arial" w:cs="Arial" w:eastAsia="Arial" w:hAnsi="Arial"/>
                <w:sz w:val="16"/>
                <w:szCs w:val="16"/>
                <w:color w:val="auto"/>
              </w:rPr>
              <w:t>x</w:t>
            </w:r>
          </w:p>
        </w:tc>
        <w:tc>
          <w:tcPr>
            <w:tcW w:w="620" w:type="dxa"/>
            <w:vAlign w:val="bottom"/>
          </w:tcPr>
          <w:p>
            <w:pPr>
              <w:jc w:val="right"/>
              <w:spacing w:after="0"/>
              <w:rPr>
                <w:sz w:val="20"/>
                <w:szCs w:val="20"/>
                <w:color w:val="auto"/>
              </w:rPr>
            </w:pPr>
            <w:r>
              <w:rPr>
                <w:rFonts w:ascii="Arial" w:cs="Arial" w:eastAsia="Arial" w:hAnsi="Arial"/>
                <w:sz w:val="16"/>
                <w:szCs w:val="16"/>
                <w:color w:val="auto"/>
              </w:rPr>
              <w:t>3.96</w:t>
            </w:r>
          </w:p>
        </w:tc>
        <w:tc>
          <w:tcPr>
            <w:tcW w:w="580" w:type="dxa"/>
            <w:vAlign w:val="bottom"/>
            <w:gridSpan w:val="2"/>
          </w:tcPr>
          <w:p>
            <w:pPr>
              <w:ind w:left="100"/>
              <w:spacing w:after="0"/>
              <w:rPr>
                <w:sz w:val="20"/>
                <w:szCs w:val="20"/>
                <w:color w:val="auto"/>
              </w:rPr>
            </w:pPr>
            <w:r>
              <w:rPr>
                <w:rFonts w:ascii="Arial" w:cs="Arial" w:eastAsia="Arial" w:hAnsi="Arial"/>
                <w:sz w:val="16"/>
                <w:szCs w:val="16"/>
                <w:color w:val="auto"/>
              </w:rPr>
              <w:t>x</w:t>
            </w:r>
          </w:p>
        </w:tc>
        <w:tc>
          <w:tcPr>
            <w:tcW w:w="640" w:type="dxa"/>
            <w:vAlign w:val="bottom"/>
          </w:tcPr>
          <w:p>
            <w:pPr>
              <w:jc w:val="right"/>
              <w:spacing w:after="0"/>
              <w:rPr>
                <w:sz w:val="20"/>
                <w:szCs w:val="20"/>
                <w:color w:val="auto"/>
              </w:rPr>
            </w:pPr>
            <w:r>
              <w:rPr>
                <w:rFonts w:ascii="Arial" w:cs="Arial" w:eastAsia="Arial" w:hAnsi="Arial"/>
                <w:sz w:val="16"/>
                <w:szCs w:val="16"/>
                <w:color w:val="auto"/>
              </w:rPr>
              <w:t>3.28</w:t>
            </w:r>
          </w:p>
        </w:tc>
        <w:tc>
          <w:tcPr>
            <w:tcW w:w="400" w:type="dxa"/>
            <w:vAlign w:val="bottom"/>
          </w:tcPr>
          <w:p>
            <w:pPr>
              <w:ind w:left="60"/>
              <w:spacing w:after="0"/>
              <w:rPr>
                <w:sz w:val="20"/>
                <w:szCs w:val="20"/>
                <w:color w:val="auto"/>
              </w:rPr>
            </w:pPr>
            <w:r>
              <w:rPr>
                <w:rFonts w:ascii="Arial" w:cs="Arial" w:eastAsia="Arial" w:hAnsi="Arial"/>
                <w:sz w:val="16"/>
                <w:szCs w:val="16"/>
                <w:color w:val="auto"/>
              </w:rPr>
              <w:t>x</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3.59</w:t>
            </w:r>
          </w:p>
        </w:tc>
        <w:tc>
          <w:tcPr>
            <w:tcW w:w="240" w:type="dxa"/>
            <w:vAlign w:val="bottom"/>
          </w:tcPr>
          <w:p>
            <w:pPr>
              <w:ind w:left="80"/>
              <w:spacing w:after="0"/>
              <w:rPr>
                <w:sz w:val="20"/>
                <w:szCs w:val="20"/>
                <w:color w:val="auto"/>
              </w:rPr>
            </w:pPr>
            <w:r>
              <w:rPr>
                <w:rFonts w:ascii="Arial" w:cs="Arial" w:eastAsia="Arial" w:hAnsi="Arial"/>
                <w:sz w:val="16"/>
                <w:szCs w:val="16"/>
                <w:color w:val="auto"/>
              </w:rPr>
              <w:t>x</w:t>
            </w:r>
          </w:p>
        </w:tc>
      </w:tr>
      <w:tr>
        <w:trPr>
          <w:trHeight w:val="33"/>
        </w:trPr>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140" w:type="dxa"/>
            <w:vAlign w:val="bottom"/>
            <w:shd w:val="clear" w:color="auto" w:fill="CCEEFF"/>
          </w:tcPr>
          <w:p>
            <w:pPr>
              <w:spacing w:after="0"/>
              <w:rPr>
                <w:sz w:val="20"/>
                <w:szCs w:val="20"/>
                <w:color w:val="auto"/>
              </w:rPr>
            </w:pPr>
          </w:p>
        </w:tc>
        <w:tc>
          <w:tcPr>
            <w:tcW w:w="7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Ratio of adjusted EBITDA to combined fixed charges and preferred share dividends (11)</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400" w:type="dxa"/>
            <w:vAlign w:val="bottom"/>
            <w:shd w:val="clear" w:color="auto" w:fill="CCEEFF"/>
          </w:tcPr>
          <w:p>
            <w:pPr>
              <w:ind w:left="60"/>
              <w:spacing w:after="0"/>
              <w:rPr>
                <w:sz w:val="20"/>
                <w:szCs w:val="20"/>
                <w:color w:val="auto"/>
              </w:rPr>
            </w:pPr>
            <w:r>
              <w:rPr>
                <w:rFonts w:ascii="Arial" w:cs="Arial" w:eastAsia="Arial" w:hAnsi="Arial"/>
                <w:sz w:val="16"/>
                <w:szCs w:val="16"/>
                <w:color w:val="auto"/>
              </w:rPr>
              <w:t>x</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x</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400" w:type="dxa"/>
            <w:vAlign w:val="bottom"/>
            <w:shd w:val="clear" w:color="auto" w:fill="CCEEFF"/>
          </w:tcPr>
          <w:p>
            <w:pPr>
              <w:ind w:left="60"/>
              <w:spacing w:after="0"/>
              <w:rPr>
                <w:sz w:val="20"/>
                <w:szCs w:val="20"/>
                <w:color w:val="auto"/>
              </w:rPr>
            </w:pPr>
            <w:r>
              <w:rPr>
                <w:rFonts w:ascii="Arial" w:cs="Arial" w:eastAsia="Arial" w:hAnsi="Arial"/>
                <w:sz w:val="16"/>
                <w:szCs w:val="16"/>
                <w:color w:val="auto"/>
              </w:rPr>
              <w:t>x</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3.38</w:t>
            </w:r>
          </w:p>
        </w:tc>
        <w:tc>
          <w:tcPr>
            <w:tcW w:w="240" w:type="dxa"/>
            <w:vAlign w:val="bottom"/>
            <w:shd w:val="clear" w:color="auto" w:fill="CCEEFF"/>
          </w:tcPr>
          <w:p>
            <w:pPr>
              <w:ind w:left="80"/>
              <w:spacing w:after="0"/>
              <w:rPr>
                <w:sz w:val="20"/>
                <w:szCs w:val="20"/>
                <w:color w:val="auto"/>
              </w:rPr>
            </w:pPr>
            <w:r>
              <w:rPr>
                <w:rFonts w:ascii="Arial" w:cs="Arial" w:eastAsia="Arial" w:hAnsi="Arial"/>
                <w:sz w:val="16"/>
                <w:szCs w:val="16"/>
                <w:color w:val="auto"/>
              </w:rPr>
              <w:t>x</w:t>
            </w:r>
          </w:p>
        </w:tc>
      </w:tr>
      <w:tr>
        <w:trPr>
          <w:trHeight w:val="33"/>
        </w:trPr>
        <w:tc>
          <w:tcPr>
            <w:tcW w:w="1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7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Mortgages payable do not include our 30% share ($17.2 million) of the $57.2 million debt of the partnership with a discretionary fund created and advised by ING Clarion Partners.</w:t>
      </w:r>
    </w:p>
    <w:p>
      <w:pPr>
        <w:spacing w:after="0" w:line="66" w:lineRule="exact"/>
        <w:rPr>
          <w:rFonts w:ascii="Arial" w:cs="Arial" w:eastAsia="Arial" w:hAnsi="Arial"/>
          <w:sz w:val="13"/>
          <w:szCs w:val="13"/>
          <w:color w:val="auto"/>
        </w:rPr>
      </w:pPr>
    </w:p>
    <w:p>
      <w:pPr>
        <w:ind w:left="660" w:right="120" w:hanging="652"/>
        <w:spacing w:after="0" w:line="27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interest rate of 6.04% represents the weighted average interest rate for two mortgage loans secured by this property. The loan balance represents an interest only loan of $4.4 million at a stated rate of 6.18% and the remaining balance at a stated rate of 5.96%.</w:t>
      </w:r>
    </w:p>
    <w:p>
      <w:pPr>
        <w:spacing w:after="0" w:line="11" w:lineRule="exact"/>
        <w:rPr>
          <w:rFonts w:ascii="Arial" w:cs="Arial" w:eastAsia="Arial" w:hAnsi="Arial"/>
          <w:sz w:val="14"/>
          <w:szCs w:val="14"/>
          <w:color w:val="auto"/>
        </w:rPr>
      </w:pPr>
    </w:p>
    <w:p>
      <w:pPr>
        <w:ind w:left="660" w:right="280" w:hanging="652"/>
        <w:spacing w:after="0" w:line="257"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23" w:lineRule="exact"/>
        <w:rPr>
          <w:rFonts w:ascii="Arial" w:cs="Arial" w:eastAsia="Arial" w:hAnsi="Arial"/>
          <w:sz w:val="14"/>
          <w:szCs w:val="14"/>
          <w:color w:val="auto"/>
        </w:rPr>
      </w:pP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repaid the loan at par on October 22, 2012.</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interest rate of 5.41% represents the weighted average interest rate for ten unsecured fixed rate notes payable. These notes mature from November 1, 2012 to June 27, 2027.</w:t>
      </w:r>
    </w:p>
    <w:p>
      <w:pPr>
        <w:spacing w:after="0" w:line="66" w:lineRule="exact"/>
        <w:rPr>
          <w:rFonts w:ascii="Arial" w:cs="Arial" w:eastAsia="Arial" w:hAnsi="Arial"/>
          <w:sz w:val="13"/>
          <w:szCs w:val="13"/>
          <w:color w:val="auto"/>
        </w:rPr>
      </w:pPr>
    </w:p>
    <w:p>
      <w:pPr>
        <w:ind w:left="660" w:right="80" w:hanging="652"/>
        <w:spacing w:after="0" w:line="27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entered into two interest rate swap agreements to fix the variable rate portion of our $275.0 million term loan at 1.72% from December 1, 2011 through November 1, 2018. The swap agreements effectively fix the rate on the term loan at 3.17% and thus, the loan is included in fixed rate debt.</w:t>
      </w:r>
    </w:p>
    <w:p>
      <w:pPr>
        <w:spacing w:after="0" w:line="11" w:lineRule="exact"/>
        <w:rPr>
          <w:rFonts w:ascii="Arial" w:cs="Arial" w:eastAsia="Arial" w:hAnsi="Arial"/>
          <w:sz w:val="14"/>
          <w:szCs w:val="14"/>
          <w:color w:val="auto"/>
        </w:rPr>
      </w:pPr>
    </w:p>
    <w:p>
      <w:pPr>
        <w:ind w:left="660" w:right="180" w:hanging="652"/>
        <w:spacing w:after="0" w:line="27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maximum amount drawn under our revolving credit facility during the three and nine months ended September 30, 2012 was $186.0 million, and the weighted average interest rate on borrowings under our revolving credit facility, before amortization of debt fees, was 1.42%.</w:t>
      </w:r>
    </w:p>
    <w:p>
      <w:pPr>
        <w:spacing w:after="0" w:line="11" w:lineRule="exact"/>
        <w:rPr>
          <w:rFonts w:ascii="Arial" w:cs="Arial" w:eastAsia="Arial" w:hAnsi="Arial"/>
          <w:sz w:val="14"/>
          <w:szCs w:val="14"/>
          <w:color w:val="auto"/>
        </w:rPr>
      </w:pPr>
    </w:p>
    <w:p>
      <w:pPr>
        <w:ind w:left="660" w:right="360" w:hanging="652"/>
        <w:spacing w:after="0" w:line="27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deferred financing fees, discounts and premiums, if applicable, except as described in Note 10.</w:t>
      </w:r>
    </w:p>
    <w:p>
      <w:pPr>
        <w:spacing w:after="0" w:line="55" w:lineRule="exact"/>
        <w:rPr>
          <w:rFonts w:ascii="Arial" w:cs="Arial" w:eastAsia="Arial" w:hAnsi="Arial"/>
          <w:sz w:val="14"/>
          <w:szCs w:val="14"/>
          <w:color w:val="auto"/>
        </w:rPr>
      </w:pPr>
    </w:p>
    <w:p>
      <w:pPr>
        <w:ind w:left="660" w:right="40" w:hanging="652"/>
        <w:spacing w:after="0" w:line="257"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quarterly debt fee amortization on our revolving credit facility which had no outstanding balance on September 30, 2012. In addition, the weighted average effective interest rate is calculated using the fixed rate on our term loan of 3.17% as the result of the interest rate swap agreements discussed in Note 6. The term loan is included in fixed rate debt.</w:t>
      </w:r>
    </w:p>
    <w:p>
      <w:pPr>
        <w:spacing w:after="0" w:line="23" w:lineRule="exact"/>
        <w:rPr>
          <w:rFonts w:ascii="Arial" w:cs="Arial" w:eastAsia="Arial" w:hAnsi="Arial"/>
          <w:sz w:val="14"/>
          <w:szCs w:val="14"/>
          <w:color w:val="auto"/>
        </w:rPr>
      </w:pPr>
    </w:p>
    <w:p>
      <w:pPr>
        <w:ind w:left="660" w:hanging="652"/>
        <w:spacing w:after="0" w:line="252"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(including capitalized interest), amortization of debt discount/premium and debt costs and the portion of rent expense representing an interest factor. Fixed charges for the nine months ended September 30, 2011 include $0.3 million of income from early extinguishment of debt due to the write-off of the unamortized debt premium net of a 3% prepayment premium and unamortized debt fees related to the payoff of our mortgage loan on Tower Shops prior to its contractual prepayment date. Adjusted EBITDA is reconciled to net income in the Glossary of Terms.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64" w:right="239" w:bottom="1440" w:gutter="0" w:footer="0" w:header="0"/>
          <w:type w:val="continuous"/>
        </w:sectPr>
      </w:pPr>
    </w:p>
    <w:bookmarkStart w:id="17" w:name="page18"/>
    <w:bookmarkEnd w:id="1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2012</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6"/>
              </w:rPr>
              <w:t>Scheduled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Amortization</w:t>
            </w:r>
          </w:p>
        </w:tc>
        <w:tc>
          <w:tcPr>
            <w:tcW w:w="2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6"/>
                <w:szCs w:val="16"/>
                <w:b w:val="1"/>
                <w:bCs w:val="1"/>
                <w:color w:val="auto"/>
              </w:rPr>
              <w:t>Maturities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2012</w:t>
            </w:r>
          </w:p>
        </w:tc>
        <w:tc>
          <w:tcPr>
            <w:tcW w:w="14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2,906</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20,218</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23,124</w:t>
            </w: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2013</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11,780</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186,884</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198,664</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10.2%</w:t>
            </w: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2014</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10,263</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297,864</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308,127</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40" w:type="dxa"/>
            <w:vAlign w:val="bottom"/>
          </w:tcPr>
          <w:p>
            <w:pPr>
              <w:ind w:left="40"/>
              <w:spacing w:after="0"/>
              <w:rPr>
                <w:sz w:val="20"/>
                <w:szCs w:val="20"/>
                <w:color w:val="auto"/>
              </w:rPr>
            </w:pPr>
            <w:r>
              <w:rPr>
                <w:rFonts w:ascii="Arial" w:cs="Arial" w:eastAsia="Arial" w:hAnsi="Arial"/>
                <w:sz w:val="18"/>
                <w:szCs w:val="18"/>
                <w:color w:val="auto"/>
                <w:w w:val="94"/>
              </w:rPr>
              <w:t>2015</w:t>
            </w: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6,864</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198,391</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205,255</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33.8%</w:t>
            </w: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2016</w:t>
            </w:r>
          </w:p>
        </w:tc>
        <w:tc>
          <w:tcPr>
            <w:tcW w:w="1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2,872</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134,400</w:t>
            </w:r>
          </w:p>
        </w:tc>
        <w:tc>
          <w:tcPr>
            <w:tcW w:w="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137,272</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2017</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3,044</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375,000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378,044</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57.5%</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2018</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3,215</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275,000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278,215</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70.3%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2019</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3,050</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20,160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23,210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71.4%</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2020</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3,041</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153,041</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78.4%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2021</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2,950</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3,625</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6,575</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78.7%</w:t>
            </w: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22,948</w:t>
            </w:r>
          </w:p>
        </w:tc>
        <w:tc>
          <w:tcPr>
            <w:tcW w:w="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437,829</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460,777</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8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72,933</w:t>
            </w:r>
          </w:p>
        </w:tc>
        <w:tc>
          <w:tcPr>
            <w:tcW w:w="3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2,099,371</w:t>
            </w:r>
          </w:p>
        </w:tc>
        <w:tc>
          <w:tcPr>
            <w:tcW w:w="3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2,172,304</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14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right="400" w:hanging="652"/>
        <w:spacing w:after="0" w:line="300" w:lineRule="auto"/>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Includes the repayment of the outstanding mortgage payable balance on Mount Vernon. The lender had the option to call the loan on April 15, 2013 or any time thereafter, however, we could prepay the loan at any time after October 14, 2012 at par. We repaid the loan on October 22, 2012.</w:t>
      </w:r>
    </w:p>
    <w:p>
      <w:pPr>
        <w:ind w:left="660" w:right="20" w:hanging="652"/>
        <w:spacing w:after="0" w:line="27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$400.0 million unsecured revolving credit facility matures on July 6, 2015, subject to a one-year extension at our option. As of September 30, 2012, there was $0 drawn under this credit facility.</w:t>
      </w:r>
    </w:p>
    <w:p>
      <w:pPr>
        <w:spacing w:after="0" w:line="10" w:lineRule="exact"/>
        <w:rPr>
          <w:rFonts w:ascii="Arial" w:cs="Arial" w:eastAsia="Arial" w:hAnsi="Arial"/>
          <w:sz w:val="16"/>
          <w:szCs w:val="16"/>
          <w:color w:val="auto"/>
        </w:rPr>
      </w:pPr>
    </w:p>
    <w:p>
      <w:pPr>
        <w:ind w:left="660" w:right="80" w:hanging="652"/>
        <w:spacing w:after="0" w:line="27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discount or premium on certain mortgage loans, senior notes and debentures as of September 30, 2012.</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weighted average rate excludes $0.5 million in quarterly financing fees and quarterly debt fee amortization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2" w:right="239" w:bottom="1440" w:gutter="0" w:footer="0" w:header="0"/>
        </w:sectPr>
      </w:pPr>
    </w:p>
    <w:bookmarkStart w:id="18" w:name="page19"/>
    <w:bookmarkEnd w:id="1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Development and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2012</w:t>
      </w:r>
    </w:p>
    <w:p>
      <w:pPr>
        <w:spacing w:after="0" w:line="248" w:lineRule="exact"/>
        <w:rPr>
          <w:sz w:val="20"/>
          <w:szCs w:val="20"/>
          <w:color w:val="auto"/>
        </w:rPr>
      </w:pPr>
    </w:p>
    <w:p>
      <w:pPr>
        <w:ind w:left="40" w:right="1120"/>
        <w:spacing w:after="0" w:line="293" w:lineRule="auto"/>
        <w:rPr>
          <w:sz w:val="20"/>
          <w:szCs w:val="20"/>
          <w:color w:val="auto"/>
        </w:rPr>
      </w:pPr>
      <w:r>
        <w:rPr>
          <w:rFonts w:ascii="Arial" w:cs="Arial" w:eastAsia="Arial" w:hAnsi="Arial"/>
          <w:sz w:val="16"/>
          <w:szCs w:val="16"/>
          <w:b w:val="1"/>
          <w:bCs w:val="1"/>
          <w:color w:val="auto"/>
        </w:rPr>
        <w:t>The following development and redevelopment opportunities have received or will shortly receive all necessary approvals to proceed and are actively being worked on by the Trust (1) ($ millions)</w:t>
      </w:r>
    </w:p>
    <w:tbl>
      <w:tblPr>
        <w:tblLayout w:type="fixed"/>
        <w:tblInd w:w="0" w:type="dxa"/>
        <w:tblCellMar>
          <w:top w:w="0" w:type="dxa"/>
          <w:left w:w="0" w:type="dxa"/>
          <w:bottom w:w="0" w:type="dxa"/>
          <w:right w:w="0" w:type="dxa"/>
        </w:tblCellMar>
      </w:tblPr>
      <w:tr>
        <w:trPr>
          <w:trHeight w:val="150"/>
        </w:trPr>
        <w:tc>
          <w:tcPr>
            <w:tcW w:w="1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Projected</w:t>
            </w: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Projected</w:t>
            </w: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Cost to</w:t>
            </w:r>
          </w:p>
        </w:tc>
        <w:tc>
          <w:tcPr>
            <w:tcW w:w="10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15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Property</w:t>
            </w:r>
          </w:p>
        </w:tc>
        <w:tc>
          <w:tcPr>
            <w:tcW w:w="12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Location</w:t>
            </w:r>
          </w:p>
        </w:tc>
        <w:tc>
          <w:tcPr>
            <w:tcW w:w="338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Opportunity</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Redevelopment/Development</w:t>
            </w:r>
          </w:p>
        </w:tc>
        <w:tc>
          <w:tcPr>
            <w:tcW w:w="8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Stabilization</w:t>
            </w:r>
          </w:p>
        </w:tc>
        <w:tc>
          <w:tcPr>
            <w:tcW w:w="0" w:type="dxa"/>
            <w:vAlign w:val="bottom"/>
          </w:tcPr>
          <w:p>
            <w:pPr>
              <w:spacing w:after="0"/>
              <w:rPr>
                <w:sz w:val="1"/>
                <w:szCs w:val="1"/>
                <w:color w:val="auto"/>
              </w:rPr>
            </w:pPr>
          </w:p>
        </w:tc>
      </w:tr>
      <w:tr>
        <w:trPr>
          <w:trHeight w:val="192"/>
        </w:trPr>
        <w:tc>
          <w:tcPr>
            <w:tcW w:w="158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338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ROI (2)</w:t>
            </w: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Cost (1)</w:t>
            </w: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Date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0" w:type="dxa"/>
            <w:vAlign w:val="bottom"/>
          </w:tcPr>
          <w:p>
            <w:pPr>
              <w:spacing w:after="0"/>
              <w:rPr>
                <w:sz w:val="1"/>
                <w:szCs w:val="1"/>
                <w:color w:val="auto"/>
              </w:rPr>
            </w:pPr>
          </w:p>
        </w:tc>
      </w:tr>
      <w:tr>
        <w:trPr>
          <w:trHeight w:val="264"/>
        </w:trPr>
        <w:tc>
          <w:tcPr>
            <w:tcW w:w="6240" w:type="dxa"/>
            <w:vAlign w:val="bottom"/>
            <w:gridSpan w:val="3"/>
          </w:tcPr>
          <w:p>
            <w:pPr>
              <w:ind w:left="40"/>
              <w:spacing w:after="0"/>
              <w:rPr>
                <w:sz w:val="20"/>
                <w:szCs w:val="20"/>
                <w:color w:val="auto"/>
              </w:rPr>
            </w:pPr>
            <w:r>
              <w:rPr>
                <w:rFonts w:ascii="Arial" w:cs="Arial" w:eastAsia="Arial" w:hAnsi="Arial"/>
                <w:sz w:val="14"/>
                <w:szCs w:val="14"/>
                <w:b w:val="1"/>
                <w:bCs w:val="1"/>
                <w:color w:val="auto"/>
              </w:rPr>
              <w:t>Active projects which are expected to stabilize in 2012 and beyond</w:t>
            </w:r>
          </w:p>
        </w:tc>
        <w:tc>
          <w:tcPr>
            <w:tcW w:w="1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Westgate Mall</w:t>
            </w:r>
          </w:p>
        </w:tc>
        <w:tc>
          <w:tcPr>
            <w:tcW w:w="1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San Jose, CA</w:t>
            </w:r>
          </w:p>
        </w:tc>
        <w:tc>
          <w:tcPr>
            <w:tcW w:w="3380" w:type="dxa"/>
            <w:vAlign w:val="bottom"/>
            <w:shd w:val="clear" w:color="auto" w:fill="CCEEFF"/>
          </w:tcPr>
          <w:p>
            <w:pPr>
              <w:ind w:left="60"/>
              <w:spacing w:after="0"/>
              <w:rPr>
                <w:sz w:val="20"/>
                <w:szCs w:val="20"/>
                <w:color w:val="auto"/>
              </w:rPr>
            </w:pPr>
            <w:r>
              <w:rPr>
                <w:rFonts w:ascii="Arial" w:cs="Arial" w:eastAsia="Arial" w:hAnsi="Arial"/>
                <w:sz w:val="14"/>
                <w:szCs w:val="14"/>
                <w:color w:val="auto"/>
              </w:rPr>
              <w:t>Façade and interior mall renovation, addition of food</w:t>
            </w: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R</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2014/2015</w:t>
            </w: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38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court and pad site</w:t>
            </w:r>
          </w:p>
        </w:tc>
        <w:tc>
          <w:tcPr>
            <w:tcW w:w="18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80" w:type="dxa"/>
            <w:vAlign w:val="bottom"/>
          </w:tcPr>
          <w:p>
            <w:pPr>
              <w:ind w:left="40"/>
              <w:spacing w:after="0" w:line="157" w:lineRule="exact"/>
              <w:rPr>
                <w:sz w:val="20"/>
                <w:szCs w:val="20"/>
                <w:color w:val="auto"/>
              </w:rPr>
            </w:pPr>
            <w:r>
              <w:rPr>
                <w:rFonts w:ascii="Arial" w:cs="Arial" w:eastAsia="Arial" w:hAnsi="Arial"/>
                <w:sz w:val="14"/>
                <w:szCs w:val="14"/>
                <w:color w:val="auto"/>
              </w:rPr>
              <w:t>Chelsea Commons</w:t>
            </w:r>
          </w:p>
        </w:tc>
        <w:tc>
          <w:tcPr>
            <w:tcW w:w="1280" w:type="dxa"/>
            <w:vAlign w:val="bottom"/>
          </w:tcPr>
          <w:p>
            <w:pPr>
              <w:ind w:left="120"/>
              <w:spacing w:after="0" w:line="157" w:lineRule="exact"/>
              <w:rPr>
                <w:sz w:val="20"/>
                <w:szCs w:val="20"/>
                <w:color w:val="auto"/>
              </w:rPr>
            </w:pPr>
            <w:r>
              <w:rPr>
                <w:rFonts w:ascii="Arial" w:cs="Arial" w:eastAsia="Arial" w:hAnsi="Arial"/>
                <w:sz w:val="14"/>
                <w:szCs w:val="14"/>
                <w:color w:val="auto"/>
              </w:rPr>
              <w:t>Chelsea, MA</w:t>
            </w:r>
          </w:p>
        </w:tc>
        <w:tc>
          <w:tcPr>
            <w:tcW w:w="3380" w:type="dxa"/>
            <w:vAlign w:val="bottom"/>
          </w:tcPr>
          <w:p>
            <w:pPr>
              <w:ind w:left="60"/>
              <w:spacing w:after="0" w:line="157" w:lineRule="exact"/>
              <w:rPr>
                <w:sz w:val="20"/>
                <w:szCs w:val="20"/>
                <w:color w:val="auto"/>
              </w:rPr>
            </w:pPr>
            <w:r>
              <w:rPr>
                <w:rFonts w:ascii="Arial" w:cs="Arial" w:eastAsia="Arial" w:hAnsi="Arial"/>
                <w:sz w:val="14"/>
                <w:szCs w:val="14"/>
                <w:color w:val="auto"/>
                <w:w w:val="96"/>
              </w:rPr>
              <w:t>Ground up development of a 56 unit apartment building</w:t>
            </w:r>
          </w:p>
        </w:tc>
        <w:tc>
          <w:tcPr>
            <w:tcW w:w="1860" w:type="dxa"/>
            <w:vAlign w:val="bottom"/>
          </w:tcPr>
          <w:p>
            <w:pPr>
              <w:jc w:val="center"/>
              <w:spacing w:after="0" w:line="157" w:lineRule="exact"/>
              <w:rPr>
                <w:sz w:val="20"/>
                <w:szCs w:val="20"/>
                <w:color w:val="auto"/>
              </w:rPr>
            </w:pPr>
            <w:r>
              <w:rPr>
                <w:rFonts w:ascii="Arial" w:cs="Arial" w:eastAsia="Arial" w:hAnsi="Arial"/>
                <w:sz w:val="14"/>
                <w:szCs w:val="14"/>
                <w:color w:val="auto"/>
                <w:w w:val="98"/>
              </w:rPr>
              <w:t>D</w:t>
            </w:r>
          </w:p>
        </w:tc>
        <w:tc>
          <w:tcPr>
            <w:tcW w:w="860" w:type="dxa"/>
            <w:vAlign w:val="bottom"/>
          </w:tcPr>
          <w:p>
            <w:pPr>
              <w:jc w:val="right"/>
              <w:ind w:right="8"/>
              <w:spacing w:after="0" w:line="157" w:lineRule="exact"/>
              <w:rPr>
                <w:sz w:val="20"/>
                <w:szCs w:val="20"/>
                <w:color w:val="auto"/>
              </w:rPr>
            </w:pPr>
            <w:r>
              <w:rPr>
                <w:rFonts w:ascii="Arial" w:cs="Arial" w:eastAsia="Arial" w:hAnsi="Arial"/>
                <w:sz w:val="14"/>
                <w:szCs w:val="14"/>
                <w:color w:val="auto"/>
              </w:rPr>
              <w:t>8%</w:t>
            </w: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$12</w:t>
            </w:r>
          </w:p>
        </w:tc>
        <w:tc>
          <w:tcPr>
            <w:tcW w:w="6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$0</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88"/>
        </w:trPr>
        <w:tc>
          <w:tcPr>
            <w:tcW w:w="1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380" w:type="dxa"/>
            <w:vAlign w:val="bottom"/>
          </w:tcPr>
          <w:p>
            <w:pPr>
              <w:ind w:left="60"/>
              <w:spacing w:after="0"/>
              <w:rPr>
                <w:sz w:val="20"/>
                <w:szCs w:val="20"/>
                <w:color w:val="auto"/>
              </w:rPr>
            </w:pPr>
            <w:r>
              <w:rPr>
                <w:rFonts w:ascii="Arial" w:cs="Arial" w:eastAsia="Arial" w:hAnsi="Arial"/>
                <w:sz w:val="14"/>
                <w:szCs w:val="14"/>
                <w:color w:val="auto"/>
              </w:rPr>
              <w:t>with above grade parking</w:t>
            </w:r>
          </w:p>
        </w:tc>
        <w:tc>
          <w:tcPr>
            <w:tcW w:w="1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Shops at Willow Lawn</w:t>
            </w:r>
          </w:p>
        </w:tc>
        <w:tc>
          <w:tcPr>
            <w:tcW w:w="1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Richmond, VA</w:t>
            </w:r>
          </w:p>
        </w:tc>
        <w:tc>
          <w:tcPr>
            <w:tcW w:w="3380" w:type="dxa"/>
            <w:vAlign w:val="bottom"/>
            <w:shd w:val="clear" w:color="auto" w:fill="CCEEFF"/>
          </w:tcPr>
          <w:p>
            <w:pPr>
              <w:ind w:left="60"/>
              <w:spacing w:after="0"/>
              <w:rPr>
                <w:sz w:val="20"/>
                <w:szCs w:val="20"/>
                <w:color w:val="auto"/>
              </w:rPr>
            </w:pPr>
            <w:r>
              <w:rPr>
                <w:rFonts w:ascii="Arial" w:cs="Arial" w:eastAsia="Arial" w:hAnsi="Arial"/>
                <w:sz w:val="14"/>
                <w:szCs w:val="14"/>
                <w:color w:val="auto"/>
                <w:w w:val="95"/>
              </w:rPr>
              <w:t>Demo interior mall, relocate mall tenants, construct new</w:t>
            </w: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R</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3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exterior GLA, and gas station</w:t>
            </w:r>
          </w:p>
        </w:tc>
        <w:tc>
          <w:tcPr>
            <w:tcW w:w="18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80" w:type="dxa"/>
            <w:vAlign w:val="bottom"/>
          </w:tcPr>
          <w:p>
            <w:pPr>
              <w:ind w:left="40"/>
              <w:spacing w:after="0"/>
              <w:rPr>
                <w:sz w:val="20"/>
                <w:szCs w:val="20"/>
                <w:color w:val="auto"/>
              </w:rPr>
            </w:pPr>
            <w:r>
              <w:rPr>
                <w:rFonts w:ascii="Arial" w:cs="Arial" w:eastAsia="Arial" w:hAnsi="Arial"/>
                <w:sz w:val="14"/>
                <w:szCs w:val="14"/>
                <w:color w:val="auto"/>
              </w:rPr>
              <w:t>Bala Cynwyd</w:t>
            </w:r>
          </w:p>
        </w:tc>
        <w:tc>
          <w:tcPr>
            <w:tcW w:w="1280" w:type="dxa"/>
            <w:vAlign w:val="bottom"/>
          </w:tcPr>
          <w:p>
            <w:pPr>
              <w:ind w:left="120"/>
              <w:spacing w:after="0"/>
              <w:rPr>
                <w:sz w:val="20"/>
                <w:szCs w:val="20"/>
                <w:color w:val="auto"/>
              </w:rPr>
            </w:pPr>
            <w:r>
              <w:rPr>
                <w:rFonts w:ascii="Arial" w:cs="Arial" w:eastAsia="Arial" w:hAnsi="Arial"/>
                <w:sz w:val="14"/>
                <w:szCs w:val="14"/>
                <w:color w:val="auto"/>
              </w:rPr>
              <w:t>Bala Cynwyd, PA</w:t>
            </w:r>
          </w:p>
        </w:tc>
        <w:tc>
          <w:tcPr>
            <w:tcW w:w="3380" w:type="dxa"/>
            <w:vAlign w:val="bottom"/>
          </w:tcPr>
          <w:p>
            <w:pPr>
              <w:ind w:left="60"/>
              <w:spacing w:after="0"/>
              <w:rPr>
                <w:sz w:val="20"/>
                <w:szCs w:val="20"/>
                <w:color w:val="auto"/>
              </w:rPr>
            </w:pPr>
            <w:r>
              <w:rPr>
                <w:rFonts w:ascii="Arial" w:cs="Arial" w:eastAsia="Arial" w:hAnsi="Arial"/>
                <w:sz w:val="14"/>
                <w:szCs w:val="14"/>
                <w:color w:val="auto"/>
              </w:rPr>
              <w:t>Construction of two retail pad buildings</w:t>
            </w:r>
          </w:p>
        </w:tc>
        <w:tc>
          <w:tcPr>
            <w:tcW w:w="1860" w:type="dxa"/>
            <w:vAlign w:val="bottom"/>
          </w:tcPr>
          <w:p>
            <w:pPr>
              <w:jc w:val="center"/>
              <w:spacing w:after="0"/>
              <w:rPr>
                <w:sz w:val="20"/>
                <w:szCs w:val="20"/>
                <w:color w:val="auto"/>
              </w:rPr>
            </w:pPr>
            <w:r>
              <w:rPr>
                <w:rFonts w:ascii="Arial" w:cs="Arial" w:eastAsia="Arial" w:hAnsi="Arial"/>
                <w:sz w:val="14"/>
                <w:szCs w:val="14"/>
                <w:color w:val="auto"/>
                <w:w w:val="98"/>
              </w:rPr>
              <w:t>D</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0" w:type="dxa"/>
            <w:vAlign w:val="bottom"/>
          </w:tcPr>
          <w:p>
            <w:pPr>
              <w:jc w:val="right"/>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3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Shoppers' World</w:t>
            </w:r>
          </w:p>
        </w:tc>
        <w:tc>
          <w:tcPr>
            <w:tcW w:w="128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w w:val="99"/>
              </w:rPr>
              <w:t>Charlottesville, VA</w:t>
            </w:r>
          </w:p>
        </w:tc>
        <w:tc>
          <w:tcPr>
            <w:tcW w:w="3380" w:type="dxa"/>
            <w:vAlign w:val="bottom"/>
            <w:shd w:val="clear" w:color="auto" w:fill="CCEEFF"/>
          </w:tcPr>
          <w:p>
            <w:pPr>
              <w:ind w:left="60"/>
              <w:spacing w:after="0" w:line="157" w:lineRule="exact"/>
              <w:rPr>
                <w:sz w:val="20"/>
                <w:szCs w:val="20"/>
                <w:color w:val="auto"/>
              </w:rPr>
            </w:pPr>
            <w:r>
              <w:rPr>
                <w:rFonts w:ascii="Arial" w:cs="Arial" w:eastAsia="Arial" w:hAnsi="Arial"/>
                <w:sz w:val="14"/>
                <w:szCs w:val="14"/>
                <w:color w:val="auto"/>
              </w:rPr>
              <w:t>Renovate canopy and reconfigure anchor spaces to</w:t>
            </w:r>
          </w:p>
        </w:tc>
        <w:tc>
          <w:tcPr>
            <w:tcW w:w="18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8"/>
              </w:rPr>
              <w:t>R</w:t>
            </w:r>
          </w:p>
        </w:tc>
        <w:tc>
          <w:tcPr>
            <w:tcW w:w="8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10%</w:t>
            </w:r>
          </w:p>
        </w:tc>
        <w:tc>
          <w:tcPr>
            <w:tcW w:w="8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$6</w:t>
            </w:r>
          </w:p>
        </w:tc>
        <w:tc>
          <w:tcPr>
            <w:tcW w:w="64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$2</w:t>
            </w:r>
          </w:p>
        </w:tc>
        <w:tc>
          <w:tcPr>
            <w:tcW w:w="10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380" w:type="dxa"/>
            <w:vAlign w:val="bottom"/>
            <w:shd w:val="clear" w:color="auto" w:fill="CCEEFF"/>
          </w:tcPr>
          <w:p>
            <w:pPr>
              <w:ind w:left="60"/>
              <w:spacing w:after="0"/>
              <w:rPr>
                <w:sz w:val="20"/>
                <w:szCs w:val="20"/>
                <w:color w:val="auto"/>
              </w:rPr>
            </w:pPr>
            <w:r>
              <w:rPr>
                <w:rFonts w:ascii="Arial" w:cs="Arial" w:eastAsia="Arial" w:hAnsi="Arial"/>
                <w:sz w:val="14"/>
                <w:szCs w:val="14"/>
                <w:color w:val="auto"/>
              </w:rPr>
              <w:t>accommodate new tenants</w:t>
            </w:r>
          </w:p>
        </w:tc>
        <w:tc>
          <w:tcPr>
            <w:tcW w:w="18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80" w:type="dxa"/>
            <w:vAlign w:val="bottom"/>
          </w:tcPr>
          <w:p>
            <w:pPr>
              <w:ind w:left="40"/>
              <w:spacing w:after="0" w:line="157" w:lineRule="exact"/>
              <w:rPr>
                <w:sz w:val="20"/>
                <w:szCs w:val="20"/>
                <w:color w:val="auto"/>
              </w:rPr>
            </w:pPr>
            <w:r>
              <w:rPr>
                <w:rFonts w:ascii="Arial" w:cs="Arial" w:eastAsia="Arial" w:hAnsi="Arial"/>
                <w:sz w:val="14"/>
                <w:szCs w:val="14"/>
                <w:color w:val="auto"/>
              </w:rPr>
              <w:t>Fresh Meadows</w:t>
            </w:r>
          </w:p>
        </w:tc>
        <w:tc>
          <w:tcPr>
            <w:tcW w:w="1280" w:type="dxa"/>
            <w:vAlign w:val="bottom"/>
          </w:tcPr>
          <w:p>
            <w:pPr>
              <w:ind w:left="120"/>
              <w:spacing w:after="0" w:line="157" w:lineRule="exact"/>
              <w:rPr>
                <w:sz w:val="20"/>
                <w:szCs w:val="20"/>
                <w:color w:val="auto"/>
              </w:rPr>
            </w:pPr>
            <w:r>
              <w:rPr>
                <w:rFonts w:ascii="Arial" w:cs="Arial" w:eastAsia="Arial" w:hAnsi="Arial"/>
                <w:sz w:val="14"/>
                <w:szCs w:val="14"/>
                <w:color w:val="auto"/>
              </w:rPr>
              <w:t>Queens, NY</w:t>
            </w:r>
          </w:p>
        </w:tc>
        <w:tc>
          <w:tcPr>
            <w:tcW w:w="3380" w:type="dxa"/>
            <w:vAlign w:val="bottom"/>
          </w:tcPr>
          <w:p>
            <w:pPr>
              <w:ind w:left="60"/>
              <w:spacing w:after="0" w:line="157" w:lineRule="exact"/>
              <w:rPr>
                <w:sz w:val="20"/>
                <w:szCs w:val="20"/>
                <w:color w:val="auto"/>
              </w:rPr>
            </w:pPr>
            <w:r>
              <w:rPr>
                <w:rFonts w:ascii="Arial" w:cs="Arial" w:eastAsia="Arial" w:hAnsi="Arial"/>
                <w:sz w:val="14"/>
                <w:szCs w:val="14"/>
                <w:color w:val="auto"/>
              </w:rPr>
              <w:t>Conversion of 2nd floor office space for new sporting</w:t>
            </w:r>
          </w:p>
        </w:tc>
        <w:tc>
          <w:tcPr>
            <w:tcW w:w="1860" w:type="dxa"/>
            <w:vAlign w:val="bottom"/>
          </w:tcPr>
          <w:p>
            <w:pPr>
              <w:jc w:val="center"/>
              <w:spacing w:after="0" w:line="157" w:lineRule="exact"/>
              <w:rPr>
                <w:sz w:val="20"/>
                <w:szCs w:val="20"/>
                <w:color w:val="auto"/>
              </w:rPr>
            </w:pPr>
            <w:r>
              <w:rPr>
                <w:rFonts w:ascii="Arial" w:cs="Arial" w:eastAsia="Arial" w:hAnsi="Arial"/>
                <w:sz w:val="14"/>
                <w:szCs w:val="14"/>
                <w:color w:val="auto"/>
                <w:w w:val="98"/>
              </w:rPr>
              <w:t>R</w:t>
            </w:r>
          </w:p>
        </w:tc>
        <w:tc>
          <w:tcPr>
            <w:tcW w:w="860" w:type="dxa"/>
            <w:vAlign w:val="bottom"/>
          </w:tcPr>
          <w:p>
            <w:pPr>
              <w:jc w:val="right"/>
              <w:ind w:right="8"/>
              <w:spacing w:after="0" w:line="157" w:lineRule="exact"/>
              <w:rPr>
                <w:sz w:val="20"/>
                <w:szCs w:val="20"/>
                <w:color w:val="auto"/>
              </w:rPr>
            </w:pPr>
            <w:r>
              <w:rPr>
                <w:rFonts w:ascii="Arial" w:cs="Arial" w:eastAsia="Arial" w:hAnsi="Arial"/>
                <w:sz w:val="14"/>
                <w:szCs w:val="14"/>
                <w:color w:val="auto"/>
              </w:rPr>
              <w:t>9%</w:t>
            </w: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$4</w:t>
            </w:r>
          </w:p>
        </w:tc>
        <w:tc>
          <w:tcPr>
            <w:tcW w:w="6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$4</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88"/>
        </w:trPr>
        <w:tc>
          <w:tcPr>
            <w:tcW w:w="1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380" w:type="dxa"/>
            <w:vAlign w:val="bottom"/>
          </w:tcPr>
          <w:p>
            <w:pPr>
              <w:ind w:left="60"/>
              <w:spacing w:after="0"/>
              <w:rPr>
                <w:sz w:val="20"/>
                <w:szCs w:val="20"/>
                <w:color w:val="auto"/>
              </w:rPr>
            </w:pPr>
            <w:r>
              <w:rPr>
                <w:rFonts w:ascii="Arial" w:cs="Arial" w:eastAsia="Arial" w:hAnsi="Arial"/>
                <w:sz w:val="14"/>
                <w:szCs w:val="14"/>
                <w:color w:val="auto"/>
              </w:rPr>
              <w:t>goods retailer.</w:t>
            </w:r>
          </w:p>
        </w:tc>
        <w:tc>
          <w:tcPr>
            <w:tcW w:w="1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5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Barracks Road</w:t>
            </w:r>
          </w:p>
        </w:tc>
        <w:tc>
          <w:tcPr>
            <w:tcW w:w="128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99"/>
              </w:rPr>
              <w:t>Charlottesville, VA</w:t>
            </w:r>
          </w:p>
        </w:tc>
        <w:tc>
          <w:tcPr>
            <w:tcW w:w="338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11,800 sf. multi-tenant pad building</w:t>
            </w:r>
          </w:p>
        </w:tc>
        <w:tc>
          <w:tcPr>
            <w:tcW w:w="1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D</w:t>
            </w: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80"/>
        </w:trPr>
        <w:tc>
          <w:tcPr>
            <w:tcW w:w="158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3380" w:type="dxa"/>
            <w:vAlign w:val="bottom"/>
            <w:vMerge w:val="continue"/>
            <w:shd w:val="clear" w:color="auto" w:fill="CCEEFF"/>
          </w:tcPr>
          <w:p>
            <w:pPr>
              <w:spacing w:after="0"/>
              <w:rPr>
                <w:sz w:val="6"/>
                <w:szCs w:val="6"/>
                <w:color w:val="auto"/>
              </w:rPr>
            </w:pPr>
          </w:p>
        </w:tc>
        <w:tc>
          <w:tcPr>
            <w:tcW w:w="186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Mixed Use Projects</w:t>
            </w:r>
          </w:p>
        </w:tc>
        <w:tc>
          <w:tcPr>
            <w:tcW w:w="1280" w:type="dxa"/>
            <w:vAlign w:val="bottom"/>
            <w:shd w:val="clear" w:color="auto" w:fill="CCEEFF"/>
          </w:tcPr>
          <w:p>
            <w:pPr>
              <w:spacing w:after="0"/>
              <w:rPr>
                <w:sz w:val="23"/>
                <w:szCs w:val="23"/>
                <w:color w:val="auto"/>
              </w:rPr>
            </w:pPr>
          </w:p>
        </w:tc>
        <w:tc>
          <w:tcPr>
            <w:tcW w:w="338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8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Pike &amp; Rose (Mid-Pike) (5) Rockville, MD</w:t>
            </w:r>
          </w:p>
        </w:tc>
        <w:tc>
          <w:tcPr>
            <w:tcW w:w="3380" w:type="dxa"/>
            <w:vAlign w:val="bottom"/>
          </w:tcPr>
          <w:p>
            <w:pPr>
              <w:ind w:left="60"/>
              <w:spacing w:after="0" w:line="157" w:lineRule="exact"/>
              <w:rPr>
                <w:sz w:val="20"/>
                <w:szCs w:val="20"/>
                <w:color w:val="auto"/>
              </w:rPr>
            </w:pPr>
            <w:r>
              <w:rPr>
                <w:rFonts w:ascii="Arial" w:cs="Arial" w:eastAsia="Arial" w:hAnsi="Arial"/>
                <w:sz w:val="14"/>
                <w:szCs w:val="14"/>
                <w:color w:val="auto"/>
              </w:rPr>
              <w:t>Ground up mixed use development on site of existing</w:t>
            </w:r>
          </w:p>
        </w:tc>
        <w:tc>
          <w:tcPr>
            <w:tcW w:w="1860" w:type="dxa"/>
            <w:vAlign w:val="bottom"/>
          </w:tcPr>
          <w:p>
            <w:pPr>
              <w:jc w:val="center"/>
              <w:spacing w:after="0" w:line="157" w:lineRule="exact"/>
              <w:rPr>
                <w:sz w:val="20"/>
                <w:szCs w:val="20"/>
                <w:color w:val="auto"/>
              </w:rPr>
            </w:pPr>
            <w:r>
              <w:rPr>
                <w:rFonts w:ascii="Arial" w:cs="Arial" w:eastAsia="Arial" w:hAnsi="Arial"/>
                <w:sz w:val="14"/>
                <w:szCs w:val="14"/>
                <w:color w:val="auto"/>
                <w:w w:val="98"/>
              </w:rPr>
              <w:t>D</w:t>
            </w:r>
          </w:p>
        </w:tc>
        <w:tc>
          <w:tcPr>
            <w:tcW w:w="86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8% - 9%</w:t>
            </w: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$245 -</w:t>
            </w:r>
          </w:p>
        </w:tc>
        <w:tc>
          <w:tcPr>
            <w:tcW w:w="6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$18</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2015/2016</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380" w:type="dxa"/>
            <w:vAlign w:val="bottom"/>
          </w:tcPr>
          <w:p>
            <w:pPr>
              <w:ind w:left="60"/>
              <w:spacing w:after="0" w:line="149" w:lineRule="exact"/>
              <w:rPr>
                <w:sz w:val="20"/>
                <w:szCs w:val="20"/>
                <w:color w:val="auto"/>
              </w:rPr>
            </w:pPr>
            <w:r>
              <w:rPr>
                <w:rFonts w:ascii="Arial" w:cs="Arial" w:eastAsia="Arial" w:hAnsi="Arial"/>
                <w:sz w:val="14"/>
                <w:szCs w:val="14"/>
                <w:color w:val="auto"/>
              </w:rPr>
              <w:t>Mid-Pike Shopping Center. Phase I of development</w:t>
            </w:r>
          </w:p>
        </w:tc>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$255</w:t>
            </w: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380" w:type="dxa"/>
            <w:vAlign w:val="bottom"/>
          </w:tcPr>
          <w:p>
            <w:pPr>
              <w:ind w:left="60"/>
              <w:spacing w:after="0" w:line="149" w:lineRule="exact"/>
              <w:rPr>
                <w:sz w:val="20"/>
                <w:szCs w:val="20"/>
                <w:color w:val="auto"/>
              </w:rPr>
            </w:pPr>
            <w:r>
              <w:rPr>
                <w:rFonts w:ascii="Arial" w:cs="Arial" w:eastAsia="Arial" w:hAnsi="Arial"/>
                <w:sz w:val="14"/>
                <w:szCs w:val="14"/>
                <w:color w:val="auto"/>
              </w:rPr>
              <w:t>involves demolition of roughly 25% of existing GLA,</w:t>
            </w:r>
          </w:p>
        </w:tc>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380" w:type="dxa"/>
            <w:vAlign w:val="bottom"/>
          </w:tcPr>
          <w:p>
            <w:pPr>
              <w:ind w:left="60"/>
              <w:spacing w:after="0" w:line="149" w:lineRule="exact"/>
              <w:rPr>
                <w:sz w:val="20"/>
                <w:szCs w:val="20"/>
                <w:color w:val="auto"/>
              </w:rPr>
            </w:pPr>
            <w:r>
              <w:rPr>
                <w:rFonts w:ascii="Arial" w:cs="Arial" w:eastAsia="Arial" w:hAnsi="Arial"/>
                <w:sz w:val="14"/>
                <w:szCs w:val="14"/>
                <w:color w:val="auto"/>
                <w:w w:val="93"/>
              </w:rPr>
              <w:t>and construction of 493 residential units, 151,000 square</w:t>
            </w:r>
          </w:p>
        </w:tc>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380" w:type="dxa"/>
            <w:vAlign w:val="bottom"/>
          </w:tcPr>
          <w:p>
            <w:pPr>
              <w:ind w:left="60"/>
              <w:spacing w:after="0"/>
              <w:rPr>
                <w:sz w:val="20"/>
                <w:szCs w:val="20"/>
                <w:color w:val="auto"/>
              </w:rPr>
            </w:pPr>
            <w:r>
              <w:rPr>
                <w:rFonts w:ascii="Arial" w:cs="Arial" w:eastAsia="Arial" w:hAnsi="Arial"/>
                <w:sz w:val="14"/>
                <w:szCs w:val="14"/>
                <w:color w:val="auto"/>
              </w:rPr>
              <w:t>feet of retail, and 79,000 square feet of office space.</w:t>
            </w:r>
          </w:p>
        </w:tc>
        <w:tc>
          <w:tcPr>
            <w:tcW w:w="1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Assembly Row - Phase I</w:t>
            </w:r>
          </w:p>
        </w:tc>
        <w:tc>
          <w:tcPr>
            <w:tcW w:w="1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Somerville, MA</w:t>
            </w:r>
          </w:p>
        </w:tc>
        <w:tc>
          <w:tcPr>
            <w:tcW w:w="3380" w:type="dxa"/>
            <w:vAlign w:val="bottom"/>
            <w:shd w:val="clear" w:color="auto" w:fill="CCEEFF"/>
          </w:tcPr>
          <w:p>
            <w:pPr>
              <w:ind w:left="60"/>
              <w:spacing w:after="0"/>
              <w:rPr>
                <w:sz w:val="20"/>
                <w:szCs w:val="20"/>
                <w:color w:val="auto"/>
              </w:rPr>
            </w:pPr>
            <w:r>
              <w:rPr>
                <w:rFonts w:ascii="Arial" w:cs="Arial" w:eastAsia="Arial" w:hAnsi="Arial"/>
                <w:sz w:val="14"/>
                <w:szCs w:val="14"/>
                <w:color w:val="auto"/>
                <w:w w:val="92"/>
              </w:rPr>
              <w:t>Ground up mixed use development. Initial phase consists</w:t>
            </w: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D</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 - 7%</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$145 -</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(5)</w:t>
            </w:r>
          </w:p>
        </w:tc>
        <w:tc>
          <w:tcPr>
            <w:tcW w:w="1280" w:type="dxa"/>
            <w:vAlign w:val="bottom"/>
            <w:shd w:val="clear" w:color="auto" w:fill="CCEEFF"/>
          </w:tcPr>
          <w:p>
            <w:pPr>
              <w:spacing w:after="0"/>
              <w:rPr>
                <w:sz w:val="12"/>
                <w:szCs w:val="12"/>
                <w:color w:val="auto"/>
              </w:rPr>
            </w:pPr>
          </w:p>
        </w:tc>
        <w:tc>
          <w:tcPr>
            <w:tcW w:w="33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of 575 residential units (by AvalonBay) and 323,000</w:t>
            </w:r>
          </w:p>
        </w:tc>
        <w:tc>
          <w:tcPr>
            <w:tcW w:w="1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$160</w:t>
            </w: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3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3"/>
              </w:rPr>
              <w:t>square feet of retail space (including restaurant pad site).</w:t>
            </w:r>
          </w:p>
        </w:tc>
        <w:tc>
          <w:tcPr>
            <w:tcW w:w="1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3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9"/>
              </w:rPr>
              <w:t>A new Orange Line T-Stop will also be constructed by</w:t>
            </w:r>
          </w:p>
        </w:tc>
        <w:tc>
          <w:tcPr>
            <w:tcW w:w="1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380" w:type="dxa"/>
            <w:vAlign w:val="bottom"/>
            <w:shd w:val="clear" w:color="auto" w:fill="CCEEFF"/>
          </w:tcPr>
          <w:p>
            <w:pPr>
              <w:ind w:left="60"/>
              <w:spacing w:after="0"/>
              <w:rPr>
                <w:sz w:val="20"/>
                <w:szCs w:val="20"/>
                <w:color w:val="auto"/>
              </w:rPr>
            </w:pPr>
            <w:r>
              <w:rPr>
                <w:rFonts w:ascii="Arial" w:cs="Arial" w:eastAsia="Arial" w:hAnsi="Arial"/>
                <w:sz w:val="14"/>
                <w:szCs w:val="14"/>
                <w:color w:val="auto"/>
                <w:w w:val="94"/>
              </w:rPr>
              <w:t>Massachusetts Bay Transit Authority, as part of Phase I.</w:t>
            </w:r>
          </w:p>
        </w:tc>
        <w:tc>
          <w:tcPr>
            <w:tcW w:w="18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80" w:type="dxa"/>
            <w:vAlign w:val="bottom"/>
          </w:tcPr>
          <w:p>
            <w:pPr>
              <w:ind w:left="40"/>
              <w:spacing w:after="0" w:line="157" w:lineRule="exact"/>
              <w:rPr>
                <w:sz w:val="20"/>
                <w:szCs w:val="20"/>
                <w:color w:val="auto"/>
              </w:rPr>
            </w:pPr>
            <w:r>
              <w:rPr>
                <w:rFonts w:ascii="Arial" w:cs="Arial" w:eastAsia="Arial" w:hAnsi="Arial"/>
                <w:sz w:val="14"/>
                <w:szCs w:val="14"/>
                <w:color w:val="auto"/>
              </w:rPr>
              <w:t>Santana Row - Lot 8B</w:t>
            </w:r>
          </w:p>
        </w:tc>
        <w:tc>
          <w:tcPr>
            <w:tcW w:w="1280" w:type="dxa"/>
            <w:vAlign w:val="bottom"/>
          </w:tcPr>
          <w:p>
            <w:pPr>
              <w:ind w:left="120"/>
              <w:spacing w:after="0" w:line="157" w:lineRule="exact"/>
              <w:rPr>
                <w:sz w:val="20"/>
                <w:szCs w:val="20"/>
                <w:color w:val="auto"/>
              </w:rPr>
            </w:pPr>
            <w:r>
              <w:rPr>
                <w:rFonts w:ascii="Arial" w:cs="Arial" w:eastAsia="Arial" w:hAnsi="Arial"/>
                <w:sz w:val="14"/>
                <w:szCs w:val="14"/>
                <w:color w:val="auto"/>
              </w:rPr>
              <w:t>San Jose, CA</w:t>
            </w:r>
          </w:p>
        </w:tc>
        <w:tc>
          <w:tcPr>
            <w:tcW w:w="3380" w:type="dxa"/>
            <w:vAlign w:val="bottom"/>
          </w:tcPr>
          <w:p>
            <w:pPr>
              <w:ind w:left="60"/>
              <w:spacing w:after="0" w:line="157" w:lineRule="exact"/>
              <w:rPr>
                <w:sz w:val="20"/>
                <w:szCs w:val="20"/>
                <w:color w:val="auto"/>
              </w:rPr>
            </w:pPr>
            <w:r>
              <w:rPr>
                <w:rFonts w:ascii="Arial" w:cs="Arial" w:eastAsia="Arial" w:hAnsi="Arial"/>
                <w:sz w:val="14"/>
                <w:szCs w:val="14"/>
                <w:color w:val="auto"/>
              </w:rPr>
              <w:t>Ground up development of a 5-story rental apartment</w:t>
            </w:r>
          </w:p>
        </w:tc>
        <w:tc>
          <w:tcPr>
            <w:tcW w:w="1860" w:type="dxa"/>
            <w:vAlign w:val="bottom"/>
          </w:tcPr>
          <w:p>
            <w:pPr>
              <w:jc w:val="center"/>
              <w:spacing w:after="0" w:line="157" w:lineRule="exact"/>
              <w:rPr>
                <w:sz w:val="20"/>
                <w:szCs w:val="20"/>
                <w:color w:val="auto"/>
              </w:rPr>
            </w:pPr>
            <w:r>
              <w:rPr>
                <w:rFonts w:ascii="Arial" w:cs="Arial" w:eastAsia="Arial" w:hAnsi="Arial"/>
                <w:sz w:val="14"/>
                <w:szCs w:val="14"/>
                <w:color w:val="auto"/>
                <w:w w:val="98"/>
              </w:rPr>
              <w:t>D</w:t>
            </w:r>
          </w:p>
        </w:tc>
        <w:tc>
          <w:tcPr>
            <w:tcW w:w="86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7% - 8%</w:t>
            </w: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$70 - $75</w:t>
            </w:r>
          </w:p>
        </w:tc>
        <w:tc>
          <w:tcPr>
            <w:tcW w:w="6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$13</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380" w:type="dxa"/>
            <w:vAlign w:val="bottom"/>
          </w:tcPr>
          <w:p>
            <w:pPr>
              <w:ind w:left="60"/>
              <w:spacing w:after="0" w:line="149" w:lineRule="exact"/>
              <w:rPr>
                <w:sz w:val="20"/>
                <w:szCs w:val="20"/>
                <w:color w:val="auto"/>
              </w:rPr>
            </w:pPr>
            <w:r>
              <w:rPr>
                <w:rFonts w:ascii="Arial" w:cs="Arial" w:eastAsia="Arial" w:hAnsi="Arial"/>
                <w:sz w:val="14"/>
                <w:szCs w:val="14"/>
                <w:color w:val="auto"/>
              </w:rPr>
              <w:t>building, which will include 212 residential units and</w:t>
            </w:r>
          </w:p>
        </w:tc>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380" w:type="dxa"/>
            <w:vAlign w:val="bottom"/>
          </w:tcPr>
          <w:p>
            <w:pPr>
              <w:ind w:left="60"/>
              <w:spacing w:after="0"/>
              <w:rPr>
                <w:sz w:val="20"/>
                <w:szCs w:val="20"/>
                <w:color w:val="auto"/>
              </w:rPr>
            </w:pPr>
            <w:r>
              <w:rPr>
                <w:rFonts w:ascii="Arial" w:cs="Arial" w:eastAsia="Arial" w:hAnsi="Arial"/>
                <w:sz w:val="14"/>
                <w:szCs w:val="14"/>
                <w:color w:val="auto"/>
              </w:rPr>
              <w:t>associated parking.</w:t>
            </w:r>
          </w:p>
        </w:tc>
        <w:tc>
          <w:tcPr>
            <w:tcW w:w="1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Santana Row - Lot 6B</w:t>
            </w:r>
          </w:p>
        </w:tc>
        <w:tc>
          <w:tcPr>
            <w:tcW w:w="1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San Jose, CA</w:t>
            </w:r>
          </w:p>
        </w:tc>
        <w:tc>
          <w:tcPr>
            <w:tcW w:w="3380" w:type="dxa"/>
            <w:vAlign w:val="bottom"/>
            <w:shd w:val="clear" w:color="auto" w:fill="CCEEFF"/>
          </w:tcPr>
          <w:p>
            <w:pPr>
              <w:ind w:left="60"/>
              <w:spacing w:after="0"/>
              <w:rPr>
                <w:sz w:val="20"/>
                <w:szCs w:val="20"/>
                <w:color w:val="auto"/>
              </w:rPr>
            </w:pPr>
            <w:r>
              <w:rPr>
                <w:rFonts w:ascii="Arial" w:cs="Arial" w:eastAsia="Arial" w:hAnsi="Arial"/>
                <w:sz w:val="14"/>
                <w:szCs w:val="14"/>
                <w:color w:val="auto"/>
              </w:rPr>
              <w:t>108 unit residential building</w:t>
            </w: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D</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80"/>
        </w:trPr>
        <w:tc>
          <w:tcPr>
            <w:tcW w:w="15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338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86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jc w:val="right"/>
              <w:ind w:right="48"/>
              <w:spacing w:after="0" w:line="147" w:lineRule="exact"/>
              <w:rPr>
                <w:sz w:val="20"/>
                <w:szCs w:val="20"/>
                <w:color w:val="auto"/>
              </w:rPr>
            </w:pPr>
            <w:r>
              <w:rPr>
                <w:rFonts w:ascii="Arial" w:cs="Arial" w:eastAsia="Arial" w:hAnsi="Arial"/>
                <w:sz w:val="14"/>
                <w:szCs w:val="14"/>
                <w:b w:val="1"/>
                <w:bCs w:val="1"/>
                <w:color w:val="auto"/>
              </w:rPr>
              <w:t>$557 -</w:t>
            </w: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24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 Mixed Use Projects Anticipated to Stabilize in 2012 and beyond (4)</w:t>
            </w:r>
          </w:p>
        </w:tc>
        <w:tc>
          <w:tcPr>
            <w:tcW w:w="1860" w:type="dxa"/>
            <w:vAlign w:val="bottom"/>
          </w:tcPr>
          <w:p>
            <w:pPr>
              <w:spacing w:after="0"/>
              <w:rPr>
                <w:sz w:val="17"/>
                <w:szCs w:val="17"/>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7% - 8%</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$587</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$121</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right="60" w:hanging="652"/>
        <w:spacing w:after="0" w:line="260" w:lineRule="auto"/>
        <w:tabs>
          <w:tab w:leader="none" w:pos="6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development projects reflects the deal specific cash, unleveraged Property Operating Income (POI) generated by the development and is calculated as POI divided by cost. Projected ROI for development and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Stabilization is the year in which 95% occupancy of the redeveloped space is achieved.</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costs include an allocation of infrastructure costs for future phases.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76" w:right="239" w:bottom="1440" w:gutter="0" w:footer="0" w:header="0"/>
        </w:sectPr>
      </w:pPr>
    </w:p>
    <w:bookmarkStart w:id="19" w:name="page20"/>
    <w:bookmarkEnd w:id="19"/>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2012</w:t>
      </w:r>
    </w:p>
    <w:p>
      <w:pPr>
        <w:spacing w:after="0" w:line="374" w:lineRule="exact"/>
        <w:rPr>
          <w:sz w:val="20"/>
          <w:szCs w:val="20"/>
          <w:color w:val="auto"/>
        </w:rPr>
      </w:pPr>
    </w:p>
    <w:p>
      <w:pPr>
        <w:ind w:left="4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20" w:lineRule="exact"/>
        <w:rPr>
          <w:sz w:val="20"/>
          <w:szCs w:val="20"/>
          <w:color w:val="auto"/>
        </w:rPr>
      </w:pPr>
    </w:p>
    <w:p>
      <w:pPr>
        <w:ind w:left="4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THE AVENUE @ White</w:t>
            </w:r>
          </w:p>
        </w:tc>
        <w:tc>
          <w:tcPr>
            <w:tcW w:w="18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r>
      <w:tr>
        <w:trPr>
          <w:trHeight w:val="223"/>
        </w:trPr>
        <w:tc>
          <w:tcPr>
            <w:tcW w:w="25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Marsh</w:t>
            </w:r>
          </w:p>
        </w:tc>
        <w:tc>
          <w:tcPr>
            <w:tcW w:w="1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Baltimore, MD</w:t>
            </w:r>
          </w:p>
        </w:tc>
        <w:tc>
          <w:tcPr>
            <w:tcW w:w="20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Federal Plaza</w:t>
            </w:r>
          </w:p>
        </w:tc>
        <w:tc>
          <w:tcPr>
            <w:tcW w:w="5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Rockville, MD</w:t>
            </w:r>
          </w:p>
        </w:tc>
      </w:tr>
      <w:tr>
        <w:trPr>
          <w:trHeight w:val="237"/>
        </w:trPr>
        <w:tc>
          <w:tcPr>
            <w:tcW w:w="2500" w:type="dxa"/>
            <w:vAlign w:val="bottom"/>
          </w:tcPr>
          <w:p>
            <w:pPr>
              <w:ind w:left="620"/>
              <w:spacing w:after="0"/>
              <w:rPr>
                <w:sz w:val="20"/>
                <w:szCs w:val="20"/>
                <w:color w:val="auto"/>
              </w:rPr>
            </w:pPr>
            <w:r>
              <w:rPr>
                <w:rFonts w:ascii="Arial" w:cs="Arial" w:eastAsia="Arial" w:hAnsi="Arial"/>
                <w:sz w:val="16"/>
                <w:szCs w:val="16"/>
                <w:b w:val="1"/>
                <w:bCs w:val="1"/>
                <w:color w:val="auto"/>
              </w:rPr>
              <w:t>Brick Plaza</w:t>
            </w:r>
          </w:p>
        </w:tc>
        <w:tc>
          <w:tcPr>
            <w:tcW w:w="1860" w:type="dxa"/>
            <w:vAlign w:val="bottom"/>
          </w:tcPr>
          <w:p>
            <w:pPr>
              <w:ind w:left="180"/>
              <w:spacing w:after="0"/>
              <w:rPr>
                <w:sz w:val="20"/>
                <w:szCs w:val="20"/>
                <w:color w:val="auto"/>
              </w:rPr>
            </w:pPr>
            <w:r>
              <w:rPr>
                <w:rFonts w:ascii="Arial" w:cs="Arial" w:eastAsia="Arial" w:hAnsi="Arial"/>
                <w:sz w:val="16"/>
                <w:szCs w:val="16"/>
                <w:color w:val="auto"/>
              </w:rPr>
              <w:t>Brick, NJ</w:t>
            </w:r>
          </w:p>
        </w:tc>
        <w:tc>
          <w:tcPr>
            <w:tcW w:w="2060" w:type="dxa"/>
            <w:vAlign w:val="bottom"/>
          </w:tcPr>
          <w:p>
            <w:pPr>
              <w:ind w:left="620"/>
              <w:spacing w:after="0"/>
              <w:rPr>
                <w:sz w:val="20"/>
                <w:szCs w:val="20"/>
                <w:color w:val="auto"/>
              </w:rPr>
            </w:pPr>
            <w:r>
              <w:rPr>
                <w:rFonts w:ascii="Arial" w:cs="Arial" w:eastAsia="Arial" w:hAnsi="Arial"/>
                <w:sz w:val="16"/>
                <w:szCs w:val="16"/>
                <w:b w:val="1"/>
                <w:bCs w:val="1"/>
                <w:color w:val="auto"/>
              </w:rPr>
              <w:t>Flourtown</w:t>
            </w:r>
          </w:p>
        </w:tc>
        <w:tc>
          <w:tcPr>
            <w:tcW w:w="5000" w:type="dxa"/>
            <w:vAlign w:val="bottom"/>
          </w:tcPr>
          <w:p>
            <w:pPr>
              <w:ind w:left="480"/>
              <w:spacing w:after="0"/>
              <w:rPr>
                <w:sz w:val="20"/>
                <w:szCs w:val="20"/>
                <w:color w:val="auto"/>
              </w:rPr>
            </w:pPr>
            <w:r>
              <w:rPr>
                <w:rFonts w:ascii="Arial" w:cs="Arial" w:eastAsia="Arial" w:hAnsi="Arial"/>
                <w:sz w:val="16"/>
                <w:szCs w:val="16"/>
                <w:color w:val="auto"/>
              </w:rPr>
              <w:t>Flourtown, PA</w:t>
            </w:r>
          </w:p>
        </w:tc>
      </w:tr>
      <w:tr>
        <w:trPr>
          <w:trHeight w:val="33"/>
        </w:trPr>
        <w:tc>
          <w:tcPr>
            <w:tcW w:w="25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Congressional Plaza</w:t>
            </w:r>
          </w:p>
        </w:tc>
        <w:tc>
          <w:tcPr>
            <w:tcW w:w="1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Rockville, MD</w:t>
            </w:r>
          </w:p>
        </w:tc>
        <w:tc>
          <w:tcPr>
            <w:tcW w:w="20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Melville Mall</w:t>
            </w:r>
          </w:p>
        </w:tc>
        <w:tc>
          <w:tcPr>
            <w:tcW w:w="5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Huntington, NY</w:t>
            </w:r>
          </w:p>
        </w:tc>
      </w:tr>
      <w:tr>
        <w:trPr>
          <w:trHeight w:val="237"/>
        </w:trPr>
        <w:tc>
          <w:tcPr>
            <w:tcW w:w="2500" w:type="dxa"/>
            <w:vAlign w:val="bottom"/>
          </w:tcPr>
          <w:p>
            <w:pPr>
              <w:ind w:left="620"/>
              <w:spacing w:after="0"/>
              <w:rPr>
                <w:sz w:val="20"/>
                <w:szCs w:val="20"/>
                <w:color w:val="auto"/>
              </w:rPr>
            </w:pPr>
            <w:r>
              <w:rPr>
                <w:rFonts w:ascii="Arial" w:cs="Arial" w:eastAsia="Arial" w:hAnsi="Arial"/>
                <w:sz w:val="16"/>
                <w:szCs w:val="16"/>
                <w:b w:val="1"/>
                <w:bCs w:val="1"/>
                <w:color w:val="auto"/>
              </w:rPr>
              <w:t>Dedham Plaza</w:t>
            </w:r>
          </w:p>
        </w:tc>
        <w:tc>
          <w:tcPr>
            <w:tcW w:w="1860" w:type="dxa"/>
            <w:vAlign w:val="bottom"/>
          </w:tcPr>
          <w:p>
            <w:pPr>
              <w:ind w:left="180"/>
              <w:spacing w:after="0"/>
              <w:rPr>
                <w:sz w:val="20"/>
                <w:szCs w:val="20"/>
                <w:color w:val="auto"/>
              </w:rPr>
            </w:pPr>
            <w:r>
              <w:rPr>
                <w:rFonts w:ascii="Arial" w:cs="Arial" w:eastAsia="Arial" w:hAnsi="Arial"/>
                <w:sz w:val="16"/>
                <w:szCs w:val="16"/>
                <w:color w:val="auto"/>
              </w:rPr>
              <w:t>Dedham, MA</w:t>
            </w:r>
          </w:p>
        </w:tc>
        <w:tc>
          <w:tcPr>
            <w:tcW w:w="2060" w:type="dxa"/>
            <w:vAlign w:val="bottom"/>
          </w:tcPr>
          <w:p>
            <w:pPr>
              <w:ind w:left="620"/>
              <w:spacing w:after="0"/>
              <w:rPr>
                <w:sz w:val="20"/>
                <w:szCs w:val="20"/>
                <w:color w:val="auto"/>
              </w:rPr>
            </w:pPr>
            <w:r>
              <w:rPr>
                <w:rFonts w:ascii="Arial" w:cs="Arial" w:eastAsia="Arial" w:hAnsi="Arial"/>
                <w:sz w:val="16"/>
                <w:szCs w:val="16"/>
                <w:b w:val="1"/>
                <w:bCs w:val="1"/>
                <w:color w:val="auto"/>
              </w:rPr>
              <w:t>Mercer Mall</w:t>
            </w:r>
          </w:p>
        </w:tc>
        <w:tc>
          <w:tcPr>
            <w:tcW w:w="5000" w:type="dxa"/>
            <w:vAlign w:val="bottom"/>
          </w:tcPr>
          <w:p>
            <w:pPr>
              <w:ind w:left="480"/>
              <w:spacing w:after="0"/>
              <w:rPr>
                <w:sz w:val="20"/>
                <w:szCs w:val="20"/>
                <w:color w:val="auto"/>
              </w:rPr>
            </w:pPr>
            <w:r>
              <w:rPr>
                <w:rFonts w:ascii="Arial" w:cs="Arial" w:eastAsia="Arial" w:hAnsi="Arial"/>
                <w:sz w:val="16"/>
                <w:szCs w:val="16"/>
                <w:color w:val="auto"/>
              </w:rPr>
              <w:t>Lawrenceville, NJ</w:t>
            </w:r>
          </w:p>
        </w:tc>
      </w:tr>
      <w:tr>
        <w:trPr>
          <w:trHeight w:val="33"/>
        </w:trPr>
        <w:tc>
          <w:tcPr>
            <w:tcW w:w="25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Eastgate</w:t>
            </w:r>
          </w:p>
        </w:tc>
        <w:tc>
          <w:tcPr>
            <w:tcW w:w="1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Chapel Hill, NC</w:t>
            </w:r>
          </w:p>
        </w:tc>
        <w:tc>
          <w:tcPr>
            <w:tcW w:w="20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Troy</w:t>
            </w:r>
          </w:p>
        </w:tc>
        <w:tc>
          <w:tcPr>
            <w:tcW w:w="5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Parsippany, NJ</w:t>
            </w:r>
          </w:p>
        </w:tc>
      </w:tr>
      <w:tr>
        <w:trPr>
          <w:trHeight w:val="237"/>
        </w:trPr>
        <w:tc>
          <w:tcPr>
            <w:tcW w:w="2500" w:type="dxa"/>
            <w:vAlign w:val="bottom"/>
          </w:tcPr>
          <w:p>
            <w:pPr>
              <w:ind w:left="620"/>
              <w:spacing w:after="0"/>
              <w:rPr>
                <w:sz w:val="20"/>
                <w:szCs w:val="20"/>
                <w:color w:val="auto"/>
              </w:rPr>
            </w:pPr>
            <w:r>
              <w:rPr>
                <w:rFonts w:ascii="Arial" w:cs="Arial" w:eastAsia="Arial" w:hAnsi="Arial"/>
                <w:sz w:val="16"/>
                <w:szCs w:val="16"/>
                <w:b w:val="1"/>
                <w:bCs w:val="1"/>
                <w:color w:val="auto"/>
              </w:rPr>
              <w:t>Escondido</w:t>
            </w:r>
          </w:p>
        </w:tc>
        <w:tc>
          <w:tcPr>
            <w:tcW w:w="1860" w:type="dxa"/>
            <w:vAlign w:val="bottom"/>
          </w:tcPr>
          <w:p>
            <w:pPr>
              <w:ind w:left="180"/>
              <w:spacing w:after="0"/>
              <w:rPr>
                <w:sz w:val="20"/>
                <w:szCs w:val="20"/>
                <w:color w:val="auto"/>
              </w:rPr>
            </w:pPr>
            <w:r>
              <w:rPr>
                <w:rFonts w:ascii="Arial" w:cs="Arial" w:eastAsia="Arial" w:hAnsi="Arial"/>
                <w:sz w:val="16"/>
                <w:szCs w:val="16"/>
                <w:color w:val="auto"/>
              </w:rPr>
              <w:t>Escondido, CA</w:t>
            </w:r>
          </w:p>
        </w:tc>
        <w:tc>
          <w:tcPr>
            <w:tcW w:w="2060" w:type="dxa"/>
            <w:vAlign w:val="bottom"/>
          </w:tcPr>
          <w:p>
            <w:pPr>
              <w:ind w:left="620"/>
              <w:spacing w:after="0"/>
              <w:rPr>
                <w:sz w:val="20"/>
                <w:szCs w:val="20"/>
                <w:color w:val="auto"/>
              </w:rPr>
            </w:pPr>
            <w:r>
              <w:rPr>
                <w:rFonts w:ascii="Arial" w:cs="Arial" w:eastAsia="Arial" w:hAnsi="Arial"/>
                <w:sz w:val="16"/>
                <w:szCs w:val="16"/>
                <w:b w:val="1"/>
                <w:bCs w:val="1"/>
                <w:color w:val="auto"/>
              </w:rPr>
              <w:t>Wildwood</w:t>
            </w:r>
          </w:p>
        </w:tc>
        <w:tc>
          <w:tcPr>
            <w:tcW w:w="5000" w:type="dxa"/>
            <w:vAlign w:val="bottom"/>
          </w:tcPr>
          <w:p>
            <w:pPr>
              <w:ind w:left="480"/>
              <w:spacing w:after="0"/>
              <w:rPr>
                <w:sz w:val="20"/>
                <w:szCs w:val="20"/>
                <w:color w:val="auto"/>
              </w:rPr>
            </w:pPr>
            <w:r>
              <w:rPr>
                <w:rFonts w:ascii="Arial" w:cs="Arial" w:eastAsia="Arial" w:hAnsi="Arial"/>
                <w:sz w:val="16"/>
                <w:szCs w:val="16"/>
                <w:color w:val="auto"/>
              </w:rPr>
              <w:t>Bethesda, MD</w:t>
            </w:r>
          </w:p>
        </w:tc>
      </w:tr>
      <w:tr>
        <w:trPr>
          <w:trHeight w:val="33"/>
        </w:trPr>
        <w:tc>
          <w:tcPr>
            <w:tcW w:w="25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97"/>
        </w:trPr>
        <w:tc>
          <w:tcPr>
            <w:tcW w:w="25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500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right="520"/>
        <w:spacing w:after="0" w:line="290"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additional retail GLA.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Fresh Meadows</w:t>
            </w:r>
          </w:p>
        </w:tc>
        <w:tc>
          <w:tcPr>
            <w:tcW w:w="2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Queens, NY</w:t>
            </w:r>
          </w:p>
        </w:tc>
        <w:tc>
          <w:tcPr>
            <w:tcW w:w="23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b w:val="1"/>
                <w:bCs w:val="1"/>
                <w:color w:val="auto"/>
                <w:w w:val="96"/>
              </w:rPr>
              <w:t>Plaza El Segundo (Land)</w:t>
            </w:r>
          </w:p>
        </w:tc>
        <w:tc>
          <w:tcPr>
            <w:tcW w:w="4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El Segundo, CA</w:t>
            </w:r>
          </w:p>
        </w:tc>
      </w:tr>
      <w:tr>
        <w:trPr>
          <w:trHeight w:val="237"/>
        </w:trPr>
        <w:tc>
          <w:tcPr>
            <w:tcW w:w="2300" w:type="dxa"/>
            <w:vAlign w:val="bottom"/>
          </w:tcPr>
          <w:p>
            <w:pPr>
              <w:ind w:left="620"/>
              <w:spacing w:after="0"/>
              <w:rPr>
                <w:sz w:val="20"/>
                <w:szCs w:val="20"/>
                <w:color w:val="auto"/>
              </w:rPr>
            </w:pPr>
            <w:r>
              <w:rPr>
                <w:rFonts w:ascii="Arial" w:cs="Arial" w:eastAsia="Arial" w:hAnsi="Arial"/>
                <w:sz w:val="16"/>
                <w:szCs w:val="16"/>
                <w:b w:val="1"/>
                <w:bCs w:val="1"/>
                <w:color w:val="auto"/>
              </w:rPr>
              <w:t>Hollywood Blvd</w:t>
            </w:r>
          </w:p>
        </w:tc>
        <w:tc>
          <w:tcPr>
            <w:tcW w:w="2120" w:type="dxa"/>
            <w:vAlign w:val="bottom"/>
          </w:tcPr>
          <w:p>
            <w:pPr>
              <w:ind w:left="380"/>
              <w:spacing w:after="0"/>
              <w:rPr>
                <w:sz w:val="20"/>
                <w:szCs w:val="20"/>
                <w:color w:val="auto"/>
              </w:rPr>
            </w:pPr>
            <w:r>
              <w:rPr>
                <w:rFonts w:ascii="Arial" w:cs="Arial" w:eastAsia="Arial" w:hAnsi="Arial"/>
                <w:sz w:val="16"/>
                <w:szCs w:val="16"/>
                <w:color w:val="auto"/>
              </w:rPr>
              <w:t>Hollywood, CA</w:t>
            </w:r>
          </w:p>
        </w:tc>
        <w:tc>
          <w:tcPr>
            <w:tcW w:w="2380" w:type="dxa"/>
            <w:vAlign w:val="bottom"/>
          </w:tcPr>
          <w:p>
            <w:pPr>
              <w:ind w:left="560"/>
              <w:spacing w:after="0"/>
              <w:rPr>
                <w:sz w:val="20"/>
                <w:szCs w:val="20"/>
                <w:color w:val="auto"/>
              </w:rPr>
            </w:pPr>
            <w:r>
              <w:rPr>
                <w:rFonts w:ascii="Arial" w:cs="Arial" w:eastAsia="Arial" w:hAnsi="Arial"/>
                <w:sz w:val="16"/>
                <w:szCs w:val="16"/>
                <w:b w:val="1"/>
                <w:bCs w:val="1"/>
                <w:color w:val="auto"/>
                <w:w w:val="99"/>
              </w:rPr>
              <w:t>Third Street Promenade</w:t>
            </w:r>
          </w:p>
        </w:tc>
        <w:tc>
          <w:tcPr>
            <w:tcW w:w="4620" w:type="dxa"/>
            <w:vAlign w:val="bottom"/>
          </w:tcPr>
          <w:p>
            <w:pPr>
              <w:ind w:left="100"/>
              <w:spacing w:after="0"/>
              <w:rPr>
                <w:sz w:val="20"/>
                <w:szCs w:val="20"/>
                <w:color w:val="auto"/>
              </w:rPr>
            </w:pPr>
            <w:r>
              <w:rPr>
                <w:rFonts w:ascii="Arial" w:cs="Arial" w:eastAsia="Arial" w:hAnsi="Arial"/>
                <w:sz w:val="16"/>
                <w:szCs w:val="16"/>
                <w:color w:val="auto"/>
              </w:rPr>
              <w:t>Santa Monica, CA</w:t>
            </w:r>
          </w:p>
        </w:tc>
      </w:tr>
      <w:tr>
        <w:trPr>
          <w:trHeight w:val="33"/>
        </w:trPr>
        <w:tc>
          <w:tcPr>
            <w:tcW w:w="2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62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Mercer Mall</w:t>
            </w:r>
          </w:p>
        </w:tc>
        <w:tc>
          <w:tcPr>
            <w:tcW w:w="2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Lawrenceville, NJ</w:t>
            </w:r>
          </w:p>
        </w:tc>
        <w:tc>
          <w:tcPr>
            <w:tcW w:w="23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b w:val="1"/>
                <w:bCs w:val="1"/>
                <w:color w:val="auto"/>
              </w:rPr>
              <w:t>Tower Shops</w:t>
            </w:r>
          </w:p>
        </w:tc>
        <w:tc>
          <w:tcPr>
            <w:tcW w:w="4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Davie, FL</w:t>
            </w:r>
          </w:p>
        </w:tc>
      </w:tr>
      <w:tr>
        <w:trPr>
          <w:trHeight w:val="237"/>
        </w:trPr>
        <w:tc>
          <w:tcPr>
            <w:tcW w:w="2300" w:type="dxa"/>
            <w:vAlign w:val="bottom"/>
          </w:tcPr>
          <w:p>
            <w:pPr>
              <w:ind w:left="620"/>
              <w:spacing w:after="0"/>
              <w:rPr>
                <w:sz w:val="20"/>
                <w:szCs w:val="20"/>
                <w:color w:val="auto"/>
              </w:rPr>
            </w:pPr>
            <w:r>
              <w:rPr>
                <w:rFonts w:ascii="Arial" w:cs="Arial" w:eastAsia="Arial" w:hAnsi="Arial"/>
                <w:sz w:val="16"/>
                <w:szCs w:val="16"/>
                <w:b w:val="1"/>
                <w:bCs w:val="1"/>
                <w:color w:val="auto"/>
              </w:rPr>
              <w:t>Montrose Crossing</w:t>
            </w:r>
          </w:p>
        </w:tc>
        <w:tc>
          <w:tcPr>
            <w:tcW w:w="2120" w:type="dxa"/>
            <w:vAlign w:val="bottom"/>
          </w:tcPr>
          <w:p>
            <w:pPr>
              <w:ind w:left="380"/>
              <w:spacing w:after="0"/>
              <w:rPr>
                <w:sz w:val="20"/>
                <w:szCs w:val="20"/>
                <w:color w:val="auto"/>
              </w:rPr>
            </w:pPr>
            <w:r>
              <w:rPr>
                <w:rFonts w:ascii="Arial" w:cs="Arial" w:eastAsia="Arial" w:hAnsi="Arial"/>
                <w:sz w:val="16"/>
                <w:szCs w:val="16"/>
                <w:color w:val="auto"/>
              </w:rPr>
              <w:t>Rockville, MD</w:t>
            </w:r>
          </w:p>
        </w:tc>
        <w:tc>
          <w:tcPr>
            <w:tcW w:w="2380" w:type="dxa"/>
            <w:vAlign w:val="bottom"/>
          </w:tcPr>
          <w:p>
            <w:pPr>
              <w:ind w:left="560"/>
              <w:spacing w:after="0"/>
              <w:rPr>
                <w:sz w:val="20"/>
                <w:szCs w:val="20"/>
                <w:color w:val="auto"/>
              </w:rPr>
            </w:pPr>
            <w:r>
              <w:rPr>
                <w:rFonts w:ascii="Arial" w:cs="Arial" w:eastAsia="Arial" w:hAnsi="Arial"/>
                <w:sz w:val="16"/>
                <w:szCs w:val="16"/>
                <w:b w:val="1"/>
                <w:bCs w:val="1"/>
                <w:color w:val="auto"/>
              </w:rPr>
              <w:t>Wildwood</w:t>
            </w:r>
          </w:p>
        </w:tc>
        <w:tc>
          <w:tcPr>
            <w:tcW w:w="4620" w:type="dxa"/>
            <w:vAlign w:val="bottom"/>
          </w:tcPr>
          <w:p>
            <w:pPr>
              <w:ind w:left="100"/>
              <w:spacing w:after="0"/>
              <w:rPr>
                <w:sz w:val="20"/>
                <w:szCs w:val="20"/>
                <w:color w:val="auto"/>
              </w:rPr>
            </w:pPr>
            <w:r>
              <w:rPr>
                <w:rFonts w:ascii="Arial" w:cs="Arial" w:eastAsia="Arial" w:hAnsi="Arial"/>
                <w:sz w:val="16"/>
                <w:szCs w:val="16"/>
                <w:color w:val="auto"/>
              </w:rPr>
              <w:t>Bethesda, MD</w:t>
            </w:r>
          </w:p>
        </w:tc>
      </w:tr>
      <w:tr>
        <w:trPr>
          <w:trHeight w:val="33"/>
        </w:trPr>
        <w:tc>
          <w:tcPr>
            <w:tcW w:w="2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620" w:type="dxa"/>
            <w:vAlign w:val="bottom"/>
          </w:tcPr>
          <w:p>
            <w:pPr>
              <w:spacing w:after="0"/>
              <w:rPr>
                <w:sz w:val="2"/>
                <w:szCs w:val="2"/>
                <w:color w:val="auto"/>
              </w:rPr>
            </w:pPr>
          </w:p>
        </w:tc>
      </w:tr>
      <w:tr>
        <w:trPr>
          <w:trHeight w:val="237"/>
        </w:trPr>
        <w:tc>
          <w:tcPr>
            <w:tcW w:w="230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Pentagon Row</w:t>
            </w:r>
          </w:p>
        </w:tc>
        <w:tc>
          <w:tcPr>
            <w:tcW w:w="2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Arlington, VA</w:t>
            </w:r>
          </w:p>
        </w:tc>
        <w:tc>
          <w:tcPr>
            <w:tcW w:w="2380" w:type="dxa"/>
            <w:vAlign w:val="bottom"/>
            <w:shd w:val="clear" w:color="auto" w:fill="CCEEFF"/>
          </w:tcPr>
          <w:p>
            <w:pPr>
              <w:spacing w:after="0"/>
              <w:rPr>
                <w:sz w:val="20"/>
                <w:szCs w:val="20"/>
                <w:color w:val="auto"/>
              </w:rPr>
            </w:pPr>
          </w:p>
        </w:tc>
        <w:tc>
          <w:tcPr>
            <w:tcW w:w="4620" w:type="dxa"/>
            <w:vAlign w:val="bottom"/>
            <w:shd w:val="clear" w:color="auto" w:fill="CCEEFF"/>
          </w:tcPr>
          <w:p>
            <w:pPr>
              <w:spacing w:after="0"/>
              <w:rPr>
                <w:sz w:val="20"/>
                <w:szCs w:val="20"/>
                <w:color w:val="auto"/>
              </w:rPr>
            </w:pPr>
          </w:p>
        </w:tc>
      </w:tr>
      <w:tr>
        <w:trPr>
          <w:trHeight w:val="33"/>
        </w:trPr>
        <w:tc>
          <w:tcPr>
            <w:tcW w:w="23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9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ind w:left="60"/>
              <w:spacing w:after="0"/>
              <w:rPr>
                <w:sz w:val="20"/>
                <w:szCs w:val="20"/>
                <w:color w:val="auto"/>
              </w:rPr>
            </w:pPr>
            <w:r>
              <w:rPr>
                <w:rFonts w:ascii="Arial" w:cs="Arial" w:eastAsia="Arial" w:hAnsi="Arial"/>
                <w:sz w:val="16"/>
                <w:szCs w:val="16"/>
                <w:b w:val="1"/>
                <w:bCs w:val="1"/>
                <w:color w:val="auto"/>
              </w:rPr>
              <w:t>Barracks Road</w:t>
            </w:r>
          </w:p>
        </w:tc>
        <w:tc>
          <w:tcPr>
            <w:tcW w:w="2100" w:type="dxa"/>
            <w:vAlign w:val="bottom"/>
          </w:tcPr>
          <w:p>
            <w:pPr>
              <w:ind w:left="320"/>
              <w:spacing w:after="0"/>
              <w:rPr>
                <w:sz w:val="20"/>
                <w:szCs w:val="20"/>
                <w:color w:val="auto"/>
              </w:rPr>
            </w:pPr>
            <w:r>
              <w:rPr>
                <w:rFonts w:ascii="Arial" w:cs="Arial" w:eastAsia="Arial" w:hAnsi="Arial"/>
                <w:sz w:val="16"/>
                <w:szCs w:val="16"/>
                <w:color w:val="auto"/>
              </w:rPr>
              <w:t>Charlottesville, VA</w:t>
            </w:r>
          </w:p>
        </w:tc>
        <w:tc>
          <w:tcPr>
            <w:tcW w:w="2300" w:type="dxa"/>
            <w:vAlign w:val="bottom"/>
          </w:tcPr>
          <w:p>
            <w:pPr>
              <w:ind w:left="520"/>
              <w:spacing w:after="0"/>
              <w:rPr>
                <w:sz w:val="20"/>
                <w:szCs w:val="20"/>
                <w:color w:val="auto"/>
              </w:rPr>
            </w:pPr>
            <w:r>
              <w:rPr>
                <w:rFonts w:ascii="Arial" w:cs="Arial" w:eastAsia="Arial" w:hAnsi="Arial"/>
                <w:sz w:val="16"/>
                <w:szCs w:val="16"/>
                <w:b w:val="1"/>
                <w:bCs w:val="1"/>
                <w:color w:val="auto"/>
              </w:rPr>
              <w:t>Village of Shirlington</w:t>
            </w:r>
          </w:p>
        </w:tc>
        <w:tc>
          <w:tcPr>
            <w:tcW w:w="4660" w:type="dxa"/>
            <w:vAlign w:val="bottom"/>
          </w:tcPr>
          <w:p>
            <w:pPr>
              <w:ind w:left="140"/>
              <w:spacing w:after="0"/>
              <w:rPr>
                <w:sz w:val="20"/>
                <w:szCs w:val="20"/>
                <w:color w:val="auto"/>
              </w:rPr>
            </w:pPr>
            <w:r>
              <w:rPr>
                <w:rFonts w:ascii="Arial" w:cs="Arial" w:eastAsia="Arial" w:hAnsi="Arial"/>
                <w:sz w:val="16"/>
                <w:szCs w:val="16"/>
                <w:color w:val="auto"/>
              </w:rPr>
              <w:t>Arlington, VA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Del Mar Village</w:t>
            </w:r>
          </w:p>
        </w:tc>
        <w:tc>
          <w:tcPr>
            <w:tcW w:w="2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Boca Raton, FL</w:t>
            </w:r>
          </w:p>
        </w:tc>
        <w:tc>
          <w:tcPr>
            <w:tcW w:w="230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shd w:val="clear" w:color="auto" w:fill="CCEEFF"/>
          </w:tcPr>
          <w:p>
            <w:pPr>
              <w:spacing w:after="0"/>
              <w:rPr>
                <w:sz w:val="21"/>
                <w:szCs w:val="21"/>
                <w:color w:val="auto"/>
              </w:rPr>
            </w:pPr>
          </w:p>
        </w:tc>
      </w:tr>
      <w:tr>
        <w:trPr>
          <w:trHeight w:val="297"/>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40" w:type="dxa"/>
            <w:vAlign w:val="bottom"/>
            <w:gridSpan w:val="3"/>
          </w:tcPr>
          <w:p>
            <w:pPr>
              <w:spacing w:after="0"/>
              <w:rPr>
                <w:sz w:val="24"/>
                <w:szCs w:val="24"/>
                <w:color w:val="auto"/>
              </w:rPr>
            </w:pPr>
          </w:p>
        </w:tc>
        <w:tc>
          <w:tcPr>
            <w:tcW w:w="230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37"/>
        </w:trPr>
        <w:tc>
          <w:tcPr>
            <w:tcW w:w="4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Longer Term Mixed-Use Opportunities</w:t>
            </w:r>
          </w:p>
        </w:tc>
        <w:tc>
          <w:tcPr>
            <w:tcW w:w="230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shd w:val="clear" w:color="auto" w:fill="CCEEFF"/>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ind w:left="60"/>
              <w:spacing w:after="0"/>
              <w:rPr>
                <w:sz w:val="20"/>
                <w:szCs w:val="20"/>
                <w:color w:val="auto"/>
              </w:rPr>
            </w:pPr>
            <w:r>
              <w:rPr>
                <w:rFonts w:ascii="Arial" w:cs="Arial" w:eastAsia="Arial" w:hAnsi="Arial"/>
                <w:sz w:val="16"/>
                <w:szCs w:val="16"/>
                <w:b w:val="1"/>
                <w:bCs w:val="1"/>
                <w:color w:val="auto"/>
              </w:rPr>
              <w:t>Assembly Row (1)</w:t>
            </w:r>
          </w:p>
        </w:tc>
        <w:tc>
          <w:tcPr>
            <w:tcW w:w="2100" w:type="dxa"/>
            <w:vAlign w:val="bottom"/>
          </w:tcPr>
          <w:p>
            <w:pPr>
              <w:ind w:left="320"/>
              <w:spacing w:after="0"/>
              <w:rPr>
                <w:sz w:val="20"/>
                <w:szCs w:val="20"/>
                <w:color w:val="auto"/>
              </w:rPr>
            </w:pPr>
            <w:r>
              <w:rPr>
                <w:rFonts w:ascii="Arial" w:cs="Arial" w:eastAsia="Arial" w:hAnsi="Arial"/>
                <w:sz w:val="16"/>
                <w:szCs w:val="16"/>
                <w:color w:val="auto"/>
              </w:rPr>
              <w:t>Somerville, MA</w:t>
            </w:r>
          </w:p>
        </w:tc>
        <w:tc>
          <w:tcPr>
            <w:tcW w:w="2300" w:type="dxa"/>
            <w:vAlign w:val="bottom"/>
          </w:tcPr>
          <w:p>
            <w:pPr>
              <w:ind w:left="520"/>
              <w:spacing w:after="0"/>
              <w:rPr>
                <w:sz w:val="20"/>
                <w:szCs w:val="20"/>
                <w:color w:val="auto"/>
              </w:rPr>
            </w:pPr>
            <w:r>
              <w:rPr>
                <w:rFonts w:ascii="Arial" w:cs="Arial" w:eastAsia="Arial" w:hAnsi="Arial"/>
                <w:sz w:val="16"/>
                <w:szCs w:val="16"/>
                <w:b w:val="1"/>
                <w:bCs w:val="1"/>
                <w:color w:val="auto"/>
              </w:rPr>
              <w:t>Pike 7</w:t>
            </w:r>
          </w:p>
        </w:tc>
        <w:tc>
          <w:tcPr>
            <w:tcW w:w="4660" w:type="dxa"/>
            <w:vAlign w:val="bottom"/>
          </w:tcPr>
          <w:p>
            <w:pPr>
              <w:ind w:left="140"/>
              <w:spacing w:after="0"/>
              <w:rPr>
                <w:sz w:val="20"/>
                <w:szCs w:val="20"/>
                <w:color w:val="auto"/>
              </w:rPr>
            </w:pPr>
            <w:r>
              <w:rPr>
                <w:rFonts w:ascii="Arial" w:cs="Arial" w:eastAsia="Arial" w:hAnsi="Arial"/>
                <w:sz w:val="16"/>
                <w:szCs w:val="16"/>
                <w:color w:val="auto"/>
              </w:rPr>
              <w:t>Vienna, VA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16"/>
        </w:trPr>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30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Pike &amp; Rose (Mid-Pike)</w:t>
            </w:r>
          </w:p>
        </w:tc>
        <w:tc>
          <w:tcPr>
            <w:tcW w:w="4660" w:type="dxa"/>
            <w:vAlign w:val="bottom"/>
            <w:shd w:val="clear" w:color="auto" w:fill="CCEEFF"/>
          </w:tcPr>
          <w:p>
            <w:pPr>
              <w:spacing w:after="0"/>
              <w:rPr>
                <w:sz w:val="18"/>
                <w:szCs w:val="18"/>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Bala Cynwyd</w:t>
            </w:r>
          </w:p>
        </w:tc>
        <w:tc>
          <w:tcPr>
            <w:tcW w:w="2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Bala Cynwyd, PA</w:t>
            </w:r>
          </w:p>
        </w:tc>
        <w:tc>
          <w:tcPr>
            <w:tcW w:w="2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(2)</w:t>
            </w:r>
          </w:p>
        </w:tc>
        <w:tc>
          <w:tcPr>
            <w:tcW w:w="4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Rockville, MD</w:t>
            </w:r>
          </w:p>
        </w:tc>
      </w:tr>
      <w:tr>
        <w:trPr>
          <w:trHeight w:val="237"/>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ind w:left="60"/>
              <w:spacing w:after="0"/>
              <w:rPr>
                <w:sz w:val="20"/>
                <w:szCs w:val="20"/>
                <w:color w:val="auto"/>
              </w:rPr>
            </w:pPr>
            <w:r>
              <w:rPr>
                <w:rFonts w:ascii="Arial" w:cs="Arial" w:eastAsia="Arial" w:hAnsi="Arial"/>
                <w:sz w:val="16"/>
                <w:szCs w:val="16"/>
                <w:b w:val="1"/>
                <w:bCs w:val="1"/>
                <w:color w:val="auto"/>
              </w:rPr>
              <w:t>Forest Hills</w:t>
            </w:r>
          </w:p>
        </w:tc>
        <w:tc>
          <w:tcPr>
            <w:tcW w:w="2100" w:type="dxa"/>
            <w:vAlign w:val="bottom"/>
          </w:tcPr>
          <w:p>
            <w:pPr>
              <w:ind w:left="320"/>
              <w:spacing w:after="0"/>
              <w:rPr>
                <w:sz w:val="20"/>
                <w:szCs w:val="20"/>
                <w:color w:val="auto"/>
              </w:rPr>
            </w:pPr>
            <w:r>
              <w:rPr>
                <w:rFonts w:ascii="Arial" w:cs="Arial" w:eastAsia="Arial" w:hAnsi="Arial"/>
                <w:sz w:val="16"/>
                <w:szCs w:val="16"/>
                <w:color w:val="auto"/>
              </w:rPr>
              <w:t>Forest Hills, NY</w:t>
            </w:r>
          </w:p>
        </w:tc>
        <w:tc>
          <w:tcPr>
            <w:tcW w:w="2300" w:type="dxa"/>
            <w:vAlign w:val="bottom"/>
          </w:tcPr>
          <w:p>
            <w:pPr>
              <w:ind w:left="520"/>
              <w:spacing w:after="0"/>
              <w:rPr>
                <w:sz w:val="20"/>
                <w:szCs w:val="20"/>
                <w:color w:val="auto"/>
              </w:rPr>
            </w:pPr>
            <w:r>
              <w:rPr>
                <w:rFonts w:ascii="Arial" w:cs="Arial" w:eastAsia="Arial" w:hAnsi="Arial"/>
                <w:sz w:val="16"/>
                <w:szCs w:val="16"/>
                <w:b w:val="1"/>
                <w:bCs w:val="1"/>
                <w:color w:val="auto"/>
              </w:rPr>
              <w:t>Santana Row (3)</w:t>
            </w:r>
          </w:p>
        </w:tc>
        <w:tc>
          <w:tcPr>
            <w:tcW w:w="4660" w:type="dxa"/>
            <w:vAlign w:val="bottom"/>
          </w:tcPr>
          <w:p>
            <w:pPr>
              <w:ind w:left="140"/>
              <w:spacing w:after="0"/>
              <w:rPr>
                <w:sz w:val="20"/>
                <w:szCs w:val="20"/>
                <w:color w:val="auto"/>
              </w:rPr>
            </w:pPr>
            <w:r>
              <w:rPr>
                <w:rFonts w:ascii="Arial" w:cs="Arial" w:eastAsia="Arial" w:hAnsi="Arial"/>
                <w:sz w:val="16"/>
                <w:szCs w:val="16"/>
                <w:color w:val="auto"/>
              </w:rPr>
              <w:t>San Jose, CA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r>
      <w:tr>
        <w:trPr>
          <w:trHeight w:val="230"/>
        </w:trPr>
        <w:tc>
          <w:tcPr>
            <w:tcW w:w="560" w:type="dxa"/>
            <w:vAlign w:val="bottom"/>
            <w:gridSpan w:val="3"/>
          </w:tcPr>
          <w:p>
            <w:pPr>
              <w:ind w:left="40"/>
              <w:spacing w:after="0"/>
              <w:rPr>
                <w:sz w:val="20"/>
                <w:szCs w:val="20"/>
                <w:color w:val="auto"/>
              </w:rPr>
            </w:pPr>
            <w:r>
              <w:rPr>
                <w:rFonts w:ascii="Arial" w:cs="Arial" w:eastAsia="Arial" w:hAnsi="Arial"/>
                <w:sz w:val="14"/>
                <w:szCs w:val="14"/>
                <w:color w:val="auto"/>
              </w:rPr>
              <w:t>Notes:</w:t>
            </w:r>
          </w:p>
        </w:tc>
        <w:tc>
          <w:tcPr>
            <w:tcW w:w="18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03"/>
        </w:trPr>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1800" w:type="dxa"/>
            <w:vAlign w:val="bottom"/>
            <w:shd w:val="clear" w:color="auto" w:fill="CCEEFF"/>
          </w:tcPr>
          <w:p>
            <w:pPr>
              <w:ind w:left="60"/>
              <w:spacing w:after="0"/>
              <w:rPr>
                <w:sz w:val="20"/>
                <w:szCs w:val="20"/>
                <w:color w:val="auto"/>
              </w:rPr>
            </w:pPr>
            <w:r>
              <w:rPr>
                <w:rFonts w:ascii="Arial" w:cs="Arial" w:eastAsia="Arial" w:hAnsi="Arial"/>
                <w:sz w:val="14"/>
                <w:szCs w:val="14"/>
                <w:color w:val="auto"/>
              </w:rPr>
              <w:t>Assembly Row</w:t>
            </w:r>
          </w:p>
        </w:tc>
        <w:tc>
          <w:tcPr>
            <w:tcW w:w="906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w w:val="99"/>
              </w:rPr>
              <w:t>Remaining entitlements after Phase 1 include 2 million square feet of commercial-use buildings, 1,525 residential units, and a 200 room hotel.</w:t>
            </w:r>
          </w:p>
        </w:tc>
      </w:tr>
      <w:tr>
        <w:trPr>
          <w:trHeight w:val="197"/>
        </w:trPr>
        <w:tc>
          <w:tcPr>
            <w:tcW w:w="560" w:type="dxa"/>
            <w:vAlign w:val="bottom"/>
            <w:gridSpan w:val="3"/>
          </w:tcPr>
          <w:p>
            <w:pPr>
              <w:jc w:val="right"/>
              <w:ind w:right="40"/>
              <w:spacing w:after="0"/>
              <w:rPr>
                <w:sz w:val="20"/>
                <w:szCs w:val="20"/>
                <w:color w:val="auto"/>
              </w:rPr>
            </w:pPr>
            <w:r>
              <w:rPr>
                <w:rFonts w:ascii="Arial" w:cs="Arial" w:eastAsia="Arial" w:hAnsi="Arial"/>
                <w:sz w:val="14"/>
                <w:szCs w:val="14"/>
                <w:color w:val="auto"/>
              </w:rPr>
              <w:t>(2)</w:t>
            </w:r>
          </w:p>
        </w:tc>
        <w:tc>
          <w:tcPr>
            <w:tcW w:w="1800" w:type="dxa"/>
            <w:vAlign w:val="bottom"/>
          </w:tcPr>
          <w:p>
            <w:pPr>
              <w:ind w:left="60"/>
              <w:spacing w:after="0"/>
              <w:rPr>
                <w:sz w:val="20"/>
                <w:szCs w:val="20"/>
                <w:color w:val="auto"/>
              </w:rPr>
            </w:pPr>
            <w:r>
              <w:rPr>
                <w:rFonts w:ascii="Arial" w:cs="Arial" w:eastAsia="Arial" w:hAnsi="Arial"/>
                <w:sz w:val="14"/>
                <w:szCs w:val="14"/>
                <w:color w:val="auto"/>
              </w:rPr>
              <w:t>Pike &amp; Rose (Mid-Pike)</w:t>
            </w:r>
          </w:p>
        </w:tc>
        <w:tc>
          <w:tcPr>
            <w:tcW w:w="9060" w:type="dxa"/>
            <w:vAlign w:val="bottom"/>
            <w:gridSpan w:val="3"/>
          </w:tcPr>
          <w:p>
            <w:pPr>
              <w:ind w:left="320"/>
              <w:spacing w:after="0"/>
              <w:rPr>
                <w:sz w:val="20"/>
                <w:szCs w:val="20"/>
                <w:color w:val="auto"/>
              </w:rPr>
            </w:pPr>
            <w:r>
              <w:rPr>
                <w:rFonts w:ascii="Arial" w:cs="Arial" w:eastAsia="Arial" w:hAnsi="Arial"/>
                <w:sz w:val="14"/>
                <w:szCs w:val="14"/>
                <w:color w:val="auto"/>
              </w:rPr>
              <w:t>Remaining entitlements after Phase 1 include 1.5 million square feet of commercial-use buildings, and 1,090 residential units.</w:t>
            </w:r>
          </w:p>
        </w:tc>
      </w:tr>
      <w:tr>
        <w:trPr>
          <w:trHeight w:val="163"/>
        </w:trPr>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w:t>
            </w:r>
          </w:p>
        </w:tc>
        <w:tc>
          <w:tcPr>
            <w:tcW w:w="18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Santana Row</w:t>
            </w:r>
          </w:p>
        </w:tc>
        <w:tc>
          <w:tcPr>
            <w:tcW w:w="906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w w:val="95"/>
              </w:rPr>
              <w:t>Current remaining entitlements for this property include 348 residential units and 200,000 square feet of commercial space for retail and office. Final</w:t>
            </w:r>
          </w:p>
        </w:tc>
      </w:tr>
      <w:tr>
        <w:trPr>
          <w:trHeight w:val="194"/>
        </w:trPr>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906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approval is pending for entitlements for an additional 105,000 square feet of commercial space for retail and office.</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7"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3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3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900" w:type="dxa"/>
            <w:vAlign w:val="bottom"/>
          </w:tcPr>
          <w:p>
            <w:pPr>
              <w:spacing w:after="0"/>
              <w:rPr>
                <w:sz w:val="11"/>
                <w:szCs w:val="11"/>
                <w:color w:val="auto"/>
              </w:rPr>
            </w:pPr>
          </w:p>
        </w:tc>
        <w:tc>
          <w:tcPr>
            <w:tcW w:w="33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64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9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360" w:type="dxa"/>
            <w:vAlign w:val="bottom"/>
          </w:tcPr>
          <w:p>
            <w:pPr>
              <w:spacing w:after="0"/>
              <w:rPr>
                <w:sz w:val="11"/>
                <w:szCs w:val="11"/>
                <w:color w:val="auto"/>
              </w:rPr>
            </w:pPr>
          </w:p>
        </w:tc>
      </w:tr>
      <w:tr>
        <w:trPr>
          <w:trHeight w:val="174"/>
        </w:trPr>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Property Name</w:t>
            </w: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MSA Description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Year 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3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8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36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8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36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shd w:val="clear" w:color="auto" w:fill="CCEEFF"/>
          </w:tcPr>
          <w:p>
            <w:pPr>
              <w:spacing w:after="0"/>
              <w:rPr>
                <w:sz w:val="21"/>
                <w:szCs w:val="21"/>
                <w:color w:val="auto"/>
              </w:rPr>
            </w:pPr>
          </w:p>
        </w:tc>
      </w:tr>
      <w:tr>
        <w:trPr>
          <w:trHeight w:val="148"/>
        </w:trPr>
        <w:tc>
          <w:tcPr>
            <w:tcW w:w="1340" w:type="dxa"/>
            <w:vAlign w:val="bottom"/>
            <w:tcBorders>
              <w:top w:val="single" w:sz="8" w:color="CCEEFF"/>
            </w:tcBorders>
            <w:gridSpan w:val="2"/>
          </w:tcPr>
          <w:p>
            <w:pPr>
              <w:ind w:left="40"/>
              <w:spacing w:after="0" w:line="148" w:lineRule="exact"/>
              <w:rPr>
                <w:sz w:val="20"/>
                <w:szCs w:val="20"/>
                <w:color w:val="auto"/>
              </w:rPr>
            </w:pPr>
            <w:r>
              <w:rPr>
                <w:rFonts w:ascii="Arial" w:cs="Arial" w:eastAsia="Arial" w:hAnsi="Arial"/>
                <w:sz w:val="13"/>
                <w:szCs w:val="13"/>
                <w:color w:val="auto"/>
              </w:rPr>
              <w:t>Bethesda Row</w:t>
            </w:r>
          </w:p>
        </w:tc>
        <w:tc>
          <w:tcPr>
            <w:tcW w:w="440" w:type="dxa"/>
            <w:vAlign w:val="bottom"/>
            <w:tcBorders>
              <w:top w:val="single" w:sz="8" w:color="CCEEFF"/>
            </w:tcBorders>
          </w:tcPr>
          <w:p>
            <w:pPr>
              <w:spacing w:after="0"/>
              <w:rPr>
                <w:sz w:val="12"/>
                <w:szCs w:val="12"/>
                <w:color w:val="auto"/>
              </w:rPr>
            </w:pPr>
          </w:p>
        </w:tc>
        <w:tc>
          <w:tcPr>
            <w:tcW w:w="1380" w:type="dxa"/>
            <w:vAlign w:val="bottom"/>
            <w:tcBorders>
              <w:top w:val="single" w:sz="8" w:color="CCEEFF"/>
            </w:tcBorders>
            <w:gridSpan w:val="2"/>
          </w:tcPr>
          <w:p>
            <w:pPr>
              <w:ind w:left="20"/>
              <w:spacing w:after="0" w:line="148" w:lineRule="exact"/>
              <w:rPr>
                <w:sz w:val="20"/>
                <w:szCs w:val="20"/>
                <w:color w:val="auto"/>
              </w:rPr>
            </w:pPr>
            <w:r>
              <w:rPr>
                <w:rFonts w:ascii="Arial" w:cs="Arial" w:eastAsia="Arial" w:hAnsi="Arial"/>
                <w:sz w:val="13"/>
                <w:szCs w:val="13"/>
                <w:color w:val="auto"/>
                <w:w w:val="95"/>
              </w:rPr>
              <w:t>Washington, DC-MD-VA</w:t>
            </w:r>
          </w:p>
        </w:tc>
        <w:tc>
          <w:tcPr>
            <w:tcW w:w="1580" w:type="dxa"/>
            <w:vAlign w:val="bottom"/>
            <w:tcBorders>
              <w:top w:val="single" w:sz="8" w:color="CCEEFF"/>
            </w:tcBorders>
            <w:gridSpan w:val="2"/>
          </w:tcPr>
          <w:p>
            <w:pPr>
              <w:jc w:val="right"/>
              <w:ind w:right="37"/>
              <w:spacing w:after="0" w:line="148" w:lineRule="exact"/>
              <w:rPr>
                <w:sz w:val="20"/>
                <w:szCs w:val="20"/>
                <w:color w:val="auto"/>
              </w:rPr>
            </w:pPr>
            <w:r>
              <w:rPr>
                <w:rFonts w:ascii="Arial" w:cs="Arial" w:eastAsia="Arial" w:hAnsi="Arial"/>
                <w:sz w:val="13"/>
                <w:szCs w:val="13"/>
                <w:color w:val="auto"/>
              </w:rPr>
              <w:t>1993- $ 216,903</w:t>
            </w:r>
          </w:p>
        </w:tc>
        <w:tc>
          <w:tcPr>
            <w:tcW w:w="680" w:type="dxa"/>
            <w:vAlign w:val="bottom"/>
            <w:tcBorders>
              <w:top w:val="single" w:sz="8" w:color="CCEEFF"/>
            </w:tcBorders>
          </w:tcPr>
          <w:p>
            <w:pPr>
              <w:jc w:val="right"/>
              <w:ind w:right="58"/>
              <w:spacing w:after="0" w:line="148" w:lineRule="exact"/>
              <w:rPr>
                <w:sz w:val="20"/>
                <w:szCs w:val="20"/>
                <w:color w:val="auto"/>
              </w:rPr>
            </w:pPr>
            <w:r>
              <w:rPr>
                <w:rFonts w:ascii="Arial" w:cs="Arial" w:eastAsia="Arial" w:hAnsi="Arial"/>
                <w:sz w:val="13"/>
                <w:szCs w:val="13"/>
                <w:color w:val="auto"/>
                <w:w w:val="99"/>
              </w:rPr>
              <w:t>$  23,892</w:t>
            </w:r>
          </w:p>
        </w:tc>
        <w:tc>
          <w:tcPr>
            <w:tcW w:w="640" w:type="dxa"/>
            <w:vAlign w:val="bottom"/>
            <w:tcBorders>
              <w:top w:val="single" w:sz="8" w:color="CCEEFF"/>
            </w:tcBorders>
          </w:tcPr>
          <w:p>
            <w:pPr>
              <w:jc w:val="right"/>
              <w:ind w:right="17"/>
              <w:spacing w:after="0" w:line="148" w:lineRule="exact"/>
              <w:rPr>
                <w:sz w:val="20"/>
                <w:szCs w:val="20"/>
                <w:color w:val="auto"/>
              </w:rPr>
            </w:pPr>
            <w:r>
              <w:rPr>
                <w:rFonts w:ascii="Arial" w:cs="Arial" w:eastAsia="Arial" w:hAnsi="Arial"/>
                <w:sz w:val="13"/>
                <w:szCs w:val="13"/>
                <w:color w:val="auto"/>
              </w:rPr>
              <w:t>531,000</w:t>
            </w:r>
          </w:p>
        </w:tc>
        <w:tc>
          <w:tcPr>
            <w:tcW w:w="500" w:type="dxa"/>
            <w:vAlign w:val="bottom"/>
            <w:tcBorders>
              <w:top w:val="single" w:sz="8" w:color="CCEEFF"/>
            </w:tcBorders>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tcBorders>
              <w:top w:val="single" w:sz="8" w:color="CCEEFF"/>
            </w:tcBorders>
          </w:tcPr>
          <w:p>
            <w:pPr>
              <w:ind w:left="60"/>
              <w:spacing w:after="0" w:line="148" w:lineRule="exact"/>
              <w:rPr>
                <w:sz w:val="20"/>
                <w:szCs w:val="20"/>
                <w:color w:val="auto"/>
              </w:rPr>
            </w:pPr>
            <w:r>
              <w:rPr>
                <w:rFonts w:ascii="Arial" w:cs="Arial" w:eastAsia="Arial" w:hAnsi="Arial"/>
                <w:sz w:val="13"/>
                <w:szCs w:val="13"/>
                <w:color w:val="auto"/>
              </w:rPr>
              <w:t>40,000</w:t>
            </w:r>
          </w:p>
        </w:tc>
        <w:tc>
          <w:tcPr>
            <w:tcW w:w="900" w:type="dxa"/>
            <w:vAlign w:val="bottom"/>
            <w:tcBorders>
              <w:top w:val="single" w:sz="8" w:color="CCEEFF"/>
            </w:tcBorders>
          </w:tcPr>
          <w:p>
            <w:pPr>
              <w:ind w:left="80"/>
              <w:spacing w:after="0" w:line="148" w:lineRule="exact"/>
              <w:rPr>
                <w:sz w:val="20"/>
                <w:szCs w:val="20"/>
                <w:color w:val="auto"/>
              </w:rPr>
            </w:pPr>
            <w:r>
              <w:rPr>
                <w:rFonts w:ascii="Arial" w:cs="Arial" w:eastAsia="Arial" w:hAnsi="Arial"/>
                <w:sz w:val="13"/>
                <w:szCs w:val="13"/>
                <w:color w:val="auto"/>
              </w:rPr>
              <w:t>Giant Food</w:t>
            </w:r>
          </w:p>
        </w:tc>
        <w:tc>
          <w:tcPr>
            <w:tcW w:w="3360" w:type="dxa"/>
            <w:vAlign w:val="bottom"/>
            <w:tcBorders>
              <w:top w:val="single" w:sz="8" w:color="CCEEFF"/>
            </w:tcBorders>
          </w:tcPr>
          <w:p>
            <w:pPr>
              <w:ind w:left="80"/>
              <w:spacing w:after="0" w:line="148" w:lineRule="exact"/>
              <w:rPr>
                <w:sz w:val="20"/>
                <w:szCs w:val="20"/>
                <w:color w:val="auto"/>
              </w:rPr>
            </w:pPr>
            <w:r>
              <w:rPr>
                <w:rFonts w:ascii="Arial" w:cs="Arial" w:eastAsia="Arial" w:hAnsi="Arial"/>
                <w:sz w:val="13"/>
                <w:szCs w:val="13"/>
                <w:color w:val="auto"/>
              </w:rPr>
              <w:t>Landmark Theater / Apple Computer / Barnes &amp; Noble</w:t>
            </w:r>
          </w:p>
        </w:tc>
      </w:tr>
      <w:tr>
        <w:trPr>
          <w:trHeight w:val="168"/>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w w:val="93"/>
              </w:rPr>
              <w:t>2006/2008/2010</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156"/>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Congressional Plaza</w:t>
            </w:r>
          </w:p>
        </w:tc>
        <w:tc>
          <w:tcPr>
            <w:tcW w:w="4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73,899</w:t>
            </w:r>
          </w:p>
        </w:tc>
        <w:tc>
          <w:tcPr>
            <w:tcW w:w="6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25,000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Fresh Market</w:t>
            </w:r>
          </w:p>
        </w:tc>
        <w:tc>
          <w:tcPr>
            <w:tcW w:w="3360" w:type="dxa"/>
            <w:vAlign w:val="bottom"/>
            <w:shd w:val="clear" w:color="auto" w:fill="CCEEFF"/>
          </w:tcPr>
          <w:p>
            <w:pPr>
              <w:ind w:left="80"/>
              <w:spacing w:after="0"/>
              <w:rPr>
                <w:sz w:val="20"/>
                <w:szCs w:val="20"/>
                <w:color w:val="auto"/>
              </w:rPr>
            </w:pPr>
            <w:r>
              <w:rPr>
                <w:rFonts w:ascii="Arial" w:cs="Arial" w:eastAsia="Arial" w:hAnsi="Arial"/>
                <w:sz w:val="13"/>
                <w:szCs w:val="13"/>
                <w:color w:val="auto"/>
                <w:w w:val="92"/>
              </w:rPr>
              <w:t>Buy Buy Baby / Container Store / Last Call Studio by Neiman</w:t>
            </w:r>
          </w:p>
        </w:tc>
      </w:tr>
      <w:tr>
        <w:trPr>
          <w:trHeight w:val="176"/>
        </w:trPr>
        <w:tc>
          <w:tcPr>
            <w:tcW w:w="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Marcus</w:t>
            </w:r>
          </w:p>
        </w:tc>
      </w:tr>
      <w:tr>
        <w:trPr>
          <w:trHeight w:val="173"/>
        </w:trPr>
        <w:tc>
          <w:tcPr>
            <w:tcW w:w="1340" w:type="dxa"/>
            <w:vAlign w:val="bottom"/>
            <w:gridSpan w:val="2"/>
          </w:tcPr>
          <w:p>
            <w:pPr>
              <w:ind w:left="40"/>
              <w:spacing w:after="0"/>
              <w:rPr>
                <w:sz w:val="20"/>
                <w:szCs w:val="20"/>
                <w:color w:val="auto"/>
              </w:rPr>
            </w:pPr>
            <w:r>
              <w:rPr>
                <w:rFonts w:ascii="Arial" w:cs="Arial" w:eastAsia="Arial" w:hAnsi="Arial"/>
                <w:sz w:val="13"/>
                <w:szCs w:val="13"/>
                <w:color w:val="auto"/>
              </w:rPr>
              <w:t>Courthouse Center</w:t>
            </w:r>
          </w:p>
        </w:tc>
        <w:tc>
          <w:tcPr>
            <w:tcW w:w="44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4,702</w:t>
            </w:r>
          </w:p>
        </w:tc>
        <w:tc>
          <w:tcPr>
            <w:tcW w:w="6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36,000</w:t>
            </w:r>
          </w:p>
        </w:tc>
        <w:tc>
          <w:tcPr>
            <w:tcW w:w="500" w:type="dxa"/>
            <w:vAlign w:val="bottom"/>
          </w:tcPr>
          <w:p>
            <w:pPr>
              <w:jc w:val="right"/>
              <w:spacing w:after="0"/>
              <w:rPr>
                <w:sz w:val="20"/>
                <w:szCs w:val="20"/>
                <w:color w:val="auto"/>
              </w:rPr>
            </w:pPr>
            <w:r>
              <w:rPr>
                <w:rFonts w:ascii="Arial" w:cs="Arial" w:eastAsia="Arial" w:hAnsi="Arial"/>
                <w:sz w:val="13"/>
                <w:szCs w:val="13"/>
                <w:color w:val="auto"/>
              </w:rPr>
              <w:t>93%</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36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360" w:type="dxa"/>
            <w:vAlign w:val="bottom"/>
          </w:tcPr>
          <w:p>
            <w:pPr>
              <w:spacing w:after="0"/>
              <w:rPr>
                <w:sz w:val="8"/>
                <w:szCs w:val="8"/>
                <w:color w:val="auto"/>
              </w:rPr>
            </w:pPr>
          </w:p>
        </w:tc>
      </w:tr>
      <w:tr>
        <w:trPr>
          <w:trHeight w:val="148"/>
        </w:trPr>
        <w:tc>
          <w:tcPr>
            <w:tcW w:w="13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4"/>
              </w:rPr>
              <w:t>Falls Plaza/Falls Plaza-</w:t>
            </w:r>
          </w:p>
        </w:tc>
        <w:tc>
          <w:tcPr>
            <w:tcW w:w="4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1967-1972</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12,634</w:t>
            </w:r>
          </w:p>
        </w:tc>
        <w:tc>
          <w:tcPr>
            <w:tcW w:w="6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144,000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51,000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Giant Food</w:t>
            </w:r>
          </w:p>
        </w:tc>
        <w:tc>
          <w:tcPr>
            <w:tcW w:w="336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CVS / Staples</w:t>
            </w:r>
          </w:p>
        </w:tc>
      </w:tr>
      <w:tr>
        <w:trPr>
          <w:trHeight w:val="176"/>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East</w:t>
            </w: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r>
      <w:tr>
        <w:trPr>
          <w:trHeight w:val="173"/>
        </w:trPr>
        <w:tc>
          <w:tcPr>
            <w:tcW w:w="1340" w:type="dxa"/>
            <w:vAlign w:val="bottom"/>
            <w:gridSpan w:val="2"/>
          </w:tcPr>
          <w:p>
            <w:pPr>
              <w:ind w:left="40"/>
              <w:spacing w:after="0"/>
              <w:rPr>
                <w:sz w:val="20"/>
                <w:szCs w:val="20"/>
                <w:color w:val="auto"/>
              </w:rPr>
            </w:pPr>
            <w:r>
              <w:rPr>
                <w:rFonts w:ascii="Arial" w:cs="Arial" w:eastAsia="Arial" w:hAnsi="Arial"/>
                <w:sz w:val="13"/>
                <w:szCs w:val="13"/>
                <w:color w:val="auto"/>
              </w:rPr>
              <w:t>Federal Plaza</w:t>
            </w:r>
          </w:p>
        </w:tc>
        <w:tc>
          <w:tcPr>
            <w:tcW w:w="44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1989</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64,302</w:t>
            </w:r>
          </w:p>
        </w:tc>
        <w:tc>
          <w:tcPr>
            <w:tcW w:w="6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248,000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ind w:left="60"/>
              <w:spacing w:after="0"/>
              <w:rPr>
                <w:sz w:val="20"/>
                <w:szCs w:val="20"/>
                <w:color w:val="auto"/>
              </w:rPr>
            </w:pPr>
            <w:r>
              <w:rPr>
                <w:rFonts w:ascii="Arial" w:cs="Arial" w:eastAsia="Arial" w:hAnsi="Arial"/>
                <w:sz w:val="13"/>
                <w:szCs w:val="13"/>
                <w:color w:val="auto"/>
              </w:rPr>
              <w:t>14,000</w:t>
            </w:r>
          </w:p>
        </w:tc>
        <w:tc>
          <w:tcPr>
            <w:tcW w:w="900" w:type="dxa"/>
            <w:vAlign w:val="bottom"/>
          </w:tcPr>
          <w:p>
            <w:pPr>
              <w:ind w:left="80"/>
              <w:spacing w:after="0"/>
              <w:rPr>
                <w:sz w:val="20"/>
                <w:szCs w:val="20"/>
                <w:color w:val="auto"/>
              </w:rPr>
            </w:pPr>
            <w:r>
              <w:rPr>
                <w:rFonts w:ascii="Arial" w:cs="Arial" w:eastAsia="Arial" w:hAnsi="Arial"/>
                <w:sz w:val="13"/>
                <w:szCs w:val="13"/>
                <w:color w:val="auto"/>
              </w:rPr>
              <w:t>Trader Joe's</w:t>
            </w:r>
          </w:p>
        </w:tc>
        <w:tc>
          <w:tcPr>
            <w:tcW w:w="3360" w:type="dxa"/>
            <w:vAlign w:val="bottom"/>
          </w:tcPr>
          <w:p>
            <w:pPr>
              <w:ind w:left="80"/>
              <w:spacing w:after="0"/>
              <w:rPr>
                <w:sz w:val="20"/>
                <w:szCs w:val="20"/>
                <w:color w:val="auto"/>
              </w:rPr>
            </w:pPr>
            <w:r>
              <w:rPr>
                <w:rFonts w:ascii="Arial" w:cs="Arial" w:eastAsia="Arial" w:hAnsi="Arial"/>
                <w:sz w:val="13"/>
                <w:szCs w:val="13"/>
                <w:color w:val="auto"/>
              </w:rPr>
              <w:t>TJ Maxx / Micro Center / Ross Dress For Less</w:t>
            </w:r>
          </w:p>
        </w:tc>
      </w:tr>
      <w:tr>
        <w:trPr>
          <w:trHeight w:val="97"/>
        </w:trPr>
        <w:tc>
          <w:tcPr>
            <w:tcW w:w="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360" w:type="dxa"/>
            <w:vAlign w:val="bottom"/>
          </w:tcPr>
          <w:p>
            <w:pPr>
              <w:spacing w:after="0"/>
              <w:rPr>
                <w:sz w:val="8"/>
                <w:szCs w:val="8"/>
                <w:color w:val="auto"/>
              </w:rPr>
            </w:pPr>
          </w:p>
        </w:tc>
      </w:tr>
      <w:tr>
        <w:trPr>
          <w:trHeight w:val="17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Friendship Center</w:t>
            </w:r>
          </w:p>
        </w:tc>
        <w:tc>
          <w:tcPr>
            <w:tcW w:w="4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35,443</w:t>
            </w: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Maggiano's / Nordstrom Rack</w:t>
            </w:r>
          </w:p>
        </w:tc>
      </w:tr>
      <w:tr>
        <w:trPr>
          <w:trHeight w:val="97"/>
        </w:trPr>
        <w:tc>
          <w:tcPr>
            <w:tcW w:w="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360" w:type="dxa"/>
            <w:vAlign w:val="bottom"/>
            <w:shd w:val="clear" w:color="auto" w:fill="CCEEFF"/>
          </w:tcPr>
          <w:p>
            <w:pPr>
              <w:spacing w:after="0"/>
              <w:rPr>
                <w:sz w:val="8"/>
                <w:szCs w:val="8"/>
                <w:color w:val="auto"/>
              </w:rPr>
            </w:pPr>
          </w:p>
        </w:tc>
      </w:tr>
      <w:tr>
        <w:trPr>
          <w:trHeight w:val="173"/>
        </w:trPr>
        <w:tc>
          <w:tcPr>
            <w:tcW w:w="1340" w:type="dxa"/>
            <w:vAlign w:val="bottom"/>
            <w:gridSpan w:val="2"/>
          </w:tcPr>
          <w:p>
            <w:pPr>
              <w:ind w:left="40"/>
              <w:spacing w:after="0"/>
              <w:rPr>
                <w:sz w:val="20"/>
                <w:szCs w:val="20"/>
                <w:color w:val="auto"/>
              </w:rPr>
            </w:pPr>
            <w:r>
              <w:rPr>
                <w:rFonts w:ascii="Arial" w:cs="Arial" w:eastAsia="Arial" w:hAnsi="Arial"/>
                <w:sz w:val="13"/>
                <w:szCs w:val="13"/>
                <w:color w:val="auto"/>
              </w:rPr>
              <w:t>Gaithersburg Square</w:t>
            </w:r>
          </w:p>
        </w:tc>
        <w:tc>
          <w:tcPr>
            <w:tcW w:w="44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25,263</w:t>
            </w:r>
          </w:p>
        </w:tc>
        <w:tc>
          <w:tcPr>
            <w:tcW w:w="6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rPr>
                <w:sz w:val="20"/>
                <w:szCs w:val="20"/>
                <w:color w:val="auto"/>
              </w:rPr>
            </w:pPr>
            <w:r>
              <w:rPr>
                <w:rFonts w:ascii="Arial" w:cs="Arial" w:eastAsia="Arial" w:hAnsi="Arial"/>
                <w:sz w:val="13"/>
                <w:szCs w:val="13"/>
                <w:color w:val="auto"/>
              </w:rPr>
              <w:t>78%</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360" w:type="dxa"/>
            <w:vAlign w:val="bottom"/>
          </w:tcPr>
          <w:p>
            <w:pPr>
              <w:ind w:left="80"/>
              <w:spacing w:after="0"/>
              <w:rPr>
                <w:sz w:val="20"/>
                <w:szCs w:val="20"/>
                <w:color w:val="auto"/>
              </w:rPr>
            </w:pPr>
            <w:r>
              <w:rPr>
                <w:rFonts w:ascii="Arial" w:cs="Arial" w:eastAsia="Arial" w:hAnsi="Arial"/>
                <w:sz w:val="13"/>
                <w:szCs w:val="13"/>
                <w:color w:val="auto"/>
              </w:rPr>
              <w:t>Bed, Bath &amp; Beyond / Ross Dress For Less</w:t>
            </w:r>
          </w:p>
        </w:tc>
      </w:tr>
      <w:tr>
        <w:trPr>
          <w:trHeight w:val="97"/>
        </w:trPr>
        <w:tc>
          <w:tcPr>
            <w:tcW w:w="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360" w:type="dxa"/>
            <w:vAlign w:val="bottom"/>
          </w:tcPr>
          <w:p>
            <w:pPr>
              <w:spacing w:after="0"/>
              <w:rPr>
                <w:sz w:val="8"/>
                <w:szCs w:val="8"/>
                <w:color w:val="auto"/>
              </w:rPr>
            </w:pPr>
          </w:p>
        </w:tc>
      </w:tr>
      <w:tr>
        <w:trPr>
          <w:trHeight w:val="17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Idylwood Plaza</w:t>
            </w:r>
          </w:p>
        </w:tc>
        <w:tc>
          <w:tcPr>
            <w:tcW w:w="4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16,485</w:t>
            </w: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16,062</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30,000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Whole Foods</w:t>
            </w:r>
          </w:p>
        </w:tc>
        <w:tc>
          <w:tcPr>
            <w:tcW w:w="336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360" w:type="dxa"/>
            <w:vAlign w:val="bottom"/>
            <w:shd w:val="clear" w:color="auto" w:fill="CCEEFF"/>
          </w:tcPr>
          <w:p>
            <w:pPr>
              <w:spacing w:after="0"/>
              <w:rPr>
                <w:sz w:val="8"/>
                <w:szCs w:val="8"/>
                <w:color w:val="auto"/>
              </w:rPr>
            </w:pPr>
          </w:p>
        </w:tc>
      </w:tr>
      <w:tr>
        <w:trPr>
          <w:trHeight w:val="173"/>
        </w:trPr>
        <w:tc>
          <w:tcPr>
            <w:tcW w:w="1340" w:type="dxa"/>
            <w:vAlign w:val="bottom"/>
            <w:gridSpan w:val="2"/>
          </w:tcPr>
          <w:p>
            <w:pPr>
              <w:ind w:left="40"/>
              <w:spacing w:after="0"/>
              <w:rPr>
                <w:sz w:val="20"/>
                <w:szCs w:val="20"/>
                <w:color w:val="auto"/>
              </w:rPr>
            </w:pPr>
            <w:r>
              <w:rPr>
                <w:rFonts w:ascii="Arial" w:cs="Arial" w:eastAsia="Arial" w:hAnsi="Arial"/>
                <w:sz w:val="13"/>
                <w:szCs w:val="13"/>
                <w:color w:val="auto"/>
              </w:rPr>
              <w:t>Laurel</w:t>
            </w:r>
          </w:p>
        </w:tc>
        <w:tc>
          <w:tcPr>
            <w:tcW w:w="44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1986</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51,253</w:t>
            </w:r>
          </w:p>
        </w:tc>
        <w:tc>
          <w:tcPr>
            <w:tcW w:w="6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388,000</w:t>
            </w:r>
          </w:p>
        </w:tc>
        <w:tc>
          <w:tcPr>
            <w:tcW w:w="500" w:type="dxa"/>
            <w:vAlign w:val="bottom"/>
          </w:tcPr>
          <w:p>
            <w:pPr>
              <w:jc w:val="right"/>
              <w:spacing w:after="0"/>
              <w:rPr>
                <w:sz w:val="20"/>
                <w:szCs w:val="20"/>
                <w:color w:val="auto"/>
              </w:rPr>
            </w:pPr>
            <w:r>
              <w:rPr>
                <w:rFonts w:ascii="Arial" w:cs="Arial" w:eastAsia="Arial" w:hAnsi="Arial"/>
                <w:sz w:val="13"/>
                <w:szCs w:val="13"/>
                <w:color w:val="auto"/>
              </w:rPr>
              <w:t>84%</w:t>
            </w:r>
          </w:p>
        </w:tc>
        <w:tc>
          <w:tcPr>
            <w:tcW w:w="600" w:type="dxa"/>
            <w:vAlign w:val="bottom"/>
          </w:tcPr>
          <w:p>
            <w:pPr>
              <w:ind w:left="60"/>
              <w:spacing w:after="0"/>
              <w:rPr>
                <w:sz w:val="20"/>
                <w:szCs w:val="20"/>
                <w:color w:val="auto"/>
              </w:rPr>
            </w:pPr>
            <w:r>
              <w:rPr>
                <w:rFonts w:ascii="Arial" w:cs="Arial" w:eastAsia="Arial" w:hAnsi="Arial"/>
                <w:sz w:val="13"/>
                <w:szCs w:val="13"/>
                <w:color w:val="auto"/>
              </w:rPr>
              <w:t>61,000</w:t>
            </w:r>
          </w:p>
        </w:tc>
        <w:tc>
          <w:tcPr>
            <w:tcW w:w="9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360" w:type="dxa"/>
            <w:vAlign w:val="bottom"/>
          </w:tcPr>
          <w:p>
            <w:pPr>
              <w:ind w:left="80"/>
              <w:spacing w:after="0"/>
              <w:rPr>
                <w:sz w:val="20"/>
                <w:szCs w:val="20"/>
                <w:color w:val="auto"/>
              </w:rPr>
            </w:pPr>
            <w:r>
              <w:rPr>
                <w:rFonts w:ascii="Arial" w:cs="Arial" w:eastAsia="Arial" w:hAnsi="Arial"/>
                <w:sz w:val="13"/>
                <w:szCs w:val="13"/>
                <w:color w:val="auto"/>
              </w:rPr>
              <w:t>L.A. Fitness / Marshalls</w:t>
            </w:r>
          </w:p>
        </w:tc>
      </w:tr>
      <w:tr>
        <w:trPr>
          <w:trHeight w:val="97"/>
        </w:trPr>
        <w:tc>
          <w:tcPr>
            <w:tcW w:w="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360" w:type="dxa"/>
            <w:vAlign w:val="bottom"/>
          </w:tcPr>
          <w:p>
            <w:pPr>
              <w:spacing w:after="0"/>
              <w:rPr>
                <w:sz w:val="8"/>
                <w:szCs w:val="8"/>
                <w:color w:val="auto"/>
              </w:rPr>
            </w:pPr>
          </w:p>
        </w:tc>
      </w:tr>
      <w:tr>
        <w:trPr>
          <w:trHeight w:val="17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Leesburg Plaza</w:t>
            </w:r>
          </w:p>
        </w:tc>
        <w:tc>
          <w:tcPr>
            <w:tcW w:w="4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35,214</w:t>
            </w: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27,947</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55,000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Petsmart / Pier 1 Imports / Office Depot</w:t>
            </w:r>
          </w:p>
        </w:tc>
      </w:tr>
      <w:tr>
        <w:trPr>
          <w:trHeight w:val="97"/>
        </w:trPr>
        <w:tc>
          <w:tcPr>
            <w:tcW w:w="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360" w:type="dxa"/>
            <w:vAlign w:val="bottom"/>
            <w:shd w:val="clear" w:color="auto" w:fill="CCEEFF"/>
          </w:tcPr>
          <w:p>
            <w:pPr>
              <w:spacing w:after="0"/>
              <w:rPr>
                <w:sz w:val="8"/>
                <w:szCs w:val="8"/>
                <w:color w:val="auto"/>
              </w:rPr>
            </w:pPr>
          </w:p>
        </w:tc>
      </w:tr>
      <w:tr>
        <w:trPr>
          <w:trHeight w:val="173"/>
        </w:trPr>
        <w:tc>
          <w:tcPr>
            <w:tcW w:w="1340" w:type="dxa"/>
            <w:vAlign w:val="bottom"/>
            <w:gridSpan w:val="2"/>
          </w:tcPr>
          <w:p>
            <w:pPr>
              <w:ind w:left="40"/>
              <w:spacing w:after="0"/>
              <w:rPr>
                <w:sz w:val="20"/>
                <w:szCs w:val="20"/>
                <w:color w:val="auto"/>
              </w:rPr>
            </w:pPr>
            <w:r>
              <w:rPr>
                <w:rFonts w:ascii="Arial" w:cs="Arial" w:eastAsia="Arial" w:hAnsi="Arial"/>
                <w:sz w:val="13"/>
                <w:szCs w:val="13"/>
                <w:color w:val="auto"/>
              </w:rPr>
              <w:t>Loehmann's Plaza</w:t>
            </w:r>
          </w:p>
        </w:tc>
        <w:tc>
          <w:tcPr>
            <w:tcW w:w="44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1983</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33,032</w:t>
            </w: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36,139</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258,000</w:t>
            </w:r>
          </w:p>
        </w:tc>
        <w:tc>
          <w:tcPr>
            <w:tcW w:w="50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ind w:left="60"/>
              <w:spacing w:after="0"/>
              <w:rPr>
                <w:sz w:val="20"/>
                <w:szCs w:val="20"/>
                <w:color w:val="auto"/>
              </w:rPr>
            </w:pPr>
            <w:r>
              <w:rPr>
                <w:rFonts w:ascii="Arial" w:cs="Arial" w:eastAsia="Arial" w:hAnsi="Arial"/>
                <w:sz w:val="13"/>
                <w:szCs w:val="13"/>
                <w:color w:val="auto"/>
              </w:rPr>
              <w:t>58,000</w:t>
            </w:r>
          </w:p>
        </w:tc>
        <w:tc>
          <w:tcPr>
            <w:tcW w:w="9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360" w:type="dxa"/>
            <w:vAlign w:val="bottom"/>
          </w:tcPr>
          <w:p>
            <w:pPr>
              <w:ind w:left="80"/>
              <w:spacing w:after="0"/>
              <w:rPr>
                <w:sz w:val="20"/>
                <w:szCs w:val="20"/>
                <w:color w:val="auto"/>
              </w:rPr>
            </w:pPr>
            <w:r>
              <w:rPr>
                <w:rFonts w:ascii="Arial" w:cs="Arial" w:eastAsia="Arial" w:hAnsi="Arial"/>
                <w:sz w:val="13"/>
                <w:szCs w:val="13"/>
                <w:color w:val="auto"/>
              </w:rPr>
              <w:t>L.A. Fitness / Loehmann's Dress Shop</w:t>
            </w:r>
          </w:p>
        </w:tc>
      </w:tr>
      <w:tr>
        <w:trPr>
          <w:trHeight w:val="97"/>
        </w:trPr>
        <w:tc>
          <w:tcPr>
            <w:tcW w:w="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360" w:type="dxa"/>
            <w:vAlign w:val="bottom"/>
          </w:tcPr>
          <w:p>
            <w:pPr>
              <w:spacing w:after="0"/>
              <w:rPr>
                <w:sz w:val="8"/>
                <w:szCs w:val="8"/>
                <w:color w:val="auto"/>
              </w:rPr>
            </w:pPr>
          </w:p>
        </w:tc>
      </w:tr>
      <w:tr>
        <w:trPr>
          <w:trHeight w:val="17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Mid-Pike Plaza</w:t>
            </w:r>
          </w:p>
        </w:tc>
        <w:tc>
          <w:tcPr>
            <w:tcW w:w="4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1982/2007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78,919</w:t>
            </w: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Toys R Us / L.A. Fitness</w:t>
            </w:r>
          </w:p>
        </w:tc>
      </w:tr>
      <w:tr>
        <w:trPr>
          <w:trHeight w:val="97"/>
        </w:trPr>
        <w:tc>
          <w:tcPr>
            <w:tcW w:w="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360" w:type="dxa"/>
            <w:vAlign w:val="bottom"/>
            <w:shd w:val="clear" w:color="auto" w:fill="CCEEFF"/>
          </w:tcPr>
          <w:p>
            <w:pPr>
              <w:spacing w:after="0"/>
              <w:rPr>
                <w:sz w:val="8"/>
                <w:szCs w:val="8"/>
                <w:color w:val="auto"/>
              </w:rPr>
            </w:pPr>
          </w:p>
        </w:tc>
      </w:tr>
      <w:tr>
        <w:trPr>
          <w:trHeight w:val="173"/>
        </w:trPr>
        <w:tc>
          <w:tcPr>
            <w:tcW w:w="1340" w:type="dxa"/>
            <w:vAlign w:val="bottom"/>
            <w:gridSpan w:val="2"/>
          </w:tcPr>
          <w:p>
            <w:pPr>
              <w:ind w:left="40"/>
              <w:spacing w:after="0"/>
              <w:rPr>
                <w:sz w:val="20"/>
                <w:szCs w:val="20"/>
                <w:color w:val="auto"/>
              </w:rPr>
            </w:pPr>
            <w:r>
              <w:rPr>
                <w:rFonts w:ascii="Arial" w:cs="Arial" w:eastAsia="Arial" w:hAnsi="Arial"/>
                <w:sz w:val="13"/>
                <w:szCs w:val="13"/>
                <w:color w:val="auto"/>
              </w:rPr>
              <w:t>Montrose Crossing</w:t>
            </w:r>
          </w:p>
        </w:tc>
        <w:tc>
          <w:tcPr>
            <w:tcW w:w="440" w:type="dxa"/>
            <w:vAlign w:val="bottom"/>
          </w:tcPr>
          <w:p>
            <w:pPr>
              <w:jc w:val="right"/>
              <w:ind w:right="97"/>
              <w:spacing w:after="0"/>
              <w:rPr>
                <w:sz w:val="20"/>
                <w:szCs w:val="20"/>
                <w:color w:val="auto"/>
              </w:rPr>
            </w:pPr>
            <w:r>
              <w:rPr>
                <w:rFonts w:ascii="Arial" w:cs="Arial" w:eastAsia="Arial" w:hAnsi="Arial"/>
                <w:sz w:val="13"/>
                <w:szCs w:val="13"/>
                <w:color w:val="auto"/>
              </w:rPr>
              <w:t>(4)</w:t>
            </w:r>
          </w:p>
        </w:tc>
        <w:tc>
          <w:tcPr>
            <w:tcW w:w="1380" w:type="dxa"/>
            <w:vAlign w:val="bottom"/>
            <w:gridSpan w:val="2"/>
          </w:tcPr>
          <w:p>
            <w:pPr>
              <w:ind w:left="2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2011</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140,656</w:t>
            </w: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79,099</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357,000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ind w:left="60"/>
              <w:spacing w:after="0"/>
              <w:rPr>
                <w:sz w:val="20"/>
                <w:szCs w:val="20"/>
                <w:color w:val="auto"/>
              </w:rPr>
            </w:pPr>
            <w:r>
              <w:rPr>
                <w:rFonts w:ascii="Arial" w:cs="Arial" w:eastAsia="Arial" w:hAnsi="Arial"/>
                <w:sz w:val="13"/>
                <w:szCs w:val="13"/>
                <w:color w:val="auto"/>
              </w:rPr>
              <w:t>73,000</w:t>
            </w:r>
          </w:p>
        </w:tc>
        <w:tc>
          <w:tcPr>
            <w:tcW w:w="9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360" w:type="dxa"/>
            <w:vAlign w:val="bottom"/>
          </w:tcPr>
          <w:p>
            <w:pPr>
              <w:ind w:left="80"/>
              <w:spacing w:after="0"/>
              <w:rPr>
                <w:sz w:val="20"/>
                <w:szCs w:val="20"/>
                <w:color w:val="auto"/>
              </w:rPr>
            </w:pPr>
            <w:r>
              <w:rPr>
                <w:rFonts w:ascii="Arial" w:cs="Arial" w:eastAsia="Arial" w:hAnsi="Arial"/>
                <w:sz w:val="13"/>
                <w:szCs w:val="13"/>
                <w:color w:val="auto"/>
                <w:w w:val="96"/>
              </w:rPr>
              <w:t>Marshalls / Sports Authority / Barnes &amp; Noble / A.C. Moore</w:t>
            </w:r>
          </w:p>
        </w:tc>
      </w:tr>
      <w:tr>
        <w:trPr>
          <w:trHeight w:val="97"/>
        </w:trPr>
        <w:tc>
          <w:tcPr>
            <w:tcW w:w="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360" w:type="dxa"/>
            <w:vAlign w:val="bottom"/>
          </w:tcPr>
          <w:p>
            <w:pPr>
              <w:spacing w:after="0"/>
              <w:rPr>
                <w:sz w:val="8"/>
                <w:szCs w:val="8"/>
                <w:color w:val="auto"/>
              </w:rPr>
            </w:pPr>
          </w:p>
        </w:tc>
      </w:tr>
      <w:tr>
        <w:trPr>
          <w:trHeight w:val="148"/>
        </w:trPr>
        <w:tc>
          <w:tcPr>
            <w:tcW w:w="13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Mount Vernon/South</w:t>
            </w:r>
          </w:p>
        </w:tc>
        <w:tc>
          <w:tcPr>
            <w:tcW w:w="440" w:type="dxa"/>
            <w:vAlign w:val="bottom"/>
            <w:shd w:val="clear" w:color="auto" w:fill="CCEEFF"/>
          </w:tcPr>
          <w:p>
            <w:pPr>
              <w:jc w:val="right"/>
              <w:ind w:right="97"/>
              <w:spacing w:after="0" w:line="148" w:lineRule="exact"/>
              <w:rPr>
                <w:sz w:val="20"/>
                <w:szCs w:val="20"/>
                <w:color w:val="auto"/>
              </w:rPr>
            </w:pPr>
            <w:r>
              <w:rPr>
                <w:rFonts w:ascii="Arial" w:cs="Arial" w:eastAsia="Arial" w:hAnsi="Arial"/>
                <w:sz w:val="13"/>
                <w:szCs w:val="13"/>
                <w:color w:val="auto"/>
              </w:rPr>
              <w:t>(5)</w:t>
            </w:r>
          </w:p>
        </w:tc>
        <w:tc>
          <w:tcPr>
            <w:tcW w:w="13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2003-2006</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78,760</w:t>
            </w:r>
          </w:p>
        </w:tc>
        <w:tc>
          <w:tcPr>
            <w:tcW w:w="68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10,253</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572,000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62,000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89"/>
              </w:rPr>
              <w:t>Shoppers Food</w:t>
            </w:r>
          </w:p>
        </w:tc>
        <w:tc>
          <w:tcPr>
            <w:tcW w:w="336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8"/>
              </w:rPr>
              <w:t>Bed, Bath &amp; Beyond / Michaels / Home Depot / TJ Maxx /</w:t>
            </w:r>
          </w:p>
        </w:tc>
      </w:tr>
      <w:tr>
        <w:trPr>
          <w:trHeight w:val="135"/>
        </w:trPr>
        <w:tc>
          <w:tcPr>
            <w:tcW w:w="13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8"/>
              </w:rPr>
              <w:t>Valley/7770 Richmond</w:t>
            </w: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Warehouse</w:t>
            </w:r>
          </w:p>
        </w:tc>
        <w:tc>
          <w:tcPr>
            <w:tcW w:w="33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Gold's Gym / Staples</w:t>
            </w:r>
          </w:p>
        </w:tc>
      </w:tr>
      <w:tr>
        <w:trPr>
          <w:trHeight w:val="176"/>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Hwy</w:t>
            </w: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r>
      <w:tr>
        <w:trPr>
          <w:trHeight w:val="173"/>
        </w:trPr>
        <w:tc>
          <w:tcPr>
            <w:tcW w:w="1340" w:type="dxa"/>
            <w:vAlign w:val="bottom"/>
            <w:gridSpan w:val="2"/>
          </w:tcPr>
          <w:p>
            <w:pPr>
              <w:ind w:left="40"/>
              <w:spacing w:after="0"/>
              <w:rPr>
                <w:sz w:val="20"/>
                <w:szCs w:val="20"/>
                <w:color w:val="auto"/>
              </w:rPr>
            </w:pPr>
            <w:r>
              <w:rPr>
                <w:rFonts w:ascii="Arial" w:cs="Arial" w:eastAsia="Arial" w:hAnsi="Arial"/>
                <w:sz w:val="13"/>
                <w:szCs w:val="13"/>
                <w:color w:val="auto"/>
              </w:rPr>
              <w:t>Old Keene Mill</w:t>
            </w:r>
          </w:p>
        </w:tc>
        <w:tc>
          <w:tcPr>
            <w:tcW w:w="44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1976</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6,461</w:t>
            </w:r>
          </w:p>
        </w:tc>
        <w:tc>
          <w:tcPr>
            <w:tcW w:w="6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92,000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ind w:left="60"/>
              <w:spacing w:after="0"/>
              <w:rPr>
                <w:sz w:val="20"/>
                <w:szCs w:val="20"/>
                <w:color w:val="auto"/>
              </w:rPr>
            </w:pPr>
            <w:r>
              <w:rPr>
                <w:rFonts w:ascii="Arial" w:cs="Arial" w:eastAsia="Arial" w:hAnsi="Arial"/>
                <w:sz w:val="13"/>
                <w:szCs w:val="13"/>
                <w:color w:val="auto"/>
              </w:rPr>
              <w:t>24,000</w:t>
            </w:r>
          </w:p>
        </w:tc>
        <w:tc>
          <w:tcPr>
            <w:tcW w:w="900" w:type="dxa"/>
            <w:vAlign w:val="bottom"/>
          </w:tcPr>
          <w:p>
            <w:pPr>
              <w:ind w:left="80"/>
              <w:spacing w:after="0"/>
              <w:rPr>
                <w:sz w:val="20"/>
                <w:szCs w:val="20"/>
                <w:color w:val="auto"/>
              </w:rPr>
            </w:pPr>
            <w:r>
              <w:rPr>
                <w:rFonts w:ascii="Arial" w:cs="Arial" w:eastAsia="Arial" w:hAnsi="Arial"/>
                <w:sz w:val="13"/>
                <w:szCs w:val="13"/>
                <w:color w:val="auto"/>
              </w:rPr>
              <w:t>Whole Foods</w:t>
            </w:r>
          </w:p>
        </w:tc>
        <w:tc>
          <w:tcPr>
            <w:tcW w:w="3360" w:type="dxa"/>
            <w:vAlign w:val="bottom"/>
          </w:tcPr>
          <w:p>
            <w:pPr>
              <w:ind w:left="80"/>
              <w:spacing w:after="0"/>
              <w:rPr>
                <w:sz w:val="20"/>
                <w:szCs w:val="20"/>
                <w:color w:val="auto"/>
              </w:rPr>
            </w:pPr>
            <w:r>
              <w:rPr>
                <w:rFonts w:ascii="Arial" w:cs="Arial" w:eastAsia="Arial" w:hAnsi="Arial"/>
                <w:sz w:val="13"/>
                <w:szCs w:val="13"/>
                <w:color w:val="auto"/>
              </w:rPr>
              <w:t>Walgreens</w:t>
            </w:r>
          </w:p>
        </w:tc>
      </w:tr>
      <w:tr>
        <w:trPr>
          <w:trHeight w:val="97"/>
        </w:trPr>
        <w:tc>
          <w:tcPr>
            <w:tcW w:w="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360" w:type="dxa"/>
            <w:vAlign w:val="bottom"/>
          </w:tcPr>
          <w:p>
            <w:pPr>
              <w:spacing w:after="0"/>
              <w:rPr>
                <w:sz w:val="8"/>
                <w:szCs w:val="8"/>
                <w:color w:val="auto"/>
              </w:rPr>
            </w:pPr>
          </w:p>
        </w:tc>
      </w:tr>
      <w:tr>
        <w:trPr>
          <w:trHeight w:val="17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Pan Am</w:t>
            </w:r>
          </w:p>
        </w:tc>
        <w:tc>
          <w:tcPr>
            <w:tcW w:w="4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28,555</w:t>
            </w: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63,000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Safeway</w:t>
            </w:r>
          </w:p>
        </w:tc>
        <w:tc>
          <w:tcPr>
            <w:tcW w:w="3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Micro Center / Michaels</w:t>
            </w:r>
          </w:p>
        </w:tc>
      </w:tr>
      <w:tr>
        <w:trPr>
          <w:trHeight w:val="97"/>
        </w:trPr>
        <w:tc>
          <w:tcPr>
            <w:tcW w:w="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360" w:type="dxa"/>
            <w:vAlign w:val="bottom"/>
            <w:shd w:val="clear" w:color="auto" w:fill="CCEEFF"/>
          </w:tcPr>
          <w:p>
            <w:pPr>
              <w:spacing w:after="0"/>
              <w:rPr>
                <w:sz w:val="8"/>
                <w:szCs w:val="8"/>
                <w:color w:val="auto"/>
              </w:rPr>
            </w:pPr>
          </w:p>
        </w:tc>
      </w:tr>
      <w:tr>
        <w:trPr>
          <w:trHeight w:val="173"/>
        </w:trPr>
        <w:tc>
          <w:tcPr>
            <w:tcW w:w="1340" w:type="dxa"/>
            <w:vAlign w:val="bottom"/>
            <w:gridSpan w:val="2"/>
          </w:tcPr>
          <w:p>
            <w:pPr>
              <w:ind w:left="40"/>
              <w:spacing w:after="0"/>
              <w:rPr>
                <w:sz w:val="20"/>
                <w:szCs w:val="20"/>
                <w:color w:val="auto"/>
              </w:rPr>
            </w:pPr>
            <w:r>
              <w:rPr>
                <w:rFonts w:ascii="Arial" w:cs="Arial" w:eastAsia="Arial" w:hAnsi="Arial"/>
                <w:sz w:val="13"/>
                <w:szCs w:val="13"/>
                <w:color w:val="auto"/>
              </w:rPr>
              <w:t>Pentagon Row</w:t>
            </w:r>
          </w:p>
        </w:tc>
        <w:tc>
          <w:tcPr>
            <w:tcW w:w="44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1998/2010</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89,229</w:t>
            </w: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51,879</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296,000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ind w:left="60"/>
              <w:spacing w:after="0"/>
              <w:rPr>
                <w:sz w:val="20"/>
                <w:szCs w:val="20"/>
                <w:color w:val="auto"/>
              </w:rPr>
            </w:pPr>
            <w:r>
              <w:rPr>
                <w:rFonts w:ascii="Arial" w:cs="Arial" w:eastAsia="Arial" w:hAnsi="Arial"/>
                <w:sz w:val="13"/>
                <w:szCs w:val="13"/>
                <w:color w:val="auto"/>
              </w:rPr>
              <w:t>45,000</w:t>
            </w:r>
          </w:p>
        </w:tc>
        <w:tc>
          <w:tcPr>
            <w:tcW w:w="900" w:type="dxa"/>
            <w:vAlign w:val="bottom"/>
          </w:tcPr>
          <w:p>
            <w:pPr>
              <w:ind w:left="80"/>
              <w:spacing w:after="0"/>
              <w:rPr>
                <w:sz w:val="20"/>
                <w:szCs w:val="20"/>
                <w:color w:val="auto"/>
              </w:rPr>
            </w:pPr>
            <w:r>
              <w:rPr>
                <w:rFonts w:ascii="Arial" w:cs="Arial" w:eastAsia="Arial" w:hAnsi="Arial"/>
                <w:sz w:val="13"/>
                <w:szCs w:val="13"/>
                <w:color w:val="auto"/>
              </w:rPr>
              <w:t>Harris Teeter</w:t>
            </w:r>
          </w:p>
        </w:tc>
        <w:tc>
          <w:tcPr>
            <w:tcW w:w="3360" w:type="dxa"/>
            <w:vAlign w:val="bottom"/>
          </w:tcPr>
          <w:p>
            <w:pPr>
              <w:ind w:left="80"/>
              <w:spacing w:after="0"/>
              <w:rPr>
                <w:sz w:val="20"/>
                <w:szCs w:val="20"/>
                <w:color w:val="auto"/>
              </w:rPr>
            </w:pPr>
            <w:r>
              <w:rPr>
                <w:rFonts w:ascii="Arial" w:cs="Arial" w:eastAsia="Arial" w:hAnsi="Arial"/>
                <w:sz w:val="13"/>
                <w:szCs w:val="13"/>
                <w:color w:val="auto"/>
              </w:rPr>
              <w:t>L.A. Fitness / Bed, Bath &amp; Beyond / DSW</w:t>
            </w:r>
          </w:p>
        </w:tc>
      </w:tr>
      <w:tr>
        <w:trPr>
          <w:trHeight w:val="97"/>
        </w:trPr>
        <w:tc>
          <w:tcPr>
            <w:tcW w:w="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360" w:type="dxa"/>
            <w:vAlign w:val="bottom"/>
          </w:tcPr>
          <w:p>
            <w:pPr>
              <w:spacing w:after="0"/>
              <w:rPr>
                <w:sz w:val="8"/>
                <w:szCs w:val="8"/>
                <w:color w:val="auto"/>
              </w:rPr>
            </w:pPr>
          </w:p>
        </w:tc>
      </w:tr>
      <w:tr>
        <w:trPr>
          <w:trHeight w:val="17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Pike 7</w:t>
            </w:r>
          </w:p>
        </w:tc>
        <w:tc>
          <w:tcPr>
            <w:tcW w:w="4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35,767</w:t>
            </w: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DSW / Staples / TJ Maxx</w:t>
            </w:r>
          </w:p>
        </w:tc>
      </w:tr>
      <w:tr>
        <w:trPr>
          <w:trHeight w:val="97"/>
        </w:trPr>
        <w:tc>
          <w:tcPr>
            <w:tcW w:w="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360" w:type="dxa"/>
            <w:vAlign w:val="bottom"/>
            <w:shd w:val="clear" w:color="auto" w:fill="CCEEFF"/>
          </w:tcPr>
          <w:p>
            <w:pPr>
              <w:spacing w:after="0"/>
              <w:rPr>
                <w:sz w:val="8"/>
                <w:szCs w:val="8"/>
                <w:color w:val="auto"/>
              </w:rPr>
            </w:pPr>
          </w:p>
        </w:tc>
      </w:tr>
      <w:tr>
        <w:trPr>
          <w:trHeight w:val="173"/>
        </w:trPr>
        <w:tc>
          <w:tcPr>
            <w:tcW w:w="1340" w:type="dxa"/>
            <w:vAlign w:val="bottom"/>
            <w:gridSpan w:val="2"/>
          </w:tcPr>
          <w:p>
            <w:pPr>
              <w:ind w:left="40"/>
              <w:spacing w:after="0"/>
              <w:rPr>
                <w:sz w:val="20"/>
                <w:szCs w:val="20"/>
                <w:color w:val="auto"/>
              </w:rPr>
            </w:pPr>
            <w:r>
              <w:rPr>
                <w:rFonts w:ascii="Arial" w:cs="Arial" w:eastAsia="Arial" w:hAnsi="Arial"/>
                <w:sz w:val="13"/>
                <w:szCs w:val="13"/>
                <w:color w:val="auto"/>
              </w:rPr>
              <w:t>Quince Orchard</w:t>
            </w:r>
          </w:p>
        </w:tc>
        <w:tc>
          <w:tcPr>
            <w:tcW w:w="44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26,364</w:t>
            </w:r>
          </w:p>
        </w:tc>
        <w:tc>
          <w:tcPr>
            <w:tcW w:w="6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248,000</w:t>
            </w:r>
          </w:p>
        </w:tc>
        <w:tc>
          <w:tcPr>
            <w:tcW w:w="500" w:type="dxa"/>
            <w:vAlign w:val="bottom"/>
          </w:tcPr>
          <w:p>
            <w:pPr>
              <w:jc w:val="right"/>
              <w:spacing w:after="0"/>
              <w:rPr>
                <w:sz w:val="20"/>
                <w:szCs w:val="20"/>
                <w:color w:val="auto"/>
              </w:rPr>
            </w:pPr>
            <w:r>
              <w:rPr>
                <w:rFonts w:ascii="Arial" w:cs="Arial" w:eastAsia="Arial" w:hAnsi="Arial"/>
                <w:sz w:val="13"/>
                <w:szCs w:val="13"/>
                <w:color w:val="auto"/>
              </w:rPr>
              <w:t>77%</w:t>
            </w:r>
          </w:p>
        </w:tc>
        <w:tc>
          <w:tcPr>
            <w:tcW w:w="600" w:type="dxa"/>
            <w:vAlign w:val="bottom"/>
          </w:tcPr>
          <w:p>
            <w:pPr>
              <w:ind w:left="60"/>
              <w:spacing w:after="0"/>
              <w:rPr>
                <w:sz w:val="20"/>
                <w:szCs w:val="20"/>
                <w:color w:val="auto"/>
              </w:rPr>
            </w:pPr>
            <w:r>
              <w:rPr>
                <w:rFonts w:ascii="Arial" w:cs="Arial" w:eastAsia="Arial" w:hAnsi="Arial"/>
                <w:sz w:val="13"/>
                <w:szCs w:val="13"/>
                <w:color w:val="auto"/>
              </w:rPr>
              <w:t>24,000</w:t>
            </w:r>
          </w:p>
        </w:tc>
        <w:tc>
          <w:tcPr>
            <w:tcW w:w="900" w:type="dxa"/>
            <w:vAlign w:val="bottom"/>
          </w:tcPr>
          <w:p>
            <w:pPr>
              <w:ind w:left="80"/>
              <w:spacing w:after="0"/>
              <w:rPr>
                <w:sz w:val="20"/>
                <w:szCs w:val="20"/>
                <w:color w:val="auto"/>
              </w:rPr>
            </w:pPr>
            <w:r>
              <w:rPr>
                <w:rFonts w:ascii="Arial" w:cs="Arial" w:eastAsia="Arial" w:hAnsi="Arial"/>
                <w:sz w:val="13"/>
                <w:szCs w:val="13"/>
                <w:color w:val="auto"/>
              </w:rPr>
              <w:t>Magruders</w:t>
            </w:r>
          </w:p>
        </w:tc>
        <w:tc>
          <w:tcPr>
            <w:tcW w:w="3360" w:type="dxa"/>
            <w:vAlign w:val="bottom"/>
          </w:tcPr>
          <w:p>
            <w:pPr>
              <w:ind w:left="80"/>
              <w:spacing w:after="0"/>
              <w:rPr>
                <w:sz w:val="20"/>
                <w:szCs w:val="20"/>
                <w:color w:val="auto"/>
              </w:rPr>
            </w:pPr>
            <w:r>
              <w:rPr>
                <w:rFonts w:ascii="Arial" w:cs="Arial" w:eastAsia="Arial" w:hAnsi="Arial"/>
                <w:sz w:val="13"/>
                <w:szCs w:val="13"/>
                <w:color w:val="auto"/>
              </w:rPr>
              <w:t>L.A. Fitness / Staples</w:t>
            </w:r>
          </w:p>
        </w:tc>
      </w:tr>
      <w:tr>
        <w:trPr>
          <w:trHeight w:val="97"/>
        </w:trPr>
        <w:tc>
          <w:tcPr>
            <w:tcW w:w="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360" w:type="dxa"/>
            <w:vAlign w:val="bottom"/>
          </w:tcPr>
          <w:p>
            <w:pPr>
              <w:spacing w:after="0"/>
              <w:rPr>
                <w:sz w:val="8"/>
                <w:szCs w:val="8"/>
                <w:color w:val="auto"/>
              </w:rPr>
            </w:pPr>
          </w:p>
        </w:tc>
      </w:tr>
      <w:tr>
        <w:trPr>
          <w:trHeight w:val="148"/>
        </w:trPr>
        <w:tc>
          <w:tcPr>
            <w:tcW w:w="13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6"/>
              </w:rPr>
              <w:t>Rockville Town Square</w:t>
            </w:r>
          </w:p>
        </w:tc>
        <w:tc>
          <w:tcPr>
            <w:tcW w:w="440" w:type="dxa"/>
            <w:vAlign w:val="bottom"/>
            <w:shd w:val="clear" w:color="auto" w:fill="CCEEFF"/>
          </w:tcPr>
          <w:p>
            <w:pPr>
              <w:jc w:val="right"/>
              <w:ind w:right="97"/>
              <w:spacing w:after="0" w:line="148" w:lineRule="exact"/>
              <w:rPr>
                <w:sz w:val="20"/>
                <w:szCs w:val="20"/>
                <w:color w:val="auto"/>
              </w:rPr>
            </w:pPr>
            <w:r>
              <w:rPr>
                <w:rFonts w:ascii="Arial" w:cs="Arial" w:eastAsia="Arial" w:hAnsi="Arial"/>
                <w:sz w:val="13"/>
                <w:szCs w:val="13"/>
                <w:color w:val="auto"/>
              </w:rPr>
              <w:t>(3)</w:t>
            </w:r>
          </w:p>
        </w:tc>
        <w:tc>
          <w:tcPr>
            <w:tcW w:w="13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2006-2007</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49,775</w:t>
            </w:r>
          </w:p>
        </w:tc>
        <w:tc>
          <w:tcPr>
            <w:tcW w:w="68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4,542</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181,000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25,000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Dawson's</w:t>
            </w:r>
          </w:p>
        </w:tc>
        <w:tc>
          <w:tcPr>
            <w:tcW w:w="336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CVS / Gold's Gym</w:t>
            </w:r>
          </w:p>
        </w:tc>
      </w:tr>
      <w:tr>
        <w:trPr>
          <w:trHeight w:val="176"/>
        </w:trPr>
        <w:tc>
          <w:tcPr>
            <w:tcW w:w="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w:t>
            </w:r>
          </w:p>
        </w:tc>
        <w:tc>
          <w:tcPr>
            <w:tcW w:w="3360" w:type="dxa"/>
            <w:vAlign w:val="bottom"/>
            <w:shd w:val="clear" w:color="auto" w:fill="CCEEFF"/>
          </w:tcPr>
          <w:p>
            <w:pPr>
              <w:spacing w:after="0"/>
              <w:rPr>
                <w:sz w:val="15"/>
                <w:szCs w:val="15"/>
                <w:color w:val="auto"/>
              </w:rPr>
            </w:pPr>
          </w:p>
        </w:tc>
      </w:tr>
      <w:tr>
        <w:trPr>
          <w:trHeight w:val="148"/>
        </w:trPr>
        <w:tc>
          <w:tcPr>
            <w:tcW w:w="13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Rollingwood</w:t>
            </w:r>
          </w:p>
        </w:tc>
        <w:tc>
          <w:tcPr>
            <w:tcW w:w="440" w:type="dxa"/>
            <w:vAlign w:val="bottom"/>
          </w:tcPr>
          <w:p>
            <w:pPr>
              <w:spacing w:after="0"/>
              <w:rPr>
                <w:sz w:val="12"/>
                <w:szCs w:val="12"/>
                <w:color w:val="auto"/>
              </w:rPr>
            </w:pPr>
          </w:p>
        </w:tc>
        <w:tc>
          <w:tcPr>
            <w:tcW w:w="138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1971</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8,929</w:t>
            </w:r>
          </w:p>
        </w:tc>
        <w:tc>
          <w:tcPr>
            <w:tcW w:w="6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22,980</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N/A</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360" w:type="dxa"/>
            <w:vAlign w:val="bottom"/>
          </w:tcPr>
          <w:p>
            <w:pPr>
              <w:spacing w:after="0"/>
              <w:rPr>
                <w:sz w:val="12"/>
                <w:szCs w:val="12"/>
                <w:color w:val="auto"/>
              </w:rPr>
            </w:pPr>
          </w:p>
        </w:tc>
      </w:tr>
      <w:tr>
        <w:trPr>
          <w:trHeight w:val="168"/>
        </w:trPr>
        <w:tc>
          <w:tcPr>
            <w:tcW w:w="1340" w:type="dxa"/>
            <w:vAlign w:val="bottom"/>
            <w:gridSpan w:val="2"/>
          </w:tcPr>
          <w:p>
            <w:pPr>
              <w:ind w:left="40"/>
              <w:spacing w:after="0"/>
              <w:rPr>
                <w:sz w:val="20"/>
                <w:szCs w:val="20"/>
                <w:color w:val="auto"/>
              </w:rPr>
            </w:pPr>
            <w:r>
              <w:rPr>
                <w:rFonts w:ascii="Arial" w:cs="Arial" w:eastAsia="Arial" w:hAnsi="Arial"/>
                <w:sz w:val="13"/>
                <w:szCs w:val="13"/>
                <w:color w:val="auto"/>
              </w:rPr>
              <w:t>Apartments</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181"/>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Sam's Park &amp; Shop</w:t>
            </w:r>
          </w:p>
        </w:tc>
        <w:tc>
          <w:tcPr>
            <w:tcW w:w="4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12,848</w:t>
            </w: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Petco</w:t>
            </w:r>
          </w:p>
        </w:tc>
      </w:tr>
      <w:tr>
        <w:trPr>
          <w:trHeight w:val="97"/>
        </w:trPr>
        <w:tc>
          <w:tcPr>
            <w:tcW w:w="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360" w:type="dxa"/>
            <w:vAlign w:val="bottom"/>
            <w:shd w:val="clear" w:color="auto" w:fill="CCEEFF"/>
          </w:tcPr>
          <w:p>
            <w:pPr>
              <w:spacing w:after="0"/>
              <w:rPr>
                <w:sz w:val="8"/>
                <w:szCs w:val="8"/>
                <w:color w:val="auto"/>
              </w:rPr>
            </w:pPr>
          </w:p>
        </w:tc>
      </w:tr>
      <w:tr>
        <w:trPr>
          <w:trHeight w:val="173"/>
        </w:trPr>
        <w:tc>
          <w:tcPr>
            <w:tcW w:w="1340" w:type="dxa"/>
            <w:vAlign w:val="bottom"/>
            <w:gridSpan w:val="2"/>
          </w:tcPr>
          <w:p>
            <w:pPr>
              <w:ind w:left="40"/>
              <w:spacing w:after="0"/>
              <w:rPr>
                <w:sz w:val="20"/>
                <w:szCs w:val="20"/>
                <w:color w:val="auto"/>
              </w:rPr>
            </w:pPr>
            <w:r>
              <w:rPr>
                <w:rFonts w:ascii="Arial" w:cs="Arial" w:eastAsia="Arial" w:hAnsi="Arial"/>
                <w:sz w:val="13"/>
                <w:szCs w:val="13"/>
                <w:color w:val="auto"/>
              </w:rPr>
              <w:t>Tower</w:t>
            </w:r>
          </w:p>
        </w:tc>
        <w:tc>
          <w:tcPr>
            <w:tcW w:w="44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21,150</w:t>
            </w:r>
          </w:p>
        </w:tc>
        <w:tc>
          <w:tcPr>
            <w:tcW w:w="6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112,000</w:t>
            </w:r>
          </w:p>
        </w:tc>
        <w:tc>
          <w:tcPr>
            <w:tcW w:w="500" w:type="dxa"/>
            <w:vAlign w:val="bottom"/>
          </w:tcPr>
          <w:p>
            <w:pPr>
              <w:jc w:val="right"/>
              <w:spacing w:after="0"/>
              <w:rPr>
                <w:sz w:val="20"/>
                <w:szCs w:val="20"/>
                <w:color w:val="auto"/>
              </w:rPr>
            </w:pPr>
            <w:r>
              <w:rPr>
                <w:rFonts w:ascii="Arial" w:cs="Arial" w:eastAsia="Arial" w:hAnsi="Arial"/>
                <w:sz w:val="13"/>
                <w:szCs w:val="13"/>
                <w:color w:val="auto"/>
              </w:rPr>
              <w:t>89%</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360" w:type="dxa"/>
            <w:vAlign w:val="bottom"/>
          </w:tcPr>
          <w:p>
            <w:pPr>
              <w:ind w:left="80"/>
              <w:spacing w:after="0"/>
              <w:rPr>
                <w:sz w:val="20"/>
                <w:szCs w:val="20"/>
                <w:color w:val="auto"/>
              </w:rPr>
            </w:pPr>
            <w:r>
              <w:rPr>
                <w:rFonts w:ascii="Arial" w:cs="Arial" w:eastAsia="Arial" w:hAnsi="Arial"/>
                <w:sz w:val="13"/>
                <w:szCs w:val="13"/>
                <w:color w:val="auto"/>
              </w:rPr>
              <w:t>Talbots</w:t>
            </w:r>
          </w:p>
        </w:tc>
      </w:tr>
      <w:tr>
        <w:trPr>
          <w:trHeight w:val="97"/>
        </w:trPr>
        <w:tc>
          <w:tcPr>
            <w:tcW w:w="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360" w:type="dxa"/>
            <w:vAlign w:val="bottom"/>
          </w:tcPr>
          <w:p>
            <w:pPr>
              <w:spacing w:after="0"/>
              <w:rPr>
                <w:sz w:val="8"/>
                <w:szCs w:val="8"/>
                <w:color w:val="auto"/>
              </w:rPr>
            </w:pPr>
          </w:p>
        </w:tc>
      </w:tr>
      <w:tr>
        <w:trPr>
          <w:trHeight w:val="17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Tyson's Station</w:t>
            </w:r>
          </w:p>
        </w:tc>
        <w:tc>
          <w:tcPr>
            <w:tcW w:w="4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4,043</w:t>
            </w: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11,000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Trader Joe's</w:t>
            </w:r>
          </w:p>
        </w:tc>
        <w:tc>
          <w:tcPr>
            <w:tcW w:w="336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360" w:type="dxa"/>
            <w:vAlign w:val="bottom"/>
            <w:shd w:val="clear" w:color="auto" w:fill="CCEEFF"/>
          </w:tcPr>
          <w:p>
            <w:pPr>
              <w:spacing w:after="0"/>
              <w:rPr>
                <w:sz w:val="8"/>
                <w:szCs w:val="8"/>
                <w:color w:val="auto"/>
              </w:rPr>
            </w:pPr>
          </w:p>
        </w:tc>
      </w:tr>
      <w:tr>
        <w:trPr>
          <w:trHeight w:val="173"/>
        </w:trPr>
        <w:tc>
          <w:tcPr>
            <w:tcW w:w="1340" w:type="dxa"/>
            <w:vAlign w:val="bottom"/>
            <w:gridSpan w:val="2"/>
          </w:tcPr>
          <w:p>
            <w:pPr>
              <w:ind w:left="40"/>
              <w:spacing w:after="0"/>
              <w:rPr>
                <w:sz w:val="20"/>
                <w:szCs w:val="20"/>
                <w:color w:val="auto"/>
              </w:rPr>
            </w:pPr>
            <w:r>
              <w:rPr>
                <w:rFonts w:ascii="Arial" w:cs="Arial" w:eastAsia="Arial" w:hAnsi="Arial"/>
                <w:sz w:val="13"/>
                <w:szCs w:val="13"/>
                <w:color w:val="auto"/>
              </w:rPr>
              <w:t>Village at Shirlington</w:t>
            </w:r>
          </w:p>
        </w:tc>
        <w:tc>
          <w:tcPr>
            <w:tcW w:w="440" w:type="dxa"/>
            <w:vAlign w:val="bottom"/>
          </w:tcPr>
          <w:p>
            <w:pPr>
              <w:jc w:val="right"/>
              <w:ind w:right="97"/>
              <w:spacing w:after="0"/>
              <w:rPr>
                <w:sz w:val="20"/>
                <w:szCs w:val="20"/>
                <w:color w:val="auto"/>
              </w:rPr>
            </w:pPr>
            <w:r>
              <w:rPr>
                <w:rFonts w:ascii="Arial" w:cs="Arial" w:eastAsia="Arial" w:hAnsi="Arial"/>
                <w:sz w:val="13"/>
                <w:szCs w:val="13"/>
                <w:color w:val="auto"/>
              </w:rPr>
              <w:t>(3)</w:t>
            </w:r>
          </w:p>
        </w:tc>
        <w:tc>
          <w:tcPr>
            <w:tcW w:w="1380" w:type="dxa"/>
            <w:vAlign w:val="bottom"/>
            <w:gridSpan w:val="2"/>
          </w:tcPr>
          <w:p>
            <w:pPr>
              <w:ind w:left="2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1995</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57,341</w:t>
            </w: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6,393</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261,000</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ind w:left="60"/>
              <w:spacing w:after="0"/>
              <w:rPr>
                <w:sz w:val="20"/>
                <w:szCs w:val="20"/>
                <w:color w:val="auto"/>
              </w:rPr>
            </w:pPr>
            <w:r>
              <w:rPr>
                <w:rFonts w:ascii="Arial" w:cs="Arial" w:eastAsia="Arial" w:hAnsi="Arial"/>
                <w:sz w:val="13"/>
                <w:szCs w:val="13"/>
                <w:color w:val="auto"/>
              </w:rPr>
              <w:t>28,000</w:t>
            </w:r>
          </w:p>
        </w:tc>
        <w:tc>
          <w:tcPr>
            <w:tcW w:w="900" w:type="dxa"/>
            <w:vAlign w:val="bottom"/>
          </w:tcPr>
          <w:p>
            <w:pPr>
              <w:ind w:left="80"/>
              <w:spacing w:after="0"/>
              <w:rPr>
                <w:sz w:val="20"/>
                <w:szCs w:val="20"/>
                <w:color w:val="auto"/>
              </w:rPr>
            </w:pPr>
            <w:r>
              <w:rPr>
                <w:rFonts w:ascii="Arial" w:cs="Arial" w:eastAsia="Arial" w:hAnsi="Arial"/>
                <w:sz w:val="13"/>
                <w:szCs w:val="13"/>
                <w:color w:val="auto"/>
              </w:rPr>
              <w:t>Harris Teeter</w:t>
            </w:r>
          </w:p>
        </w:tc>
        <w:tc>
          <w:tcPr>
            <w:tcW w:w="3360" w:type="dxa"/>
            <w:vAlign w:val="bottom"/>
          </w:tcPr>
          <w:p>
            <w:pPr>
              <w:ind w:left="80"/>
              <w:spacing w:after="0"/>
              <w:rPr>
                <w:sz w:val="20"/>
                <w:szCs w:val="20"/>
                <w:color w:val="auto"/>
              </w:rPr>
            </w:pPr>
            <w:r>
              <w:rPr>
                <w:rFonts w:ascii="Arial" w:cs="Arial" w:eastAsia="Arial" w:hAnsi="Arial"/>
                <w:sz w:val="13"/>
                <w:szCs w:val="13"/>
                <w:color w:val="auto"/>
              </w:rPr>
              <w:t>AMC Loews / Carlyle Grand Café</w:t>
            </w:r>
          </w:p>
        </w:tc>
      </w:tr>
      <w:tr>
        <w:trPr>
          <w:trHeight w:val="97"/>
        </w:trPr>
        <w:tc>
          <w:tcPr>
            <w:tcW w:w="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360" w:type="dxa"/>
            <w:vAlign w:val="bottom"/>
          </w:tcPr>
          <w:p>
            <w:pPr>
              <w:spacing w:after="0"/>
              <w:rPr>
                <w:sz w:val="8"/>
                <w:szCs w:val="8"/>
                <w:color w:val="auto"/>
              </w:rPr>
            </w:pPr>
          </w:p>
        </w:tc>
      </w:tr>
      <w:tr>
        <w:trPr>
          <w:trHeight w:val="17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Wildwood</w:t>
            </w:r>
          </w:p>
        </w:tc>
        <w:tc>
          <w:tcPr>
            <w:tcW w:w="4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1969</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18,302</w:t>
            </w: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23,867</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20,000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Balducci's</w:t>
            </w:r>
          </w:p>
        </w:tc>
        <w:tc>
          <w:tcPr>
            <w:tcW w:w="3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60" w:type="dxa"/>
            <w:vAlign w:val="bottom"/>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36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00" w:type="dxa"/>
            <w:vAlign w:val="bottom"/>
            <w:gridSpan w:val="3"/>
          </w:tcPr>
          <w:p>
            <w:pPr>
              <w:ind w:left="20"/>
              <w:spacing w:after="0"/>
              <w:rPr>
                <w:sz w:val="20"/>
                <w:szCs w:val="20"/>
                <w:color w:val="auto"/>
              </w:rPr>
            </w:pPr>
            <w:r>
              <w:rPr>
                <w:rFonts w:ascii="Arial" w:cs="Arial" w:eastAsia="Arial" w:hAnsi="Arial"/>
                <w:sz w:val="13"/>
                <w:szCs w:val="13"/>
                <w:b w:val="1"/>
                <w:bCs w:val="1"/>
                <w:color w:val="auto"/>
              </w:rPr>
              <w:t>Total Washington Metropolitan Area</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w w:val="93"/>
              </w:rPr>
              <w:t>1,226,229</w:t>
            </w:r>
          </w:p>
        </w:tc>
        <w:tc>
          <w:tcPr>
            <w:tcW w:w="6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5,400,000</w:t>
            </w:r>
          </w:p>
        </w:tc>
        <w:tc>
          <w:tcPr>
            <w:tcW w:w="50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174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36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312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rPr>
              <w:t>Philadelphia Metropolitan Area</w:t>
            </w:r>
          </w:p>
        </w:tc>
        <w:tc>
          <w:tcPr>
            <w:tcW w:w="9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130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34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3360" w:type="dxa"/>
            <w:vAlign w:val="bottom"/>
            <w:tcBorders>
              <w:top w:val="single" w:sz="8" w:color="CCEEFF"/>
            </w:tcBorders>
            <w:shd w:val="clear" w:color="auto" w:fill="CCEEFF"/>
          </w:tcPr>
          <w:p>
            <w:pPr>
              <w:spacing w:after="0"/>
              <w:rPr>
                <w:sz w:val="8"/>
                <w:szCs w:val="8"/>
                <w:color w:val="auto"/>
              </w:rPr>
            </w:pPr>
          </w:p>
        </w:tc>
      </w:tr>
      <w:tr>
        <w:trPr>
          <w:trHeight w:val="173"/>
        </w:trPr>
        <w:tc>
          <w:tcPr>
            <w:tcW w:w="1340" w:type="dxa"/>
            <w:vAlign w:val="bottom"/>
            <w:gridSpan w:val="2"/>
          </w:tcPr>
          <w:p>
            <w:pPr>
              <w:ind w:left="40"/>
              <w:spacing w:after="0"/>
              <w:rPr>
                <w:sz w:val="20"/>
                <w:szCs w:val="20"/>
                <w:color w:val="auto"/>
              </w:rPr>
            </w:pPr>
            <w:r>
              <w:rPr>
                <w:rFonts w:ascii="Arial" w:cs="Arial" w:eastAsia="Arial" w:hAnsi="Arial"/>
                <w:sz w:val="13"/>
                <w:szCs w:val="13"/>
                <w:color w:val="auto"/>
              </w:rPr>
              <w:t>Andorra</w:t>
            </w:r>
          </w:p>
        </w:tc>
        <w:tc>
          <w:tcPr>
            <w:tcW w:w="44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Philadelphia, PA-NJ</w:t>
            </w:r>
          </w:p>
        </w:tc>
        <w:tc>
          <w:tcPr>
            <w:tcW w:w="920" w:type="dxa"/>
            <w:vAlign w:val="bottom"/>
          </w:tcPr>
          <w:p>
            <w:pPr>
              <w:jc w:val="right"/>
              <w:spacing w:after="0"/>
              <w:rPr>
                <w:sz w:val="20"/>
                <w:szCs w:val="20"/>
                <w:color w:val="auto"/>
              </w:rPr>
            </w:pPr>
            <w:r>
              <w:rPr>
                <w:rFonts w:ascii="Arial" w:cs="Arial" w:eastAsia="Arial" w:hAnsi="Arial"/>
                <w:sz w:val="13"/>
                <w:szCs w:val="13"/>
                <w:color w:val="auto"/>
              </w:rPr>
              <w:t>1988</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25,170</w:t>
            </w:r>
          </w:p>
        </w:tc>
        <w:tc>
          <w:tcPr>
            <w:tcW w:w="6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267,000</w:t>
            </w: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600" w:type="dxa"/>
            <w:vAlign w:val="bottom"/>
          </w:tcPr>
          <w:p>
            <w:pPr>
              <w:ind w:left="60"/>
              <w:spacing w:after="0"/>
              <w:rPr>
                <w:sz w:val="20"/>
                <w:szCs w:val="20"/>
                <w:color w:val="auto"/>
              </w:rPr>
            </w:pPr>
            <w:r>
              <w:rPr>
                <w:rFonts w:ascii="Arial" w:cs="Arial" w:eastAsia="Arial" w:hAnsi="Arial"/>
                <w:sz w:val="13"/>
                <w:szCs w:val="13"/>
                <w:color w:val="auto"/>
              </w:rPr>
              <w:t>24,000</w:t>
            </w:r>
          </w:p>
        </w:tc>
        <w:tc>
          <w:tcPr>
            <w:tcW w:w="900" w:type="dxa"/>
            <w:vAlign w:val="bottom"/>
          </w:tcPr>
          <w:p>
            <w:pPr>
              <w:ind w:left="80"/>
              <w:spacing w:after="0"/>
              <w:rPr>
                <w:sz w:val="20"/>
                <w:szCs w:val="20"/>
                <w:color w:val="auto"/>
              </w:rPr>
            </w:pPr>
            <w:r>
              <w:rPr>
                <w:rFonts w:ascii="Arial" w:cs="Arial" w:eastAsia="Arial" w:hAnsi="Arial"/>
                <w:sz w:val="13"/>
                <w:szCs w:val="13"/>
                <w:color w:val="auto"/>
                <w:w w:val="96"/>
              </w:rPr>
              <w:t>Acme Markets</w:t>
            </w:r>
          </w:p>
        </w:tc>
        <w:tc>
          <w:tcPr>
            <w:tcW w:w="3360" w:type="dxa"/>
            <w:vAlign w:val="bottom"/>
          </w:tcPr>
          <w:p>
            <w:pPr>
              <w:ind w:left="80"/>
              <w:spacing w:after="0"/>
              <w:rPr>
                <w:sz w:val="20"/>
                <w:szCs w:val="20"/>
                <w:color w:val="auto"/>
              </w:rPr>
            </w:pPr>
            <w:r>
              <w:rPr>
                <w:rFonts w:ascii="Arial" w:cs="Arial" w:eastAsia="Arial" w:hAnsi="Arial"/>
                <w:sz w:val="13"/>
                <w:szCs w:val="13"/>
                <w:color w:val="auto"/>
              </w:rPr>
              <w:t>Kohl's / Staples / L.A. Fitness</w:t>
            </w:r>
          </w:p>
        </w:tc>
      </w:tr>
      <w:tr>
        <w:trPr>
          <w:trHeight w:val="97"/>
        </w:trPr>
        <w:tc>
          <w:tcPr>
            <w:tcW w:w="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360" w:type="dxa"/>
            <w:vAlign w:val="bottom"/>
          </w:tcPr>
          <w:p>
            <w:pPr>
              <w:spacing w:after="0"/>
              <w:rPr>
                <w:sz w:val="8"/>
                <w:szCs w:val="8"/>
                <w:color w:val="auto"/>
              </w:rPr>
            </w:pPr>
          </w:p>
        </w:tc>
      </w:tr>
      <w:tr>
        <w:trPr>
          <w:trHeight w:val="17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 Cynwyd</w:t>
            </w:r>
          </w:p>
        </w:tc>
        <w:tc>
          <w:tcPr>
            <w:tcW w:w="4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39,283</w:t>
            </w: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6"/>
              </w:rPr>
              <w:t>Acme Markets</w:t>
            </w:r>
          </w:p>
        </w:tc>
        <w:tc>
          <w:tcPr>
            <w:tcW w:w="3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Lord &amp; Taylor / L.A. Fitness / Michaels</w:t>
            </w:r>
          </w:p>
        </w:tc>
      </w:tr>
      <w:tr>
        <w:trPr>
          <w:trHeight w:val="97"/>
        </w:trPr>
        <w:tc>
          <w:tcPr>
            <w:tcW w:w="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360" w:type="dxa"/>
            <w:vAlign w:val="bottom"/>
            <w:shd w:val="clear" w:color="auto" w:fill="CCEEFF"/>
          </w:tcPr>
          <w:p>
            <w:pPr>
              <w:spacing w:after="0"/>
              <w:rPr>
                <w:sz w:val="8"/>
                <w:szCs w:val="8"/>
                <w:color w:val="auto"/>
              </w:rPr>
            </w:pPr>
          </w:p>
        </w:tc>
      </w:tr>
      <w:tr>
        <w:trPr>
          <w:trHeight w:val="173"/>
        </w:trPr>
        <w:tc>
          <w:tcPr>
            <w:tcW w:w="1340" w:type="dxa"/>
            <w:vAlign w:val="bottom"/>
            <w:gridSpan w:val="2"/>
          </w:tcPr>
          <w:p>
            <w:pPr>
              <w:ind w:left="40"/>
              <w:spacing w:after="0"/>
              <w:rPr>
                <w:sz w:val="20"/>
                <w:szCs w:val="20"/>
                <w:color w:val="auto"/>
              </w:rPr>
            </w:pPr>
            <w:r>
              <w:rPr>
                <w:rFonts w:ascii="Arial" w:cs="Arial" w:eastAsia="Arial" w:hAnsi="Arial"/>
                <w:sz w:val="13"/>
                <w:szCs w:val="13"/>
                <w:color w:val="auto"/>
              </w:rPr>
              <w:t>Ellisburg Circle</w:t>
            </w:r>
          </w:p>
        </w:tc>
        <w:tc>
          <w:tcPr>
            <w:tcW w:w="44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Philadelphia, PA-NJ</w:t>
            </w:r>
          </w:p>
        </w:tc>
        <w:tc>
          <w:tcPr>
            <w:tcW w:w="920" w:type="dxa"/>
            <w:vAlign w:val="bottom"/>
          </w:tcPr>
          <w:p>
            <w:pPr>
              <w:jc w:val="right"/>
              <w:spacing w:after="0"/>
              <w:rPr>
                <w:sz w:val="20"/>
                <w:szCs w:val="20"/>
                <w:color w:val="auto"/>
              </w:rPr>
            </w:pPr>
            <w:r>
              <w:rPr>
                <w:rFonts w:ascii="Arial" w:cs="Arial" w:eastAsia="Arial" w:hAnsi="Arial"/>
                <w:sz w:val="13"/>
                <w:szCs w:val="13"/>
                <w:color w:val="auto"/>
              </w:rPr>
              <w:t>1992</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29,618</w:t>
            </w:r>
          </w:p>
        </w:tc>
        <w:tc>
          <w:tcPr>
            <w:tcW w:w="6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267,000</w:t>
            </w:r>
          </w:p>
        </w:tc>
        <w:tc>
          <w:tcPr>
            <w:tcW w:w="500" w:type="dxa"/>
            <w:vAlign w:val="bottom"/>
          </w:tcPr>
          <w:p>
            <w:pPr>
              <w:jc w:val="right"/>
              <w:spacing w:after="0"/>
              <w:rPr>
                <w:sz w:val="20"/>
                <w:szCs w:val="20"/>
                <w:color w:val="auto"/>
              </w:rPr>
            </w:pPr>
            <w:r>
              <w:rPr>
                <w:rFonts w:ascii="Arial" w:cs="Arial" w:eastAsia="Arial" w:hAnsi="Arial"/>
                <w:sz w:val="13"/>
                <w:szCs w:val="13"/>
                <w:color w:val="auto"/>
              </w:rPr>
              <w:t>74%</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360" w:type="dxa"/>
            <w:vAlign w:val="bottom"/>
          </w:tcPr>
          <w:p>
            <w:pPr>
              <w:ind w:left="80"/>
              <w:spacing w:after="0"/>
              <w:rPr>
                <w:sz w:val="20"/>
                <w:szCs w:val="20"/>
                <w:color w:val="auto"/>
              </w:rPr>
            </w:pPr>
            <w:r>
              <w:rPr>
                <w:rFonts w:ascii="Arial" w:cs="Arial" w:eastAsia="Arial" w:hAnsi="Arial"/>
                <w:sz w:val="13"/>
                <w:szCs w:val="13"/>
                <w:color w:val="auto"/>
              </w:rPr>
              <w:t>Buy Buy Baby / Stein Mart</w:t>
            </w:r>
          </w:p>
        </w:tc>
      </w:tr>
      <w:tr>
        <w:trPr>
          <w:trHeight w:val="97"/>
        </w:trPr>
        <w:tc>
          <w:tcPr>
            <w:tcW w:w="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360" w:type="dxa"/>
            <w:vAlign w:val="bottom"/>
          </w:tcPr>
          <w:p>
            <w:pPr>
              <w:spacing w:after="0"/>
              <w:rPr>
                <w:sz w:val="8"/>
                <w:szCs w:val="8"/>
                <w:color w:val="auto"/>
              </w:rPr>
            </w:pPr>
          </w:p>
        </w:tc>
      </w:tr>
      <w:tr>
        <w:trPr>
          <w:trHeight w:val="17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Flourtown</w:t>
            </w:r>
          </w:p>
        </w:tc>
        <w:tc>
          <w:tcPr>
            <w:tcW w:w="4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15,974</w:t>
            </w: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42,000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36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360" w:type="dxa"/>
            <w:vAlign w:val="bottom"/>
            <w:shd w:val="clear" w:color="auto" w:fill="CCEEFF"/>
          </w:tcPr>
          <w:p>
            <w:pPr>
              <w:spacing w:after="0"/>
              <w:rPr>
                <w:sz w:val="8"/>
                <w:szCs w:val="8"/>
                <w:color w:val="auto"/>
              </w:rPr>
            </w:pPr>
          </w:p>
        </w:tc>
      </w:tr>
      <w:tr>
        <w:trPr>
          <w:trHeight w:val="148"/>
        </w:trPr>
        <w:tc>
          <w:tcPr>
            <w:tcW w:w="13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Langhorne Square</w:t>
            </w:r>
          </w:p>
        </w:tc>
        <w:tc>
          <w:tcPr>
            <w:tcW w:w="440" w:type="dxa"/>
            <w:vAlign w:val="bottom"/>
          </w:tcPr>
          <w:p>
            <w:pPr>
              <w:spacing w:after="0"/>
              <w:rPr>
                <w:sz w:val="12"/>
                <w:szCs w:val="12"/>
                <w:color w:val="auto"/>
              </w:rPr>
            </w:pPr>
          </w:p>
        </w:tc>
        <w:tc>
          <w:tcPr>
            <w:tcW w:w="13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Philadelphia, PA-NJ</w:t>
            </w: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20,388</w:t>
            </w:r>
          </w:p>
        </w:tc>
        <w:tc>
          <w:tcPr>
            <w:tcW w:w="68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219,000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55,000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Redner's</w:t>
            </w:r>
          </w:p>
        </w:tc>
        <w:tc>
          <w:tcPr>
            <w:tcW w:w="3360" w:type="dxa"/>
            <w:vAlign w:val="bottom"/>
          </w:tcPr>
          <w:p>
            <w:pPr>
              <w:ind w:left="80"/>
              <w:spacing w:after="0" w:line="148" w:lineRule="exact"/>
              <w:rPr>
                <w:sz w:val="20"/>
                <w:szCs w:val="20"/>
                <w:color w:val="auto"/>
              </w:rPr>
            </w:pPr>
            <w:r>
              <w:rPr>
                <w:rFonts w:ascii="Arial" w:cs="Arial" w:eastAsia="Arial" w:hAnsi="Arial"/>
                <w:sz w:val="13"/>
                <w:szCs w:val="13"/>
                <w:color w:val="auto"/>
              </w:rPr>
              <w:t>Marshalls</w:t>
            </w:r>
          </w:p>
        </w:tc>
      </w:tr>
      <w:tr>
        <w:trPr>
          <w:trHeight w:val="135"/>
        </w:trPr>
        <w:tc>
          <w:tcPr>
            <w:tcW w:w="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3"/>
                <w:szCs w:val="13"/>
                <w:color w:val="auto"/>
              </w:rPr>
              <w:t>Warehouse</w:t>
            </w:r>
          </w:p>
        </w:tc>
        <w:tc>
          <w:tcPr>
            <w:tcW w:w="336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3"/>
                <w:szCs w:val="13"/>
                <w:color w:val="auto"/>
              </w:rPr>
              <w:t>Mkts.</w:t>
            </w:r>
          </w:p>
        </w:tc>
        <w:tc>
          <w:tcPr>
            <w:tcW w:w="3360" w:type="dxa"/>
            <w:vAlign w:val="bottom"/>
          </w:tcPr>
          <w:p>
            <w:pPr>
              <w:spacing w:after="0"/>
              <w:rPr>
                <w:sz w:val="14"/>
                <w:szCs w:val="14"/>
                <w:color w:val="auto"/>
              </w:rPr>
            </w:pPr>
          </w:p>
        </w:tc>
      </w:tr>
      <w:tr>
        <w:trPr>
          <w:trHeight w:val="181"/>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Lawrence Park</w:t>
            </w:r>
          </w:p>
        </w:tc>
        <w:tc>
          <w:tcPr>
            <w:tcW w:w="4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30,976</w:t>
            </w: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27,153</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53,000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6"/>
              </w:rPr>
              <w:t>Acme Markets</w:t>
            </w:r>
          </w:p>
        </w:tc>
        <w:tc>
          <w:tcPr>
            <w:tcW w:w="3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Kaplan Career Institute / TJ Maxx / HomeGoods</w:t>
            </w:r>
          </w:p>
        </w:tc>
      </w:tr>
      <w:tr>
        <w:trPr>
          <w:trHeight w:val="97"/>
        </w:trPr>
        <w:tc>
          <w:tcPr>
            <w:tcW w:w="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360" w:type="dxa"/>
            <w:vAlign w:val="bottom"/>
            <w:shd w:val="clear" w:color="auto" w:fill="CCEEFF"/>
          </w:tcPr>
          <w:p>
            <w:pPr>
              <w:spacing w:after="0"/>
              <w:rPr>
                <w:sz w:val="8"/>
                <w:szCs w:val="8"/>
                <w:color w:val="auto"/>
              </w:rPr>
            </w:pPr>
          </w:p>
        </w:tc>
      </w:tr>
      <w:tr>
        <w:trPr>
          <w:trHeight w:val="173"/>
        </w:trPr>
        <w:tc>
          <w:tcPr>
            <w:tcW w:w="1340" w:type="dxa"/>
            <w:vAlign w:val="bottom"/>
            <w:gridSpan w:val="2"/>
          </w:tcPr>
          <w:p>
            <w:pPr>
              <w:ind w:left="40"/>
              <w:spacing w:after="0"/>
              <w:rPr>
                <w:sz w:val="20"/>
                <w:szCs w:val="20"/>
                <w:color w:val="auto"/>
              </w:rPr>
            </w:pPr>
            <w:r>
              <w:rPr>
                <w:rFonts w:ascii="Arial" w:cs="Arial" w:eastAsia="Arial" w:hAnsi="Arial"/>
                <w:sz w:val="13"/>
                <w:szCs w:val="13"/>
                <w:color w:val="auto"/>
              </w:rPr>
              <w:t>Northeast</w:t>
            </w:r>
          </w:p>
        </w:tc>
        <w:tc>
          <w:tcPr>
            <w:tcW w:w="44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Philadelphia, PA-NJ</w:t>
            </w:r>
          </w:p>
        </w:tc>
        <w:tc>
          <w:tcPr>
            <w:tcW w:w="920" w:type="dxa"/>
            <w:vAlign w:val="bottom"/>
          </w:tcPr>
          <w:p>
            <w:pPr>
              <w:jc w:val="right"/>
              <w:spacing w:after="0"/>
              <w:rPr>
                <w:sz w:val="20"/>
                <w:szCs w:val="20"/>
                <w:color w:val="auto"/>
              </w:rPr>
            </w:pPr>
            <w:r>
              <w:rPr>
                <w:rFonts w:ascii="Arial" w:cs="Arial" w:eastAsia="Arial" w:hAnsi="Arial"/>
                <w:sz w:val="13"/>
                <w:szCs w:val="13"/>
                <w:color w:val="auto"/>
              </w:rPr>
              <w:t>1983</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24,053</w:t>
            </w:r>
          </w:p>
        </w:tc>
        <w:tc>
          <w:tcPr>
            <w:tcW w:w="6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288,000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360" w:type="dxa"/>
            <w:vAlign w:val="bottom"/>
          </w:tcPr>
          <w:p>
            <w:pPr>
              <w:ind w:left="80"/>
              <w:spacing w:after="0"/>
              <w:rPr>
                <w:sz w:val="20"/>
                <w:szCs w:val="20"/>
                <w:color w:val="auto"/>
              </w:rPr>
            </w:pPr>
            <w:r>
              <w:rPr>
                <w:rFonts w:ascii="Arial" w:cs="Arial" w:eastAsia="Arial" w:hAnsi="Arial"/>
                <w:sz w:val="13"/>
                <w:szCs w:val="13"/>
                <w:color w:val="auto"/>
              </w:rPr>
              <w:t>Burlington Coat Factory / Home Gallery / Marshalls</w:t>
            </w:r>
          </w:p>
        </w:tc>
      </w:tr>
      <w:tr>
        <w:trPr>
          <w:trHeight w:val="97"/>
        </w:trPr>
        <w:tc>
          <w:tcPr>
            <w:tcW w:w="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360" w:type="dxa"/>
            <w:vAlign w:val="bottom"/>
          </w:tcPr>
          <w:p>
            <w:pPr>
              <w:spacing w:after="0"/>
              <w:rPr>
                <w:sz w:val="8"/>
                <w:szCs w:val="8"/>
                <w:color w:val="auto"/>
              </w:rPr>
            </w:pPr>
          </w:p>
        </w:tc>
      </w:tr>
      <w:tr>
        <w:trPr>
          <w:trHeight w:val="148"/>
        </w:trPr>
        <w:tc>
          <w:tcPr>
            <w:tcW w:w="13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Town Center of New</w:t>
            </w:r>
          </w:p>
        </w:tc>
        <w:tc>
          <w:tcPr>
            <w:tcW w:w="4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Philadelphia, PA-NJ</w:t>
            </w:r>
          </w:p>
        </w:tc>
        <w:tc>
          <w:tcPr>
            <w:tcW w:w="9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14,472</w:t>
            </w:r>
          </w:p>
        </w:tc>
        <w:tc>
          <w:tcPr>
            <w:tcW w:w="6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124,000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87%</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36,000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Giant Food</w:t>
            </w:r>
          </w:p>
        </w:tc>
        <w:tc>
          <w:tcPr>
            <w:tcW w:w="336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Rite Aid</w:t>
            </w:r>
          </w:p>
        </w:tc>
      </w:tr>
      <w:tr>
        <w:trPr>
          <w:trHeight w:val="176"/>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Britain</w:t>
            </w: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r>
      <w:tr>
        <w:trPr>
          <w:trHeight w:val="173"/>
        </w:trPr>
        <w:tc>
          <w:tcPr>
            <w:tcW w:w="1340" w:type="dxa"/>
            <w:vAlign w:val="bottom"/>
            <w:gridSpan w:val="2"/>
          </w:tcPr>
          <w:p>
            <w:pPr>
              <w:ind w:left="40"/>
              <w:spacing w:after="0"/>
              <w:rPr>
                <w:sz w:val="20"/>
                <w:szCs w:val="20"/>
                <w:color w:val="auto"/>
              </w:rPr>
            </w:pPr>
            <w:r>
              <w:rPr>
                <w:rFonts w:ascii="Arial" w:cs="Arial" w:eastAsia="Arial" w:hAnsi="Arial"/>
                <w:sz w:val="13"/>
                <w:szCs w:val="13"/>
                <w:color w:val="auto"/>
              </w:rPr>
              <w:t>Willow Grove</w:t>
            </w:r>
          </w:p>
        </w:tc>
        <w:tc>
          <w:tcPr>
            <w:tcW w:w="44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Philadelphia, PA-NJ</w:t>
            </w:r>
          </w:p>
        </w:tc>
        <w:tc>
          <w:tcPr>
            <w:tcW w:w="920" w:type="dxa"/>
            <w:vAlign w:val="bottom"/>
          </w:tcPr>
          <w:p>
            <w:pPr>
              <w:jc w:val="right"/>
              <w:spacing w:after="0"/>
              <w:rPr>
                <w:sz w:val="20"/>
                <w:szCs w:val="20"/>
                <w:color w:val="auto"/>
              </w:rPr>
            </w:pPr>
            <w:r>
              <w:rPr>
                <w:rFonts w:ascii="Arial" w:cs="Arial" w:eastAsia="Arial" w:hAnsi="Arial"/>
                <w:sz w:val="13"/>
                <w:szCs w:val="13"/>
                <w:color w:val="auto"/>
              </w:rPr>
              <w:t>1984</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28,888</w:t>
            </w:r>
          </w:p>
        </w:tc>
        <w:tc>
          <w:tcPr>
            <w:tcW w:w="6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212,000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360" w:type="dxa"/>
            <w:vAlign w:val="bottom"/>
          </w:tcPr>
          <w:p>
            <w:pPr>
              <w:ind w:left="80"/>
              <w:spacing w:after="0"/>
              <w:rPr>
                <w:sz w:val="20"/>
                <w:szCs w:val="20"/>
                <w:color w:val="auto"/>
              </w:rPr>
            </w:pPr>
            <w:r>
              <w:rPr>
                <w:rFonts w:ascii="Arial" w:cs="Arial" w:eastAsia="Arial" w:hAnsi="Arial"/>
                <w:sz w:val="13"/>
                <w:szCs w:val="13"/>
                <w:color w:val="auto"/>
              </w:rPr>
              <w:t>HomeGoods / Marshalls / Barnes &amp; Noble</w:t>
            </w:r>
          </w:p>
        </w:tc>
      </w:tr>
      <w:tr>
        <w:trPr>
          <w:trHeight w:val="97"/>
        </w:trPr>
        <w:tc>
          <w:tcPr>
            <w:tcW w:w="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360" w:type="dxa"/>
            <w:vAlign w:val="bottom"/>
          </w:tcPr>
          <w:p>
            <w:pPr>
              <w:spacing w:after="0"/>
              <w:rPr>
                <w:sz w:val="8"/>
                <w:szCs w:val="8"/>
                <w:color w:val="auto"/>
              </w:rPr>
            </w:pPr>
          </w:p>
        </w:tc>
      </w:tr>
      <w:tr>
        <w:trPr>
          <w:trHeight w:val="17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Wynnewood</w:t>
            </w:r>
          </w:p>
        </w:tc>
        <w:tc>
          <w:tcPr>
            <w:tcW w:w="4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36,739</w:t>
            </w: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27,672</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98,000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Bed, Bath &amp; Beyond / Old Navy</w:t>
            </w:r>
          </w:p>
        </w:tc>
      </w:tr>
      <w:tr>
        <w:trPr>
          <w:trHeight w:val="97"/>
        </w:trPr>
        <w:tc>
          <w:tcPr>
            <w:tcW w:w="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60" w:type="dxa"/>
            <w:vAlign w:val="bottom"/>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36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00" w:type="dxa"/>
            <w:vAlign w:val="bottom"/>
            <w:gridSpan w:val="3"/>
          </w:tcPr>
          <w:p>
            <w:pPr>
              <w:ind w:left="20"/>
              <w:spacing w:after="0"/>
              <w:rPr>
                <w:sz w:val="20"/>
                <w:szCs w:val="20"/>
                <w:color w:val="auto"/>
              </w:rPr>
            </w:pPr>
            <w:r>
              <w:rPr>
                <w:rFonts w:ascii="Arial" w:cs="Arial" w:eastAsia="Arial" w:hAnsi="Arial"/>
                <w:sz w:val="13"/>
                <w:szCs w:val="13"/>
                <w:b w:val="1"/>
                <w:bCs w:val="1"/>
                <w:color w:val="auto"/>
              </w:rPr>
              <w:t>Total Philadelphia Metropolitan Area</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265,561</w:t>
            </w:r>
          </w:p>
        </w:tc>
        <w:tc>
          <w:tcPr>
            <w:tcW w:w="6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2,434,000</w:t>
            </w:r>
          </w:p>
        </w:tc>
        <w:tc>
          <w:tcPr>
            <w:tcW w:w="500" w:type="dxa"/>
            <w:vAlign w:val="bottom"/>
          </w:tcPr>
          <w:p>
            <w:pPr>
              <w:jc w:val="right"/>
              <w:spacing w:after="0"/>
              <w:rPr>
                <w:sz w:val="20"/>
                <w:szCs w:val="20"/>
                <w:color w:val="auto"/>
              </w:rPr>
            </w:pPr>
            <w:r>
              <w:rPr>
                <w:rFonts w:ascii="Arial" w:cs="Arial" w:eastAsia="Arial" w:hAnsi="Arial"/>
                <w:sz w:val="13"/>
                <w:szCs w:val="13"/>
                <w:color w:val="auto"/>
              </w:rPr>
              <w:t>93%</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360" w:type="dxa"/>
            <w:vAlign w:val="bottom"/>
          </w:tcPr>
          <w:p>
            <w:pPr>
              <w:spacing w:after="0"/>
              <w:rPr>
                <w:sz w:val="7"/>
                <w:szCs w:val="7"/>
                <w:color w:val="auto"/>
              </w:rPr>
            </w:pPr>
          </w:p>
        </w:tc>
      </w:tr>
      <w:tr>
        <w:trPr>
          <w:trHeight w:val="216"/>
        </w:trPr>
        <w:tc>
          <w:tcPr>
            <w:tcW w:w="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963"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963" w:right="239" w:bottom="1440" w:gutter="0" w:footer="0" w:header="0"/>
          <w:type w:val="continuous"/>
        </w:sectPr>
      </w:pPr>
    </w:p>
    <w:bookmarkStart w:id="21" w:name="page22"/>
    <w:bookmarkEnd w:id="21"/>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Mortgage</w:t>
            </w: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4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and/or</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940" w:type="dxa"/>
            <w:vAlign w:val="bottom"/>
          </w:tcPr>
          <w:p>
            <w:pPr>
              <w:spacing w:after="0"/>
              <w:rPr>
                <w:sz w:val="11"/>
                <w:szCs w:val="11"/>
                <w:color w:val="auto"/>
              </w:rPr>
            </w:pPr>
          </w:p>
        </w:tc>
        <w:tc>
          <w:tcPr>
            <w:tcW w:w="34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40" w:type="dxa"/>
            <w:vAlign w:val="bottom"/>
          </w:tcPr>
          <w:p>
            <w:pPr>
              <w:spacing w:after="0"/>
              <w:rPr>
                <w:sz w:val="11"/>
                <w:szCs w:val="11"/>
                <w:color w:val="auto"/>
              </w:rPr>
            </w:pPr>
          </w:p>
        </w:tc>
        <w:tc>
          <w:tcPr>
            <w:tcW w:w="5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94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440" w:type="dxa"/>
            <w:vAlign w:val="bottom"/>
          </w:tcPr>
          <w:p>
            <w:pPr>
              <w:spacing w:after="0"/>
              <w:rPr>
                <w:sz w:val="11"/>
                <w:szCs w:val="11"/>
                <w:color w:val="auto"/>
              </w:rPr>
            </w:pPr>
          </w:p>
        </w:tc>
      </w:tr>
      <w:tr>
        <w:trPr>
          <w:trHeight w:val="174"/>
        </w:trPr>
        <w:tc>
          <w:tcPr>
            <w:tcW w:w="140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Property Name</w:t>
            </w:r>
          </w:p>
        </w:tc>
        <w:tc>
          <w:tcPr>
            <w:tcW w:w="4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MSA Description</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9"/>
              </w:rPr>
              <w:t>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GLA</w:t>
            </w: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4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40" w:type="dxa"/>
            <w:vAlign w:val="bottom"/>
          </w:tcPr>
          <w:p>
            <w:pPr>
              <w:spacing w:after="0"/>
              <w:rPr>
                <w:sz w:val="11"/>
                <w:szCs w:val="11"/>
                <w:color w:val="auto"/>
              </w:rPr>
            </w:pPr>
          </w:p>
        </w:tc>
      </w:tr>
      <w:tr>
        <w:trPr>
          <w:trHeight w:val="171"/>
        </w:trPr>
        <w:tc>
          <w:tcPr>
            <w:tcW w:w="40" w:type="dxa"/>
            <w:vAlign w:val="bottom"/>
          </w:tcPr>
          <w:p>
            <w:pPr>
              <w:spacing w:after="0"/>
              <w:rPr>
                <w:sz w:val="14"/>
                <w:szCs w:val="14"/>
                <w:color w:val="auto"/>
              </w:rPr>
            </w:pPr>
          </w:p>
        </w:tc>
        <w:tc>
          <w:tcPr>
            <w:tcW w:w="1360" w:type="dxa"/>
            <w:vAlign w:val="bottom"/>
            <w:gridSpan w:val="5"/>
          </w:tcPr>
          <w:p>
            <w:pPr>
              <w:ind w:left="60"/>
              <w:spacing w:after="0"/>
              <w:rPr>
                <w:sz w:val="20"/>
                <w:szCs w:val="20"/>
                <w:color w:val="auto"/>
              </w:rPr>
            </w:pPr>
            <w:r>
              <w:rPr>
                <w:rFonts w:ascii="Arial" w:cs="Arial" w:eastAsia="Arial" w:hAnsi="Arial"/>
                <w:sz w:val="13"/>
                <w:szCs w:val="13"/>
                <w:b w:val="1"/>
                <w:bCs w:val="1"/>
                <w:color w:val="auto"/>
              </w:rPr>
              <w:t>California</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02"/>
        </w:trPr>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40" w:type="dxa"/>
            <w:vAlign w:val="bottom"/>
          </w:tcPr>
          <w:p>
            <w:pPr>
              <w:spacing w:after="0"/>
              <w:rPr>
                <w:sz w:val="8"/>
                <w:szCs w:val="8"/>
                <w:color w:val="auto"/>
              </w:rPr>
            </w:pPr>
          </w:p>
        </w:tc>
      </w:tr>
      <w:tr>
        <w:trPr>
          <w:trHeight w:val="148"/>
        </w:trPr>
        <w:tc>
          <w:tcPr>
            <w:tcW w:w="140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Colorado Blvd</w:t>
            </w:r>
          </w:p>
        </w:tc>
        <w:tc>
          <w:tcPr>
            <w:tcW w:w="400" w:type="dxa"/>
            <w:vAlign w:val="bottom"/>
            <w:shd w:val="clear" w:color="auto" w:fill="CCEEFF"/>
          </w:tcPr>
          <w:p>
            <w:pPr>
              <w:spacing w:after="0"/>
              <w:rPr>
                <w:sz w:val="12"/>
                <w:szCs w:val="12"/>
                <w:color w:val="auto"/>
              </w:rPr>
            </w:pPr>
          </w:p>
        </w:tc>
        <w:tc>
          <w:tcPr>
            <w:tcW w:w="15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6"/>
              </w:rPr>
              <w:t>Los Angeles-Long Beach,</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9"/>
              </w:rPr>
              <w:t>1996-1998</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18,270</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69,000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Pottery Barn / Banana Republic</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r>
      <w:tr>
        <w:trPr>
          <w:trHeight w:val="173"/>
        </w:trPr>
        <w:tc>
          <w:tcPr>
            <w:tcW w:w="1400" w:type="dxa"/>
            <w:vAlign w:val="bottom"/>
            <w:gridSpan w:val="6"/>
          </w:tcPr>
          <w:p>
            <w:pPr>
              <w:ind w:left="40"/>
              <w:spacing w:after="0"/>
              <w:rPr>
                <w:sz w:val="20"/>
                <w:szCs w:val="20"/>
                <w:color w:val="auto"/>
              </w:rPr>
            </w:pPr>
            <w:r>
              <w:rPr>
                <w:rFonts w:ascii="Arial" w:cs="Arial" w:eastAsia="Arial" w:hAnsi="Arial"/>
                <w:sz w:val="13"/>
                <w:szCs w:val="13"/>
                <w:color w:val="auto"/>
              </w:rPr>
              <w:t>Crow Canyon</w:t>
            </w:r>
          </w:p>
        </w:tc>
        <w:tc>
          <w:tcPr>
            <w:tcW w:w="400" w:type="dxa"/>
            <w:vAlign w:val="bottom"/>
          </w:tcPr>
          <w:p>
            <w:pPr>
              <w:spacing w:after="0"/>
              <w:rPr>
                <w:sz w:val="15"/>
                <w:szCs w:val="15"/>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San Ramon, CA</w:t>
            </w:r>
          </w:p>
        </w:tc>
        <w:tc>
          <w:tcPr>
            <w:tcW w:w="660" w:type="dxa"/>
            <w:vAlign w:val="bottom"/>
          </w:tcPr>
          <w:p>
            <w:pPr>
              <w:jc w:val="right"/>
              <w:spacing w:after="0"/>
              <w:rPr>
                <w:sz w:val="20"/>
                <w:szCs w:val="20"/>
                <w:color w:val="auto"/>
              </w:rPr>
            </w:pPr>
            <w:r>
              <w:rPr>
                <w:rFonts w:ascii="Arial" w:cs="Arial" w:eastAsia="Arial" w:hAnsi="Arial"/>
                <w:sz w:val="13"/>
                <w:szCs w:val="13"/>
                <w:color w:val="auto"/>
                <w:w w:val="99"/>
              </w:rPr>
              <w:t>2005-2007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70,152</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19,605</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242,000</w:t>
            </w:r>
          </w:p>
        </w:tc>
        <w:tc>
          <w:tcPr>
            <w:tcW w:w="520" w:type="dxa"/>
            <w:vAlign w:val="bottom"/>
          </w:tcPr>
          <w:p>
            <w:pPr>
              <w:jc w:val="right"/>
              <w:spacing w:after="0"/>
              <w:rPr>
                <w:sz w:val="20"/>
                <w:szCs w:val="20"/>
                <w:color w:val="auto"/>
              </w:rPr>
            </w:pPr>
            <w:r>
              <w:rPr>
                <w:rFonts w:ascii="Arial" w:cs="Arial" w:eastAsia="Arial" w:hAnsi="Arial"/>
                <w:sz w:val="13"/>
                <w:szCs w:val="13"/>
                <w:color w:val="auto"/>
              </w:rPr>
              <w:t>94%</w:t>
            </w:r>
          </w:p>
        </w:tc>
        <w:tc>
          <w:tcPr>
            <w:tcW w:w="580" w:type="dxa"/>
            <w:vAlign w:val="bottom"/>
          </w:tcPr>
          <w:p>
            <w:pPr>
              <w:ind w:left="40"/>
              <w:spacing w:after="0"/>
              <w:rPr>
                <w:sz w:val="20"/>
                <w:szCs w:val="20"/>
                <w:color w:val="auto"/>
              </w:rPr>
            </w:pPr>
            <w:r>
              <w:rPr>
                <w:rFonts w:ascii="Arial" w:cs="Arial" w:eastAsia="Arial" w:hAnsi="Arial"/>
                <w:sz w:val="13"/>
                <w:szCs w:val="13"/>
                <w:color w:val="auto"/>
              </w:rPr>
              <w:t>58,000</w:t>
            </w:r>
          </w:p>
        </w:tc>
        <w:tc>
          <w:tcPr>
            <w:tcW w:w="940" w:type="dxa"/>
            <w:vAlign w:val="bottom"/>
          </w:tcPr>
          <w:p>
            <w:pPr>
              <w:ind w:left="80"/>
              <w:spacing w:after="0"/>
              <w:rPr>
                <w:sz w:val="20"/>
                <w:szCs w:val="20"/>
                <w:color w:val="auto"/>
              </w:rPr>
            </w:pPr>
            <w:r>
              <w:rPr>
                <w:rFonts w:ascii="Arial" w:cs="Arial" w:eastAsia="Arial" w:hAnsi="Arial"/>
                <w:sz w:val="13"/>
                <w:szCs w:val="13"/>
                <w:color w:val="auto"/>
              </w:rPr>
              <w:t>Lucky</w:t>
            </w:r>
          </w:p>
        </w:tc>
        <w:tc>
          <w:tcPr>
            <w:tcW w:w="3440" w:type="dxa"/>
            <w:vAlign w:val="bottom"/>
          </w:tcPr>
          <w:p>
            <w:pPr>
              <w:ind w:left="60"/>
              <w:spacing w:after="0"/>
              <w:rPr>
                <w:sz w:val="20"/>
                <w:szCs w:val="20"/>
                <w:color w:val="auto"/>
              </w:rPr>
            </w:pPr>
            <w:r>
              <w:rPr>
                <w:rFonts w:ascii="Arial" w:cs="Arial" w:eastAsia="Arial" w:hAnsi="Arial"/>
                <w:sz w:val="13"/>
                <w:szCs w:val="13"/>
                <w:color w:val="auto"/>
              </w:rPr>
              <w:t>Loehmann's Dress Shop / Rite Aid</w:t>
            </w:r>
          </w:p>
        </w:tc>
      </w:tr>
      <w:tr>
        <w:trPr>
          <w:trHeight w:val="97"/>
        </w:trPr>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40" w:type="dxa"/>
            <w:vAlign w:val="bottom"/>
          </w:tcPr>
          <w:p>
            <w:pPr>
              <w:spacing w:after="0"/>
              <w:rPr>
                <w:sz w:val="8"/>
                <w:szCs w:val="8"/>
                <w:color w:val="auto"/>
              </w:rPr>
            </w:pPr>
          </w:p>
        </w:tc>
      </w:tr>
      <w:tr>
        <w:trPr>
          <w:trHeight w:val="148"/>
        </w:trPr>
        <w:tc>
          <w:tcPr>
            <w:tcW w:w="140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Escondido</w:t>
            </w:r>
          </w:p>
        </w:tc>
        <w:tc>
          <w:tcPr>
            <w:tcW w:w="4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7"/>
              </w:rPr>
              <w:t>(4)</w:t>
            </w:r>
          </w:p>
        </w:tc>
        <w:tc>
          <w:tcPr>
            <w:tcW w:w="15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San Diego, CA</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1996/2010</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45,329</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297,000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3"/>
              </w:rPr>
              <w:t>TJ Maxx / Toys R Us / Dick’s Sporting Goods / Ross Dress For</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Less</w:t>
            </w:r>
          </w:p>
        </w:tc>
      </w:tr>
      <w:tr>
        <w:trPr>
          <w:trHeight w:val="173"/>
        </w:trPr>
        <w:tc>
          <w:tcPr>
            <w:tcW w:w="1400" w:type="dxa"/>
            <w:vAlign w:val="bottom"/>
            <w:gridSpan w:val="6"/>
          </w:tcPr>
          <w:p>
            <w:pPr>
              <w:ind w:left="40"/>
              <w:spacing w:after="0"/>
              <w:rPr>
                <w:sz w:val="20"/>
                <w:szCs w:val="20"/>
                <w:color w:val="auto"/>
              </w:rPr>
            </w:pPr>
            <w:r>
              <w:rPr>
                <w:rFonts w:ascii="Arial" w:cs="Arial" w:eastAsia="Arial" w:hAnsi="Arial"/>
                <w:sz w:val="13"/>
                <w:szCs w:val="13"/>
                <w:color w:val="auto"/>
              </w:rPr>
              <w:t>Fifth Ave</w:t>
            </w:r>
          </w:p>
        </w:tc>
        <w:tc>
          <w:tcPr>
            <w:tcW w:w="400" w:type="dxa"/>
            <w:vAlign w:val="bottom"/>
          </w:tcPr>
          <w:p>
            <w:pPr>
              <w:spacing w:after="0"/>
              <w:rPr>
                <w:sz w:val="15"/>
                <w:szCs w:val="15"/>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San Diego, CA</w:t>
            </w:r>
          </w:p>
        </w:tc>
        <w:tc>
          <w:tcPr>
            <w:tcW w:w="660" w:type="dxa"/>
            <w:vAlign w:val="bottom"/>
          </w:tcPr>
          <w:p>
            <w:pPr>
              <w:jc w:val="right"/>
              <w:spacing w:after="0"/>
              <w:rPr>
                <w:sz w:val="20"/>
                <w:szCs w:val="20"/>
                <w:color w:val="auto"/>
              </w:rPr>
            </w:pPr>
            <w:r>
              <w:rPr>
                <w:rFonts w:ascii="Arial" w:cs="Arial" w:eastAsia="Arial" w:hAnsi="Arial"/>
                <w:sz w:val="13"/>
                <w:szCs w:val="13"/>
                <w:color w:val="auto"/>
              </w:rPr>
              <w:t>1996</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6,056</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17,000</w:t>
            </w:r>
          </w:p>
        </w:tc>
        <w:tc>
          <w:tcPr>
            <w:tcW w:w="52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40" w:type="dxa"/>
            <w:vAlign w:val="bottom"/>
          </w:tcPr>
          <w:p>
            <w:pPr>
              <w:ind w:left="60"/>
              <w:spacing w:after="0"/>
              <w:rPr>
                <w:sz w:val="20"/>
                <w:szCs w:val="20"/>
                <w:color w:val="auto"/>
              </w:rPr>
            </w:pPr>
            <w:r>
              <w:rPr>
                <w:rFonts w:ascii="Arial" w:cs="Arial" w:eastAsia="Arial" w:hAnsi="Arial"/>
                <w:sz w:val="13"/>
                <w:szCs w:val="13"/>
                <w:color w:val="auto"/>
              </w:rPr>
              <w:t>Urban Outfitters</w:t>
            </w:r>
          </w:p>
        </w:tc>
      </w:tr>
      <w:tr>
        <w:trPr>
          <w:trHeight w:val="97"/>
        </w:trPr>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40" w:type="dxa"/>
            <w:vAlign w:val="bottom"/>
          </w:tcPr>
          <w:p>
            <w:pPr>
              <w:spacing w:after="0"/>
              <w:rPr>
                <w:sz w:val="8"/>
                <w:szCs w:val="8"/>
                <w:color w:val="auto"/>
              </w:rPr>
            </w:pPr>
          </w:p>
        </w:tc>
      </w:tr>
      <w:tr>
        <w:trPr>
          <w:trHeight w:val="148"/>
        </w:trPr>
        <w:tc>
          <w:tcPr>
            <w:tcW w:w="140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Hermosa Ave</w:t>
            </w:r>
          </w:p>
        </w:tc>
        <w:tc>
          <w:tcPr>
            <w:tcW w:w="400" w:type="dxa"/>
            <w:vAlign w:val="bottom"/>
            <w:shd w:val="clear" w:color="auto" w:fill="CCEEFF"/>
          </w:tcPr>
          <w:p>
            <w:pPr>
              <w:spacing w:after="0"/>
              <w:rPr>
                <w:sz w:val="12"/>
                <w:szCs w:val="12"/>
                <w:color w:val="auto"/>
              </w:rPr>
            </w:pPr>
          </w:p>
        </w:tc>
        <w:tc>
          <w:tcPr>
            <w:tcW w:w="15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6"/>
              </w:rPr>
              <w:t>Los Angeles-Long Beach,</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5,545</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22,000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r>
      <w:tr>
        <w:trPr>
          <w:trHeight w:val="148"/>
        </w:trPr>
        <w:tc>
          <w:tcPr>
            <w:tcW w:w="140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Hollywood Blvd</w:t>
            </w:r>
          </w:p>
        </w:tc>
        <w:tc>
          <w:tcPr>
            <w:tcW w:w="400" w:type="dxa"/>
            <w:vAlign w:val="bottom"/>
          </w:tcPr>
          <w:p>
            <w:pPr>
              <w:jc w:val="center"/>
              <w:spacing w:after="0" w:line="148" w:lineRule="exact"/>
              <w:rPr>
                <w:sz w:val="20"/>
                <w:szCs w:val="20"/>
                <w:color w:val="auto"/>
              </w:rPr>
            </w:pPr>
            <w:r>
              <w:rPr>
                <w:rFonts w:ascii="Arial" w:cs="Arial" w:eastAsia="Arial" w:hAnsi="Arial"/>
                <w:sz w:val="13"/>
                <w:szCs w:val="13"/>
                <w:color w:val="auto"/>
                <w:w w:val="87"/>
              </w:rPr>
              <w:t>(4)</w:t>
            </w:r>
          </w:p>
        </w:tc>
        <w:tc>
          <w:tcPr>
            <w:tcW w:w="1520" w:type="dxa"/>
            <w:vAlign w:val="bottom"/>
          </w:tcPr>
          <w:p>
            <w:pPr>
              <w:ind w:left="60"/>
              <w:spacing w:after="0" w:line="148" w:lineRule="exact"/>
              <w:rPr>
                <w:sz w:val="20"/>
                <w:szCs w:val="20"/>
                <w:color w:val="auto"/>
              </w:rPr>
            </w:pPr>
            <w:r>
              <w:rPr>
                <w:rFonts w:ascii="Arial" w:cs="Arial" w:eastAsia="Arial" w:hAnsi="Arial"/>
                <w:sz w:val="13"/>
                <w:szCs w:val="13"/>
                <w:color w:val="auto"/>
                <w:w w:val="96"/>
              </w:rPr>
              <w:t>Los Angeles-Long Beach,</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1999</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37,847</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140,000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auto"/>
              </w:rPr>
              <w:t>15,000</w:t>
            </w:r>
          </w:p>
        </w:tc>
        <w:tc>
          <w:tcPr>
            <w:tcW w:w="940" w:type="dxa"/>
            <w:vAlign w:val="bottom"/>
          </w:tcPr>
          <w:p>
            <w:pPr>
              <w:ind w:left="80"/>
              <w:spacing w:after="0" w:line="148" w:lineRule="exact"/>
              <w:rPr>
                <w:sz w:val="20"/>
                <w:szCs w:val="20"/>
                <w:color w:val="auto"/>
              </w:rPr>
            </w:pPr>
            <w:r>
              <w:rPr>
                <w:rFonts w:ascii="Arial" w:cs="Arial" w:eastAsia="Arial" w:hAnsi="Arial"/>
                <w:sz w:val="13"/>
                <w:szCs w:val="13"/>
                <w:color w:val="auto"/>
              </w:rPr>
              <w:t>Fresh &amp; Easy</w:t>
            </w:r>
          </w:p>
        </w:tc>
        <w:tc>
          <w:tcPr>
            <w:tcW w:w="3440" w:type="dxa"/>
            <w:vAlign w:val="bottom"/>
          </w:tcPr>
          <w:p>
            <w:pPr>
              <w:ind w:left="60"/>
              <w:spacing w:after="0" w:line="148" w:lineRule="exact"/>
              <w:rPr>
                <w:sz w:val="20"/>
                <w:szCs w:val="20"/>
                <w:color w:val="auto"/>
              </w:rPr>
            </w:pPr>
            <w:r>
              <w:rPr>
                <w:rFonts w:ascii="Arial" w:cs="Arial" w:eastAsia="Arial" w:hAnsi="Arial"/>
                <w:sz w:val="13"/>
                <w:szCs w:val="13"/>
                <w:color w:val="auto"/>
              </w:rPr>
              <w:t>DSW / L.A. Fitness</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CA</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56"/>
        </w:trPr>
        <w:tc>
          <w:tcPr>
            <w:tcW w:w="140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Kings Court</w:t>
            </w: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Jose, CA</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11,680</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78,000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25,000</w:t>
            </w: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w w:val="92"/>
              </w:rPr>
              <w:t>Lunardi's Super</w:t>
            </w:r>
          </w:p>
        </w:tc>
        <w:tc>
          <w:tcPr>
            <w:tcW w:w="3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w:t>
            </w:r>
          </w:p>
        </w:tc>
        <w:tc>
          <w:tcPr>
            <w:tcW w:w="3440" w:type="dxa"/>
            <w:vAlign w:val="bottom"/>
            <w:shd w:val="clear" w:color="auto" w:fill="CCEEFF"/>
          </w:tcPr>
          <w:p>
            <w:pPr>
              <w:spacing w:after="0"/>
              <w:rPr>
                <w:sz w:val="15"/>
                <w:szCs w:val="15"/>
                <w:color w:val="auto"/>
              </w:rPr>
            </w:pPr>
          </w:p>
        </w:tc>
      </w:tr>
      <w:tr>
        <w:trPr>
          <w:trHeight w:val="173"/>
        </w:trPr>
        <w:tc>
          <w:tcPr>
            <w:tcW w:w="1400" w:type="dxa"/>
            <w:vAlign w:val="bottom"/>
            <w:gridSpan w:val="6"/>
          </w:tcPr>
          <w:p>
            <w:pPr>
              <w:ind w:left="40"/>
              <w:spacing w:after="0"/>
              <w:rPr>
                <w:sz w:val="20"/>
                <w:szCs w:val="20"/>
                <w:color w:val="auto"/>
              </w:rPr>
            </w:pPr>
            <w:r>
              <w:rPr>
                <w:rFonts w:ascii="Arial" w:cs="Arial" w:eastAsia="Arial" w:hAnsi="Arial"/>
                <w:sz w:val="13"/>
                <w:szCs w:val="13"/>
                <w:color w:val="auto"/>
              </w:rPr>
              <w:t>Old Town Center</w:t>
            </w:r>
          </w:p>
        </w:tc>
        <w:tc>
          <w:tcPr>
            <w:tcW w:w="400" w:type="dxa"/>
            <w:vAlign w:val="bottom"/>
          </w:tcPr>
          <w:p>
            <w:pPr>
              <w:spacing w:after="0"/>
              <w:rPr>
                <w:sz w:val="15"/>
                <w:szCs w:val="15"/>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San Jose, CA</w:t>
            </w:r>
          </w:p>
        </w:tc>
        <w:tc>
          <w:tcPr>
            <w:tcW w:w="66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36,395</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96,000</w:t>
            </w:r>
          </w:p>
        </w:tc>
        <w:tc>
          <w:tcPr>
            <w:tcW w:w="520" w:type="dxa"/>
            <w:vAlign w:val="bottom"/>
          </w:tcPr>
          <w:p>
            <w:pPr>
              <w:jc w:val="right"/>
              <w:spacing w:after="0"/>
              <w:rPr>
                <w:sz w:val="20"/>
                <w:szCs w:val="20"/>
                <w:color w:val="auto"/>
              </w:rPr>
            </w:pPr>
            <w:r>
              <w:rPr>
                <w:rFonts w:ascii="Arial" w:cs="Arial" w:eastAsia="Arial" w:hAnsi="Arial"/>
                <w:sz w:val="13"/>
                <w:szCs w:val="13"/>
                <w:color w:val="auto"/>
              </w:rPr>
              <w:t>86%</w:t>
            </w: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40" w:type="dxa"/>
            <w:vAlign w:val="bottom"/>
          </w:tcPr>
          <w:p>
            <w:pPr>
              <w:ind w:left="60"/>
              <w:spacing w:after="0"/>
              <w:rPr>
                <w:sz w:val="20"/>
                <w:szCs w:val="20"/>
                <w:color w:val="auto"/>
              </w:rPr>
            </w:pPr>
            <w:r>
              <w:rPr>
                <w:rFonts w:ascii="Arial" w:cs="Arial" w:eastAsia="Arial" w:hAnsi="Arial"/>
                <w:sz w:val="13"/>
                <w:szCs w:val="13"/>
                <w:color w:val="auto"/>
              </w:rPr>
              <w:t>Anthropologie / Banana Republic / Gap</w:t>
            </w:r>
          </w:p>
        </w:tc>
      </w:tr>
      <w:tr>
        <w:trPr>
          <w:trHeight w:val="97"/>
        </w:trPr>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40" w:type="dxa"/>
            <w:vAlign w:val="bottom"/>
          </w:tcPr>
          <w:p>
            <w:pPr>
              <w:spacing w:after="0"/>
              <w:rPr>
                <w:sz w:val="8"/>
                <w:szCs w:val="8"/>
                <w:color w:val="auto"/>
              </w:rPr>
            </w:pPr>
          </w:p>
        </w:tc>
      </w:tr>
      <w:tr>
        <w:trPr>
          <w:trHeight w:val="148"/>
        </w:trPr>
        <w:tc>
          <w:tcPr>
            <w:tcW w:w="140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Plaza El Segundo</w:t>
            </w:r>
          </w:p>
        </w:tc>
        <w:tc>
          <w:tcPr>
            <w:tcW w:w="4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4"/>
              </w:rPr>
              <w:t>(4)(6)</w:t>
            </w:r>
          </w:p>
        </w:tc>
        <w:tc>
          <w:tcPr>
            <w:tcW w:w="15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6"/>
              </w:rPr>
              <w:t>Los Angeles-Long Beach,</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2011</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212,056</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175,000</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381,000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66,000</w:t>
            </w:r>
          </w:p>
        </w:tc>
        <w:tc>
          <w:tcPr>
            <w:tcW w:w="9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Whole Foods</w:t>
            </w:r>
          </w:p>
        </w:tc>
        <w:tc>
          <w:tcPr>
            <w:tcW w:w="34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8"/>
              </w:rPr>
              <w:t>Anthropologie / Best Buy / Container Store / Dick's Sporting</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Goods / H&amp;M / HomeGoods</w:t>
            </w:r>
          </w:p>
        </w:tc>
      </w:tr>
      <w:tr>
        <w:trPr>
          <w:trHeight w:val="148"/>
        </w:trPr>
        <w:tc>
          <w:tcPr>
            <w:tcW w:w="140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Santana Row</w:t>
            </w:r>
          </w:p>
        </w:tc>
        <w:tc>
          <w:tcPr>
            <w:tcW w:w="400" w:type="dxa"/>
            <w:vAlign w:val="bottom"/>
          </w:tcPr>
          <w:p>
            <w:pPr>
              <w:spacing w:after="0"/>
              <w:rPr>
                <w:sz w:val="12"/>
                <w:szCs w:val="12"/>
                <w:color w:val="auto"/>
              </w:rPr>
            </w:pPr>
          </w:p>
        </w:tc>
        <w:tc>
          <w:tcPr>
            <w:tcW w:w="1520" w:type="dxa"/>
            <w:vAlign w:val="bottom"/>
          </w:tcPr>
          <w:p>
            <w:pPr>
              <w:ind w:left="60"/>
              <w:spacing w:after="0" w:line="148" w:lineRule="exact"/>
              <w:rPr>
                <w:sz w:val="20"/>
                <w:szCs w:val="20"/>
                <w:color w:val="auto"/>
              </w:rPr>
            </w:pPr>
            <w:r>
              <w:rPr>
                <w:rFonts w:ascii="Arial" w:cs="Arial" w:eastAsia="Arial" w:hAnsi="Arial"/>
                <w:sz w:val="13"/>
                <w:szCs w:val="13"/>
                <w:color w:val="auto"/>
              </w:rPr>
              <w:t>San Jose, CA</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609,249</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647,000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40" w:type="dxa"/>
            <w:vAlign w:val="bottom"/>
          </w:tcPr>
          <w:p>
            <w:pPr>
              <w:ind w:left="60"/>
              <w:spacing w:after="0" w:line="148" w:lineRule="exact"/>
              <w:rPr>
                <w:sz w:val="20"/>
                <w:szCs w:val="20"/>
                <w:color w:val="auto"/>
              </w:rPr>
            </w:pPr>
            <w:r>
              <w:rPr>
                <w:rFonts w:ascii="Arial" w:cs="Arial" w:eastAsia="Arial" w:hAnsi="Arial"/>
                <w:sz w:val="13"/>
                <w:szCs w:val="13"/>
                <w:color w:val="auto"/>
                <w:w w:val="92"/>
              </w:rPr>
              <w:t>Crate &amp; Barrel / Container Store / Best Buy / CineArts Theatre /</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3"/>
                <w:szCs w:val="13"/>
                <w:color w:val="auto"/>
              </w:rPr>
              <w:t>Hotel Valencia / H&amp;M</w:t>
            </w:r>
          </w:p>
        </w:tc>
      </w:tr>
      <w:tr>
        <w:trPr>
          <w:trHeight w:val="156"/>
        </w:trPr>
        <w:tc>
          <w:tcPr>
            <w:tcW w:w="140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Third St Promenade</w:t>
            </w:r>
          </w:p>
        </w:tc>
        <w:tc>
          <w:tcPr>
            <w:tcW w:w="400" w:type="dxa"/>
            <w:vAlign w:val="bottom"/>
            <w:shd w:val="clear" w:color="auto" w:fill="CCEEFF"/>
          </w:tcPr>
          <w:p>
            <w:pPr>
              <w:spacing w:after="0"/>
              <w:rPr>
                <w:sz w:val="13"/>
                <w:szCs w:val="13"/>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6"/>
              </w:rPr>
              <w:t>Los Angeles-Long Beach,</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1996-2000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79,272</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210,000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40" w:type="dxa"/>
            <w:vAlign w:val="bottom"/>
            <w:shd w:val="clear" w:color="auto" w:fill="CCEEFF"/>
          </w:tcPr>
          <w:p>
            <w:pPr>
              <w:ind w:left="60"/>
              <w:spacing w:after="0"/>
              <w:rPr>
                <w:sz w:val="20"/>
                <w:szCs w:val="20"/>
                <w:color w:val="auto"/>
              </w:rPr>
            </w:pPr>
            <w:r>
              <w:rPr>
                <w:rFonts w:ascii="Arial" w:cs="Arial" w:eastAsia="Arial" w:hAnsi="Arial"/>
                <w:sz w:val="13"/>
                <w:szCs w:val="13"/>
                <w:color w:val="auto"/>
                <w:w w:val="96"/>
              </w:rPr>
              <w:t>J. Crew / Banana Republic / Old Navy / Abercrombie &amp; Fitch</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r>
      <w:tr>
        <w:trPr>
          <w:trHeight w:val="148"/>
        </w:trPr>
        <w:tc>
          <w:tcPr>
            <w:tcW w:w="140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Westgate</w:t>
            </w:r>
          </w:p>
        </w:tc>
        <w:tc>
          <w:tcPr>
            <w:tcW w:w="400" w:type="dxa"/>
            <w:vAlign w:val="bottom"/>
          </w:tcPr>
          <w:p>
            <w:pPr>
              <w:spacing w:after="0"/>
              <w:rPr>
                <w:sz w:val="12"/>
                <w:szCs w:val="12"/>
                <w:color w:val="auto"/>
              </w:rPr>
            </w:pPr>
          </w:p>
        </w:tc>
        <w:tc>
          <w:tcPr>
            <w:tcW w:w="1520" w:type="dxa"/>
            <w:vAlign w:val="bottom"/>
          </w:tcPr>
          <w:p>
            <w:pPr>
              <w:ind w:left="60"/>
              <w:spacing w:after="0" w:line="148" w:lineRule="exact"/>
              <w:rPr>
                <w:sz w:val="20"/>
                <w:szCs w:val="20"/>
                <w:color w:val="auto"/>
              </w:rPr>
            </w:pPr>
            <w:r>
              <w:rPr>
                <w:rFonts w:ascii="Arial" w:cs="Arial" w:eastAsia="Arial" w:hAnsi="Arial"/>
                <w:sz w:val="13"/>
                <w:szCs w:val="13"/>
                <w:color w:val="auto"/>
              </w:rPr>
              <w:t>San Jose, CA</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2004</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122,294</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639,000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auto"/>
              </w:rPr>
              <w:t>38,000</w:t>
            </w:r>
          </w:p>
        </w:tc>
        <w:tc>
          <w:tcPr>
            <w:tcW w:w="940" w:type="dxa"/>
            <w:vAlign w:val="bottom"/>
          </w:tcPr>
          <w:p>
            <w:pPr>
              <w:ind w:left="80"/>
              <w:spacing w:after="0" w:line="148" w:lineRule="exact"/>
              <w:rPr>
                <w:sz w:val="20"/>
                <w:szCs w:val="20"/>
                <w:color w:val="auto"/>
              </w:rPr>
            </w:pPr>
            <w:r>
              <w:rPr>
                <w:rFonts w:ascii="Arial" w:cs="Arial" w:eastAsia="Arial" w:hAnsi="Arial"/>
                <w:sz w:val="13"/>
                <w:szCs w:val="13"/>
                <w:color w:val="auto"/>
              </w:rPr>
              <w:t>Walmart</w:t>
            </w:r>
          </w:p>
        </w:tc>
        <w:tc>
          <w:tcPr>
            <w:tcW w:w="3440" w:type="dxa"/>
            <w:vAlign w:val="bottom"/>
          </w:tcPr>
          <w:p>
            <w:pPr>
              <w:ind w:left="60"/>
              <w:spacing w:after="0" w:line="148" w:lineRule="exact"/>
              <w:rPr>
                <w:sz w:val="20"/>
                <w:szCs w:val="20"/>
                <w:color w:val="auto"/>
              </w:rPr>
            </w:pPr>
            <w:r>
              <w:rPr>
                <w:rFonts w:ascii="Arial" w:cs="Arial" w:eastAsia="Arial" w:hAnsi="Arial"/>
                <w:sz w:val="13"/>
                <w:szCs w:val="13"/>
                <w:color w:val="auto"/>
                <w:w w:val="88"/>
              </w:rPr>
              <w:t>Target / Burlington Coat Factory / Ross Dress For Less / Michaels</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3"/>
                <w:szCs w:val="13"/>
                <w:color w:val="auto"/>
              </w:rPr>
              <w:t>/ Nordstrom Rack</w:t>
            </w:r>
          </w:p>
        </w:tc>
      </w:tr>
      <w:tr>
        <w:trPr>
          <w:trHeight w:val="181"/>
        </w:trPr>
        <w:tc>
          <w:tcPr>
            <w:tcW w:w="140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150 Post Street</w:t>
            </w: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Francisco, CA</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37,712</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102,000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Brooks Brothers / H&amp;M</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44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3"/>
                <w:szCs w:val="13"/>
                <w:b w:val="1"/>
                <w:bCs w:val="1"/>
                <w:color w:val="auto"/>
              </w:rPr>
              <w:t>Total California</w:t>
            </w:r>
          </w:p>
        </w:tc>
        <w:tc>
          <w:tcPr>
            <w:tcW w:w="66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w w:val="93"/>
              </w:rPr>
              <w:t>1,291,857</w:t>
            </w:r>
          </w:p>
        </w:tc>
        <w:tc>
          <w:tcPr>
            <w:tcW w:w="6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2,940,000</w:t>
            </w:r>
          </w:p>
        </w:tc>
        <w:tc>
          <w:tcPr>
            <w:tcW w:w="520" w:type="dxa"/>
            <w:vAlign w:val="bottom"/>
          </w:tcPr>
          <w:p>
            <w:pPr>
              <w:jc w:val="right"/>
              <w:spacing w:after="0"/>
              <w:rPr>
                <w:sz w:val="20"/>
                <w:szCs w:val="20"/>
                <w:color w:val="auto"/>
              </w:rPr>
            </w:pPr>
            <w:r>
              <w:rPr>
                <w:rFonts w:ascii="Arial" w:cs="Arial" w:eastAsia="Arial" w:hAnsi="Arial"/>
                <w:sz w:val="13"/>
                <w:szCs w:val="13"/>
                <w:color w:val="auto"/>
              </w:rPr>
              <w:t>96%</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4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36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w w:val="90"/>
              </w:rPr>
              <w:t>New York / New Jersey</w:t>
            </w:r>
          </w:p>
        </w:tc>
        <w:tc>
          <w:tcPr>
            <w:tcW w:w="4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15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CCEEFF"/>
            </w:tcBorders>
            <w:shd w:val="clear" w:color="auto" w:fill="CCEEFF"/>
          </w:tcPr>
          <w:p>
            <w:pPr>
              <w:spacing w:after="0"/>
              <w:rPr>
                <w:sz w:val="8"/>
                <w:szCs w:val="8"/>
                <w:color w:val="auto"/>
              </w:rPr>
            </w:pPr>
          </w:p>
        </w:tc>
        <w:tc>
          <w:tcPr>
            <w:tcW w:w="3440" w:type="dxa"/>
            <w:vAlign w:val="bottom"/>
            <w:tcBorders>
              <w:top w:val="single" w:sz="8" w:color="CCEEFF"/>
            </w:tcBorders>
            <w:shd w:val="clear" w:color="auto" w:fill="CCEEFF"/>
          </w:tcPr>
          <w:p>
            <w:pPr>
              <w:spacing w:after="0"/>
              <w:rPr>
                <w:sz w:val="8"/>
                <w:szCs w:val="8"/>
                <w:color w:val="auto"/>
              </w:rPr>
            </w:pPr>
          </w:p>
        </w:tc>
      </w:tr>
      <w:tr>
        <w:trPr>
          <w:trHeight w:val="173"/>
        </w:trPr>
        <w:tc>
          <w:tcPr>
            <w:tcW w:w="1400" w:type="dxa"/>
            <w:vAlign w:val="bottom"/>
            <w:gridSpan w:val="6"/>
          </w:tcPr>
          <w:p>
            <w:pPr>
              <w:ind w:left="40"/>
              <w:spacing w:after="0"/>
              <w:rPr>
                <w:sz w:val="20"/>
                <w:szCs w:val="20"/>
                <w:color w:val="auto"/>
              </w:rPr>
            </w:pPr>
            <w:r>
              <w:rPr>
                <w:rFonts w:ascii="Arial" w:cs="Arial" w:eastAsia="Arial" w:hAnsi="Arial"/>
                <w:sz w:val="13"/>
                <w:szCs w:val="13"/>
                <w:color w:val="auto"/>
              </w:rPr>
              <w:t>Brick Plaza</w:t>
            </w:r>
          </w:p>
        </w:tc>
        <w:tc>
          <w:tcPr>
            <w:tcW w:w="400" w:type="dxa"/>
            <w:vAlign w:val="bottom"/>
          </w:tcPr>
          <w:p>
            <w:pPr>
              <w:spacing w:after="0"/>
              <w:rPr>
                <w:sz w:val="15"/>
                <w:szCs w:val="15"/>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Monmouth-Ocean, NJ</w:t>
            </w:r>
          </w:p>
        </w:tc>
        <w:tc>
          <w:tcPr>
            <w:tcW w:w="660" w:type="dxa"/>
            <w:vAlign w:val="bottom"/>
          </w:tcPr>
          <w:p>
            <w:pPr>
              <w:jc w:val="right"/>
              <w:spacing w:after="0"/>
              <w:rPr>
                <w:sz w:val="20"/>
                <w:szCs w:val="20"/>
                <w:color w:val="auto"/>
              </w:rPr>
            </w:pPr>
            <w:r>
              <w:rPr>
                <w:rFonts w:ascii="Arial" w:cs="Arial" w:eastAsia="Arial" w:hAnsi="Arial"/>
                <w:sz w:val="13"/>
                <w:szCs w:val="13"/>
                <w:color w:val="auto"/>
              </w:rPr>
              <w:t>1989</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61,617</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28,219</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414,000</w:t>
            </w:r>
          </w:p>
        </w:tc>
        <w:tc>
          <w:tcPr>
            <w:tcW w:w="520" w:type="dxa"/>
            <w:vAlign w:val="bottom"/>
          </w:tcPr>
          <w:p>
            <w:pPr>
              <w:jc w:val="right"/>
              <w:spacing w:after="0"/>
              <w:rPr>
                <w:sz w:val="20"/>
                <w:szCs w:val="20"/>
                <w:color w:val="auto"/>
              </w:rPr>
            </w:pPr>
            <w:r>
              <w:rPr>
                <w:rFonts w:ascii="Arial" w:cs="Arial" w:eastAsia="Arial" w:hAnsi="Arial"/>
                <w:sz w:val="13"/>
                <w:szCs w:val="13"/>
                <w:color w:val="auto"/>
              </w:rPr>
              <w:t>91%</w:t>
            </w:r>
          </w:p>
        </w:tc>
        <w:tc>
          <w:tcPr>
            <w:tcW w:w="580" w:type="dxa"/>
            <w:vAlign w:val="bottom"/>
          </w:tcPr>
          <w:p>
            <w:pPr>
              <w:ind w:left="40"/>
              <w:spacing w:after="0"/>
              <w:rPr>
                <w:sz w:val="20"/>
                <w:szCs w:val="20"/>
                <w:color w:val="auto"/>
              </w:rPr>
            </w:pPr>
            <w:r>
              <w:rPr>
                <w:rFonts w:ascii="Arial" w:cs="Arial" w:eastAsia="Arial" w:hAnsi="Arial"/>
                <w:sz w:val="13"/>
                <w:szCs w:val="13"/>
                <w:color w:val="auto"/>
              </w:rPr>
              <w:t>66,000</w:t>
            </w:r>
          </w:p>
        </w:tc>
        <w:tc>
          <w:tcPr>
            <w:tcW w:w="940" w:type="dxa"/>
            <w:vAlign w:val="bottom"/>
          </w:tcPr>
          <w:p>
            <w:pPr>
              <w:ind w:left="80"/>
              <w:spacing w:after="0"/>
              <w:rPr>
                <w:sz w:val="20"/>
                <w:szCs w:val="20"/>
                <w:color w:val="auto"/>
              </w:rPr>
            </w:pPr>
            <w:r>
              <w:rPr>
                <w:rFonts w:ascii="Arial" w:cs="Arial" w:eastAsia="Arial" w:hAnsi="Arial"/>
                <w:sz w:val="13"/>
                <w:szCs w:val="13"/>
                <w:color w:val="auto"/>
              </w:rPr>
              <w:t>A&amp;P</w:t>
            </w:r>
          </w:p>
        </w:tc>
        <w:tc>
          <w:tcPr>
            <w:tcW w:w="3440" w:type="dxa"/>
            <w:vAlign w:val="bottom"/>
          </w:tcPr>
          <w:p>
            <w:pPr>
              <w:ind w:left="60"/>
              <w:spacing w:after="0"/>
              <w:rPr>
                <w:sz w:val="20"/>
                <w:szCs w:val="20"/>
                <w:color w:val="auto"/>
              </w:rPr>
            </w:pPr>
            <w:r>
              <w:rPr>
                <w:rFonts w:ascii="Arial" w:cs="Arial" w:eastAsia="Arial" w:hAnsi="Arial"/>
                <w:sz w:val="13"/>
                <w:szCs w:val="13"/>
                <w:color w:val="auto"/>
              </w:rPr>
              <w:t>AMC Loews / Barnes &amp; Noble / Sports Authority</w:t>
            </w:r>
          </w:p>
        </w:tc>
      </w:tr>
      <w:tr>
        <w:trPr>
          <w:trHeight w:val="43"/>
        </w:trPr>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40" w:type="dxa"/>
            <w:vAlign w:val="bottom"/>
          </w:tcPr>
          <w:p>
            <w:pPr>
              <w:spacing w:after="0"/>
              <w:rPr>
                <w:sz w:val="3"/>
                <w:szCs w:val="3"/>
                <w:color w:val="auto"/>
              </w:rPr>
            </w:pPr>
          </w:p>
        </w:tc>
      </w:tr>
      <w:tr>
        <w:trPr>
          <w:trHeight w:val="173"/>
        </w:trPr>
        <w:tc>
          <w:tcPr>
            <w:tcW w:w="140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Forest Hills</w:t>
            </w: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New York, NY</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8,411</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Midway Theatre</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440" w:type="dxa"/>
            <w:vAlign w:val="bottom"/>
            <w:shd w:val="clear" w:color="auto" w:fill="CCEEFF"/>
          </w:tcPr>
          <w:p>
            <w:pPr>
              <w:spacing w:after="0"/>
              <w:rPr>
                <w:sz w:val="8"/>
                <w:szCs w:val="8"/>
                <w:color w:val="auto"/>
              </w:rPr>
            </w:pPr>
          </w:p>
        </w:tc>
      </w:tr>
      <w:tr>
        <w:trPr>
          <w:trHeight w:val="173"/>
        </w:trPr>
        <w:tc>
          <w:tcPr>
            <w:tcW w:w="1400" w:type="dxa"/>
            <w:vAlign w:val="bottom"/>
            <w:gridSpan w:val="6"/>
          </w:tcPr>
          <w:p>
            <w:pPr>
              <w:ind w:left="40"/>
              <w:spacing w:after="0"/>
              <w:rPr>
                <w:sz w:val="20"/>
                <w:szCs w:val="20"/>
                <w:color w:val="auto"/>
              </w:rPr>
            </w:pPr>
            <w:r>
              <w:rPr>
                <w:rFonts w:ascii="Arial" w:cs="Arial" w:eastAsia="Arial" w:hAnsi="Arial"/>
                <w:sz w:val="13"/>
                <w:szCs w:val="13"/>
                <w:color w:val="auto"/>
              </w:rPr>
              <w:t>Fresh Meadows</w:t>
            </w:r>
          </w:p>
        </w:tc>
        <w:tc>
          <w:tcPr>
            <w:tcW w:w="400" w:type="dxa"/>
            <w:vAlign w:val="bottom"/>
          </w:tcPr>
          <w:p>
            <w:pPr>
              <w:spacing w:after="0"/>
              <w:rPr>
                <w:sz w:val="15"/>
                <w:szCs w:val="15"/>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New York, NY</w:t>
            </w:r>
          </w:p>
        </w:tc>
        <w:tc>
          <w:tcPr>
            <w:tcW w:w="66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77,055</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407,000</w:t>
            </w:r>
          </w:p>
        </w:tc>
        <w:tc>
          <w:tcPr>
            <w:tcW w:w="520" w:type="dxa"/>
            <w:vAlign w:val="bottom"/>
          </w:tcPr>
          <w:p>
            <w:pPr>
              <w:jc w:val="right"/>
              <w:spacing w:after="0"/>
              <w:rPr>
                <w:sz w:val="20"/>
                <w:szCs w:val="20"/>
                <w:color w:val="auto"/>
              </w:rPr>
            </w:pPr>
            <w:r>
              <w:rPr>
                <w:rFonts w:ascii="Arial" w:cs="Arial" w:eastAsia="Arial" w:hAnsi="Arial"/>
                <w:sz w:val="13"/>
                <w:szCs w:val="13"/>
                <w:color w:val="auto"/>
              </w:rPr>
              <w:t>98%</w:t>
            </w: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40" w:type="dxa"/>
            <w:vAlign w:val="bottom"/>
          </w:tcPr>
          <w:p>
            <w:pPr>
              <w:ind w:left="60"/>
              <w:spacing w:after="0"/>
              <w:rPr>
                <w:sz w:val="20"/>
                <w:szCs w:val="20"/>
                <w:color w:val="auto"/>
              </w:rPr>
            </w:pPr>
            <w:r>
              <w:rPr>
                <w:rFonts w:ascii="Arial" w:cs="Arial" w:eastAsia="Arial" w:hAnsi="Arial"/>
                <w:sz w:val="13"/>
                <w:szCs w:val="13"/>
                <w:color w:val="auto"/>
              </w:rPr>
              <w:t>AMC Loews / Kohl's / Modell's</w:t>
            </w:r>
          </w:p>
        </w:tc>
      </w:tr>
      <w:tr>
        <w:trPr>
          <w:trHeight w:val="97"/>
        </w:trPr>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40" w:type="dxa"/>
            <w:vAlign w:val="bottom"/>
          </w:tcPr>
          <w:p>
            <w:pPr>
              <w:spacing w:after="0"/>
              <w:rPr>
                <w:sz w:val="8"/>
                <w:szCs w:val="8"/>
                <w:color w:val="auto"/>
              </w:rPr>
            </w:pPr>
          </w:p>
        </w:tc>
      </w:tr>
      <w:tr>
        <w:trPr>
          <w:trHeight w:val="196"/>
        </w:trPr>
        <w:tc>
          <w:tcPr>
            <w:tcW w:w="14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3"/>
                <w:szCs w:val="13"/>
                <w:color w:val="auto"/>
              </w:rPr>
              <w:t>Hauppauge</w:t>
            </w:r>
          </w:p>
        </w:tc>
        <w:tc>
          <w:tcPr>
            <w:tcW w:w="4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Nassau-Suffolk, NY</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28,046</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14,441</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133,000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61,000</w:t>
            </w:r>
          </w:p>
        </w:tc>
        <w:tc>
          <w:tcPr>
            <w:tcW w:w="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Shop Rite</w:t>
            </w:r>
          </w:p>
        </w:tc>
        <w:tc>
          <w:tcPr>
            <w:tcW w:w="3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AC Moore</w:t>
            </w:r>
          </w:p>
        </w:tc>
      </w:tr>
      <w:tr>
        <w:trPr>
          <w:trHeight w:val="148"/>
        </w:trPr>
        <w:tc>
          <w:tcPr>
            <w:tcW w:w="140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Huntington</w:t>
            </w:r>
          </w:p>
        </w:tc>
        <w:tc>
          <w:tcPr>
            <w:tcW w:w="400" w:type="dxa"/>
            <w:vAlign w:val="bottom"/>
          </w:tcPr>
          <w:p>
            <w:pPr>
              <w:spacing w:after="0"/>
              <w:rPr>
                <w:sz w:val="12"/>
                <w:szCs w:val="12"/>
                <w:color w:val="auto"/>
              </w:rPr>
            </w:pPr>
          </w:p>
        </w:tc>
        <w:tc>
          <w:tcPr>
            <w:tcW w:w="1520" w:type="dxa"/>
            <w:vAlign w:val="bottom"/>
          </w:tcPr>
          <w:p>
            <w:pPr>
              <w:ind w:left="60"/>
              <w:spacing w:after="0" w:line="148" w:lineRule="exact"/>
              <w:rPr>
                <w:sz w:val="20"/>
                <w:szCs w:val="20"/>
                <w:color w:val="auto"/>
              </w:rPr>
            </w:pPr>
            <w:r>
              <w:rPr>
                <w:rFonts w:ascii="Arial" w:cs="Arial" w:eastAsia="Arial" w:hAnsi="Arial"/>
                <w:sz w:val="13"/>
                <w:szCs w:val="13"/>
                <w:color w:val="auto"/>
              </w:rPr>
              <w:t>Nassau-Suffolk, NY</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1988/2007</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41,627</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279,000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40" w:type="dxa"/>
            <w:vAlign w:val="bottom"/>
          </w:tcPr>
          <w:p>
            <w:pPr>
              <w:ind w:left="60"/>
              <w:spacing w:after="0" w:line="148" w:lineRule="exact"/>
              <w:rPr>
                <w:sz w:val="20"/>
                <w:szCs w:val="20"/>
                <w:color w:val="auto"/>
              </w:rPr>
            </w:pPr>
            <w:r>
              <w:rPr>
                <w:rFonts w:ascii="Arial" w:cs="Arial" w:eastAsia="Arial" w:hAnsi="Arial"/>
                <w:sz w:val="13"/>
                <w:szCs w:val="13"/>
                <w:color w:val="auto"/>
                <w:w w:val="97"/>
              </w:rPr>
              <w:t>Buy Buy Baby / Bed, Bath &amp; Beyond / Michaels / Nordstrom</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3"/>
                <w:szCs w:val="13"/>
                <w:color w:val="auto"/>
              </w:rPr>
              <w:t>Rack</w:t>
            </w:r>
          </w:p>
        </w:tc>
      </w:tr>
      <w:tr>
        <w:trPr>
          <w:trHeight w:val="181"/>
        </w:trPr>
        <w:tc>
          <w:tcPr>
            <w:tcW w:w="140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Huntington Square</w:t>
            </w: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Nassau-Suffolk, NY</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10,638</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74,000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Barnes &amp; Noble</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440" w:type="dxa"/>
            <w:vAlign w:val="bottom"/>
            <w:shd w:val="clear" w:color="auto" w:fill="CCEEFF"/>
          </w:tcPr>
          <w:p>
            <w:pPr>
              <w:spacing w:after="0"/>
              <w:rPr>
                <w:sz w:val="8"/>
                <w:szCs w:val="8"/>
                <w:color w:val="auto"/>
              </w:rPr>
            </w:pPr>
          </w:p>
        </w:tc>
      </w:tr>
      <w:tr>
        <w:trPr>
          <w:trHeight w:val="173"/>
        </w:trPr>
        <w:tc>
          <w:tcPr>
            <w:tcW w:w="1400" w:type="dxa"/>
            <w:vAlign w:val="bottom"/>
            <w:gridSpan w:val="6"/>
          </w:tcPr>
          <w:p>
            <w:pPr>
              <w:ind w:left="40"/>
              <w:spacing w:after="0"/>
              <w:rPr>
                <w:sz w:val="20"/>
                <w:szCs w:val="20"/>
                <w:color w:val="auto"/>
              </w:rPr>
            </w:pPr>
            <w:r>
              <w:rPr>
                <w:rFonts w:ascii="Arial" w:cs="Arial" w:eastAsia="Arial" w:hAnsi="Arial"/>
                <w:sz w:val="13"/>
                <w:szCs w:val="13"/>
                <w:color w:val="auto"/>
              </w:rPr>
              <w:t>Melville Mall</w:t>
            </w:r>
          </w:p>
        </w:tc>
        <w:tc>
          <w:tcPr>
            <w:tcW w:w="400" w:type="dxa"/>
            <w:vAlign w:val="bottom"/>
          </w:tcPr>
          <w:p>
            <w:pPr>
              <w:jc w:val="center"/>
              <w:spacing w:after="0"/>
              <w:rPr>
                <w:sz w:val="20"/>
                <w:szCs w:val="20"/>
                <w:color w:val="auto"/>
              </w:rPr>
            </w:pPr>
            <w:r>
              <w:rPr>
                <w:rFonts w:ascii="Arial" w:cs="Arial" w:eastAsia="Arial" w:hAnsi="Arial"/>
                <w:sz w:val="13"/>
                <w:szCs w:val="13"/>
                <w:color w:val="auto"/>
                <w:w w:val="87"/>
              </w:rPr>
              <w:t>(8)</w:t>
            </w:r>
          </w:p>
        </w:tc>
        <w:tc>
          <w:tcPr>
            <w:tcW w:w="1520" w:type="dxa"/>
            <w:vAlign w:val="bottom"/>
          </w:tcPr>
          <w:p>
            <w:pPr>
              <w:ind w:left="60"/>
              <w:spacing w:after="0"/>
              <w:rPr>
                <w:sz w:val="20"/>
                <w:szCs w:val="20"/>
                <w:color w:val="auto"/>
              </w:rPr>
            </w:pPr>
            <w:r>
              <w:rPr>
                <w:rFonts w:ascii="Arial" w:cs="Arial" w:eastAsia="Arial" w:hAnsi="Arial"/>
                <w:sz w:val="13"/>
                <w:szCs w:val="13"/>
                <w:color w:val="auto"/>
              </w:rPr>
              <w:t>Nassau-Suffolk, NY</w:t>
            </w:r>
          </w:p>
        </w:tc>
        <w:tc>
          <w:tcPr>
            <w:tcW w:w="660" w:type="dxa"/>
            <w:vAlign w:val="bottom"/>
          </w:tcPr>
          <w:p>
            <w:pPr>
              <w:jc w:val="right"/>
              <w:spacing w:after="0"/>
              <w:rPr>
                <w:sz w:val="20"/>
                <w:szCs w:val="20"/>
                <w:color w:val="auto"/>
              </w:rPr>
            </w:pPr>
            <w:r>
              <w:rPr>
                <w:rFonts w:ascii="Arial" w:cs="Arial" w:eastAsia="Arial" w:hAnsi="Arial"/>
                <w:sz w:val="13"/>
                <w:szCs w:val="13"/>
                <w:color w:val="auto"/>
              </w:rPr>
              <w:t>2006</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68,991</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21,737</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246,000</w:t>
            </w:r>
          </w:p>
        </w:tc>
        <w:tc>
          <w:tcPr>
            <w:tcW w:w="52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ind w:left="40"/>
              <w:spacing w:after="0"/>
              <w:rPr>
                <w:sz w:val="20"/>
                <w:szCs w:val="20"/>
                <w:color w:val="auto"/>
              </w:rPr>
            </w:pPr>
            <w:r>
              <w:rPr>
                <w:rFonts w:ascii="Arial" w:cs="Arial" w:eastAsia="Arial" w:hAnsi="Arial"/>
                <w:sz w:val="13"/>
                <w:szCs w:val="13"/>
                <w:color w:val="auto"/>
              </w:rPr>
              <w:t>54,000</w:t>
            </w:r>
          </w:p>
        </w:tc>
        <w:tc>
          <w:tcPr>
            <w:tcW w:w="940" w:type="dxa"/>
            <w:vAlign w:val="bottom"/>
          </w:tcPr>
          <w:p>
            <w:pPr>
              <w:ind w:left="80"/>
              <w:spacing w:after="0"/>
              <w:rPr>
                <w:sz w:val="20"/>
                <w:szCs w:val="20"/>
                <w:color w:val="auto"/>
              </w:rPr>
            </w:pPr>
            <w:r>
              <w:rPr>
                <w:rFonts w:ascii="Arial" w:cs="Arial" w:eastAsia="Arial" w:hAnsi="Arial"/>
                <w:sz w:val="13"/>
                <w:szCs w:val="13"/>
                <w:color w:val="auto"/>
              </w:rPr>
              <w:t>Waldbaum's</w:t>
            </w:r>
          </w:p>
        </w:tc>
        <w:tc>
          <w:tcPr>
            <w:tcW w:w="3440" w:type="dxa"/>
            <w:vAlign w:val="bottom"/>
          </w:tcPr>
          <w:p>
            <w:pPr>
              <w:ind w:left="60"/>
              <w:spacing w:after="0"/>
              <w:rPr>
                <w:sz w:val="20"/>
                <w:szCs w:val="20"/>
                <w:color w:val="auto"/>
              </w:rPr>
            </w:pPr>
            <w:r>
              <w:rPr>
                <w:rFonts w:ascii="Arial" w:cs="Arial" w:eastAsia="Arial" w:hAnsi="Arial"/>
                <w:sz w:val="13"/>
                <w:szCs w:val="13"/>
                <w:color w:val="auto"/>
              </w:rPr>
              <w:t>Dick’s Sporting Goods / Kohl's / Marshalls</w:t>
            </w:r>
          </w:p>
        </w:tc>
      </w:tr>
      <w:tr>
        <w:trPr>
          <w:trHeight w:val="43"/>
        </w:trPr>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40" w:type="dxa"/>
            <w:vAlign w:val="bottom"/>
          </w:tcPr>
          <w:p>
            <w:pPr>
              <w:spacing w:after="0"/>
              <w:rPr>
                <w:sz w:val="3"/>
                <w:szCs w:val="3"/>
                <w:color w:val="auto"/>
              </w:rPr>
            </w:pPr>
          </w:p>
        </w:tc>
      </w:tr>
      <w:tr>
        <w:trPr>
          <w:trHeight w:val="196"/>
        </w:trPr>
        <w:tc>
          <w:tcPr>
            <w:tcW w:w="14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3"/>
                <w:szCs w:val="13"/>
                <w:color w:val="auto"/>
              </w:rPr>
              <w:t>Mercer Mall</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7"/>
              </w:rPr>
              <w:t>(3)</w:t>
            </w:r>
          </w:p>
        </w:tc>
        <w:tc>
          <w:tcPr>
            <w:tcW w:w="1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Trenton, NJ</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2003</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110,198</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55,856</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500,000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75,000</w:t>
            </w:r>
          </w:p>
        </w:tc>
        <w:tc>
          <w:tcPr>
            <w:tcW w:w="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Shop Rite</w:t>
            </w:r>
          </w:p>
        </w:tc>
        <w:tc>
          <w:tcPr>
            <w:tcW w:w="3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w w:val="96"/>
              </w:rPr>
              <w:t>Bed, Bath &amp; Beyond / DSW / TJ Maxx / Raymour &amp; Flanigan</w:t>
            </w:r>
          </w:p>
        </w:tc>
      </w:tr>
      <w:tr>
        <w:trPr>
          <w:trHeight w:val="173"/>
        </w:trPr>
        <w:tc>
          <w:tcPr>
            <w:tcW w:w="1400" w:type="dxa"/>
            <w:vAlign w:val="bottom"/>
            <w:gridSpan w:val="6"/>
          </w:tcPr>
          <w:p>
            <w:pPr>
              <w:ind w:left="40"/>
              <w:spacing w:after="0"/>
              <w:rPr>
                <w:sz w:val="20"/>
                <w:szCs w:val="20"/>
                <w:color w:val="auto"/>
              </w:rPr>
            </w:pPr>
            <w:r>
              <w:rPr>
                <w:rFonts w:ascii="Arial" w:cs="Arial" w:eastAsia="Arial" w:hAnsi="Arial"/>
                <w:sz w:val="13"/>
                <w:szCs w:val="13"/>
                <w:color w:val="auto"/>
              </w:rPr>
              <w:t>Troy</w:t>
            </w:r>
          </w:p>
        </w:tc>
        <w:tc>
          <w:tcPr>
            <w:tcW w:w="400" w:type="dxa"/>
            <w:vAlign w:val="bottom"/>
          </w:tcPr>
          <w:p>
            <w:pPr>
              <w:spacing w:after="0"/>
              <w:rPr>
                <w:sz w:val="15"/>
                <w:szCs w:val="15"/>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Newark, NJ</w:t>
            </w:r>
          </w:p>
        </w:tc>
        <w:tc>
          <w:tcPr>
            <w:tcW w:w="660" w:type="dxa"/>
            <w:vAlign w:val="bottom"/>
          </w:tcPr>
          <w:p>
            <w:pPr>
              <w:jc w:val="right"/>
              <w:spacing w:after="0"/>
              <w:rPr>
                <w:sz w:val="20"/>
                <w:szCs w:val="20"/>
                <w:color w:val="auto"/>
              </w:rPr>
            </w:pPr>
            <w:r>
              <w:rPr>
                <w:rFonts w:ascii="Arial" w:cs="Arial" w:eastAsia="Arial" w:hAnsi="Arial"/>
                <w:sz w:val="13"/>
                <w:szCs w:val="13"/>
                <w:color w:val="auto"/>
              </w:rPr>
              <w:t>1980</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29,157</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207,000</w:t>
            </w:r>
          </w:p>
        </w:tc>
        <w:tc>
          <w:tcPr>
            <w:tcW w:w="520" w:type="dxa"/>
            <w:vAlign w:val="bottom"/>
          </w:tcPr>
          <w:p>
            <w:pPr>
              <w:jc w:val="right"/>
              <w:spacing w:after="0"/>
              <w:rPr>
                <w:sz w:val="20"/>
                <w:szCs w:val="20"/>
                <w:color w:val="auto"/>
              </w:rPr>
            </w:pPr>
            <w:r>
              <w:rPr>
                <w:rFonts w:ascii="Arial" w:cs="Arial" w:eastAsia="Arial" w:hAnsi="Arial"/>
                <w:sz w:val="13"/>
                <w:szCs w:val="13"/>
                <w:color w:val="auto"/>
              </w:rPr>
              <w:t>99%</w:t>
            </w:r>
          </w:p>
        </w:tc>
        <w:tc>
          <w:tcPr>
            <w:tcW w:w="580" w:type="dxa"/>
            <w:vAlign w:val="bottom"/>
          </w:tcPr>
          <w:p>
            <w:pPr>
              <w:ind w:left="40"/>
              <w:spacing w:after="0"/>
              <w:rPr>
                <w:sz w:val="20"/>
                <w:szCs w:val="20"/>
                <w:color w:val="auto"/>
              </w:rPr>
            </w:pPr>
            <w:r>
              <w:rPr>
                <w:rFonts w:ascii="Arial" w:cs="Arial" w:eastAsia="Arial" w:hAnsi="Arial"/>
                <w:sz w:val="13"/>
                <w:szCs w:val="13"/>
                <w:color w:val="auto"/>
              </w:rPr>
              <w:t>64,000</w:t>
            </w:r>
          </w:p>
        </w:tc>
        <w:tc>
          <w:tcPr>
            <w:tcW w:w="940" w:type="dxa"/>
            <w:vAlign w:val="bottom"/>
          </w:tcPr>
          <w:p>
            <w:pPr>
              <w:ind w:left="80"/>
              <w:spacing w:after="0"/>
              <w:rPr>
                <w:sz w:val="20"/>
                <w:szCs w:val="20"/>
                <w:color w:val="auto"/>
              </w:rPr>
            </w:pPr>
            <w:r>
              <w:rPr>
                <w:rFonts w:ascii="Arial" w:cs="Arial" w:eastAsia="Arial" w:hAnsi="Arial"/>
                <w:sz w:val="13"/>
                <w:szCs w:val="13"/>
                <w:color w:val="auto"/>
              </w:rPr>
              <w:t>Pathmark</w:t>
            </w:r>
          </w:p>
        </w:tc>
        <w:tc>
          <w:tcPr>
            <w:tcW w:w="3440" w:type="dxa"/>
            <w:vAlign w:val="bottom"/>
          </w:tcPr>
          <w:p>
            <w:pPr>
              <w:ind w:left="60"/>
              <w:spacing w:after="0"/>
              <w:rPr>
                <w:sz w:val="20"/>
                <w:szCs w:val="20"/>
                <w:color w:val="auto"/>
              </w:rPr>
            </w:pPr>
            <w:r>
              <w:rPr>
                <w:rFonts w:ascii="Arial" w:cs="Arial" w:eastAsia="Arial" w:hAnsi="Arial"/>
                <w:sz w:val="13"/>
                <w:szCs w:val="13"/>
                <w:color w:val="auto"/>
              </w:rPr>
              <w:t>L.A. Fitness</w:t>
            </w:r>
          </w:p>
        </w:tc>
      </w:tr>
      <w:tr>
        <w:trPr>
          <w:trHeight w:val="43"/>
        </w:trPr>
        <w:tc>
          <w:tcPr>
            <w:tcW w:w="4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52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3440" w:type="dxa"/>
            <w:vAlign w:val="bottom"/>
            <w:tcBorders>
              <w:bottom w:val="single" w:sz="8" w:color="CCEEFF"/>
            </w:tcBorders>
          </w:tcPr>
          <w:p>
            <w:pPr>
              <w:spacing w:after="0"/>
              <w:rPr>
                <w:sz w:val="3"/>
                <w:szCs w:val="3"/>
                <w:color w:val="auto"/>
              </w:rPr>
            </w:pPr>
          </w:p>
        </w:tc>
      </w:tr>
      <w:tr>
        <w:trPr>
          <w:trHeight w:val="129"/>
        </w:trPr>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5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b w:val="1"/>
                <w:bCs w:val="1"/>
                <w:color w:val="auto"/>
              </w:rPr>
              <w:t>Total New York / New</w:t>
            </w: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435,740</w:t>
            </w: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93"/>
              </w:rPr>
              <w:t>2,308,000</w:t>
            </w: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44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Jersey</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r>
      <w:tr>
        <w:trPr>
          <w:trHeight w:val="149"/>
        </w:trPr>
        <w:tc>
          <w:tcPr>
            <w:tcW w:w="40" w:type="dxa"/>
            <w:vAlign w:val="bottom"/>
          </w:tcPr>
          <w:p>
            <w:pPr>
              <w:spacing w:after="0"/>
              <w:rPr>
                <w:sz w:val="12"/>
                <w:szCs w:val="12"/>
                <w:color w:val="auto"/>
              </w:rPr>
            </w:pPr>
          </w:p>
        </w:tc>
        <w:tc>
          <w:tcPr>
            <w:tcW w:w="1360" w:type="dxa"/>
            <w:vAlign w:val="bottom"/>
            <w:gridSpan w:val="5"/>
          </w:tcPr>
          <w:p>
            <w:pPr>
              <w:ind w:left="60"/>
              <w:spacing w:after="0"/>
              <w:rPr>
                <w:sz w:val="20"/>
                <w:szCs w:val="20"/>
                <w:color w:val="auto"/>
              </w:rPr>
            </w:pPr>
            <w:r>
              <w:rPr>
                <w:rFonts w:ascii="Arial" w:cs="Arial" w:eastAsia="Arial" w:hAnsi="Arial"/>
                <w:sz w:val="13"/>
                <w:szCs w:val="13"/>
                <w:b w:val="1"/>
                <w:bCs w:val="1"/>
                <w:color w:val="auto"/>
              </w:rPr>
              <w:t>New England</w:t>
            </w:r>
          </w:p>
        </w:tc>
        <w:tc>
          <w:tcPr>
            <w:tcW w:w="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40" w:type="dxa"/>
            <w:vAlign w:val="bottom"/>
          </w:tcPr>
          <w:p>
            <w:pPr>
              <w:spacing w:after="0"/>
              <w:rPr>
                <w:sz w:val="8"/>
                <w:szCs w:val="8"/>
                <w:color w:val="auto"/>
              </w:rPr>
            </w:pPr>
          </w:p>
        </w:tc>
      </w:tr>
      <w:tr>
        <w:trPr>
          <w:trHeight w:val="148"/>
        </w:trPr>
        <w:tc>
          <w:tcPr>
            <w:tcW w:w="140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Assembly Square</w:t>
            </w:r>
          </w:p>
        </w:tc>
        <w:tc>
          <w:tcPr>
            <w:tcW w:w="40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w w:val="91"/>
              </w:rPr>
              <w:t>Boston-Cambridge-Quincy,   2005-2011</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242,751</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334,000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0"/>
              </w:rPr>
              <w:t>AC Moore / Bed, Bath &amp; Beyond / Christmas Tree Shops / Kmart</w:t>
            </w:r>
          </w:p>
        </w:tc>
      </w:tr>
      <w:tr>
        <w:trPr>
          <w:trHeight w:val="135"/>
        </w:trPr>
        <w:tc>
          <w:tcPr>
            <w:tcW w:w="1400" w:type="dxa"/>
            <w:vAlign w:val="bottom"/>
            <w:gridSpan w:val="6"/>
            <w:shd w:val="clear" w:color="auto" w:fill="CCEEFF"/>
          </w:tcPr>
          <w:p>
            <w:pPr>
              <w:ind w:left="40"/>
              <w:spacing w:after="0" w:line="135" w:lineRule="exact"/>
              <w:rPr>
                <w:sz w:val="20"/>
                <w:szCs w:val="20"/>
                <w:color w:val="auto"/>
              </w:rPr>
            </w:pPr>
            <w:r>
              <w:rPr>
                <w:rFonts w:ascii="Arial" w:cs="Arial" w:eastAsia="Arial" w:hAnsi="Arial"/>
                <w:sz w:val="13"/>
                <w:szCs w:val="13"/>
                <w:color w:val="auto"/>
              </w:rPr>
              <w:t>Marketplace/Assembly</w:t>
            </w:r>
          </w:p>
        </w:tc>
        <w:tc>
          <w:tcPr>
            <w:tcW w:w="400" w:type="dxa"/>
            <w:vAlign w:val="bottom"/>
            <w:shd w:val="clear" w:color="auto" w:fill="CCEEFF"/>
          </w:tcPr>
          <w:p>
            <w:pPr>
              <w:spacing w:after="0"/>
              <w:rPr>
                <w:sz w:val="11"/>
                <w:szCs w:val="11"/>
                <w:color w:val="auto"/>
              </w:rPr>
            </w:pPr>
          </w:p>
        </w:tc>
        <w:tc>
          <w:tcPr>
            <w:tcW w:w="15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MA-NH</w:t>
            </w: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4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 Staples / Sports Authority / TJ Maxx</w:t>
            </w:r>
          </w:p>
        </w:tc>
      </w:tr>
      <w:tr>
        <w:trPr>
          <w:trHeight w:val="176"/>
        </w:trPr>
        <w:tc>
          <w:tcPr>
            <w:tcW w:w="140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Row</w:t>
            </w: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r>
      <w:tr>
        <w:trPr>
          <w:trHeight w:val="148"/>
        </w:trPr>
        <w:tc>
          <w:tcPr>
            <w:tcW w:w="140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Chelsea Commons</w:t>
            </w:r>
          </w:p>
        </w:tc>
        <w:tc>
          <w:tcPr>
            <w:tcW w:w="400" w:type="dxa"/>
            <w:vAlign w:val="bottom"/>
          </w:tcPr>
          <w:p>
            <w:pPr>
              <w:spacing w:after="0"/>
              <w:rPr>
                <w:sz w:val="12"/>
                <w:szCs w:val="12"/>
                <w:color w:val="auto"/>
              </w:rPr>
            </w:pPr>
          </w:p>
        </w:tc>
        <w:tc>
          <w:tcPr>
            <w:tcW w:w="2180" w:type="dxa"/>
            <w:vAlign w:val="bottom"/>
            <w:gridSpan w:val="2"/>
          </w:tcPr>
          <w:p>
            <w:pPr>
              <w:ind w:left="60"/>
              <w:spacing w:after="0" w:line="148" w:lineRule="exact"/>
              <w:rPr>
                <w:sz w:val="20"/>
                <w:szCs w:val="20"/>
                <w:color w:val="auto"/>
              </w:rPr>
            </w:pPr>
            <w:r>
              <w:rPr>
                <w:rFonts w:ascii="Arial" w:cs="Arial" w:eastAsia="Arial" w:hAnsi="Arial"/>
                <w:sz w:val="13"/>
                <w:szCs w:val="13"/>
                <w:color w:val="auto"/>
                <w:w w:val="91"/>
              </w:rPr>
              <w:t>Boston-Cambridge-Quincy,   2006-2008</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30,669</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7,498</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222,000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auto"/>
              </w:rPr>
              <w:t>16,000</w:t>
            </w:r>
          </w:p>
        </w:tc>
        <w:tc>
          <w:tcPr>
            <w:tcW w:w="940" w:type="dxa"/>
            <w:vAlign w:val="bottom"/>
          </w:tcPr>
          <w:p>
            <w:pPr>
              <w:ind w:left="80"/>
              <w:spacing w:after="0" w:line="148" w:lineRule="exact"/>
              <w:rPr>
                <w:sz w:val="20"/>
                <w:szCs w:val="20"/>
                <w:color w:val="auto"/>
              </w:rPr>
            </w:pPr>
            <w:r>
              <w:rPr>
                <w:rFonts w:ascii="Arial" w:cs="Arial" w:eastAsia="Arial" w:hAnsi="Arial"/>
                <w:sz w:val="13"/>
                <w:szCs w:val="13"/>
                <w:color w:val="auto"/>
              </w:rPr>
              <w:t>Sav-A-Lot</w:t>
            </w:r>
          </w:p>
        </w:tc>
        <w:tc>
          <w:tcPr>
            <w:tcW w:w="3440" w:type="dxa"/>
            <w:vAlign w:val="bottom"/>
          </w:tcPr>
          <w:p>
            <w:pPr>
              <w:ind w:left="60"/>
              <w:spacing w:after="0" w:line="148" w:lineRule="exact"/>
              <w:rPr>
                <w:sz w:val="20"/>
                <w:szCs w:val="20"/>
                <w:color w:val="auto"/>
              </w:rPr>
            </w:pPr>
            <w:r>
              <w:rPr>
                <w:rFonts w:ascii="Arial" w:cs="Arial" w:eastAsia="Arial" w:hAnsi="Arial"/>
                <w:sz w:val="13"/>
                <w:szCs w:val="13"/>
                <w:color w:val="auto"/>
              </w:rPr>
              <w:t>Home Depot / Planet Fitness</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MA-NH</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56"/>
        </w:trPr>
        <w:tc>
          <w:tcPr>
            <w:tcW w:w="140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Dedham Plaza</w:t>
            </w:r>
          </w:p>
        </w:tc>
        <w:tc>
          <w:tcPr>
            <w:tcW w:w="400" w:type="dxa"/>
            <w:vAlign w:val="bottom"/>
            <w:shd w:val="clear" w:color="auto" w:fill="CCEEFF"/>
          </w:tcPr>
          <w:p>
            <w:pPr>
              <w:spacing w:after="0"/>
              <w:rPr>
                <w:sz w:val="13"/>
                <w:szCs w:val="13"/>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1"/>
              </w:rPr>
              <w:t>Boston-Cambridge-Quincy,</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33,844</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243,000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80,000</w:t>
            </w: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Star Market</w:t>
            </w:r>
          </w:p>
        </w:tc>
        <w:tc>
          <w:tcPr>
            <w:tcW w:w="344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MA-NH</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r>
      <w:tr>
        <w:trPr>
          <w:trHeight w:val="148"/>
        </w:trPr>
        <w:tc>
          <w:tcPr>
            <w:tcW w:w="140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Linden Square</w:t>
            </w:r>
          </w:p>
        </w:tc>
        <w:tc>
          <w:tcPr>
            <w:tcW w:w="400" w:type="dxa"/>
            <w:vAlign w:val="bottom"/>
          </w:tcPr>
          <w:p>
            <w:pPr>
              <w:spacing w:after="0"/>
              <w:rPr>
                <w:sz w:val="12"/>
                <w:szCs w:val="12"/>
                <w:color w:val="auto"/>
              </w:rPr>
            </w:pPr>
          </w:p>
        </w:tc>
        <w:tc>
          <w:tcPr>
            <w:tcW w:w="1520" w:type="dxa"/>
            <w:vAlign w:val="bottom"/>
          </w:tcPr>
          <w:p>
            <w:pPr>
              <w:ind w:left="60"/>
              <w:spacing w:after="0" w:line="148" w:lineRule="exact"/>
              <w:rPr>
                <w:sz w:val="20"/>
                <w:szCs w:val="20"/>
                <w:color w:val="auto"/>
              </w:rPr>
            </w:pPr>
            <w:r>
              <w:rPr>
                <w:rFonts w:ascii="Arial" w:cs="Arial" w:eastAsia="Arial" w:hAnsi="Arial"/>
                <w:sz w:val="13"/>
                <w:szCs w:val="13"/>
                <w:color w:val="auto"/>
                <w:w w:val="91"/>
              </w:rPr>
              <w:t>Boston-Cambridge-Quincy,</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146,426</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224,000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auto"/>
              </w:rPr>
              <w:t>50,000</w:t>
            </w:r>
          </w:p>
        </w:tc>
        <w:tc>
          <w:tcPr>
            <w:tcW w:w="940" w:type="dxa"/>
            <w:vAlign w:val="bottom"/>
          </w:tcPr>
          <w:p>
            <w:pPr>
              <w:ind w:left="80"/>
              <w:spacing w:after="0" w:line="148" w:lineRule="exact"/>
              <w:rPr>
                <w:sz w:val="20"/>
                <w:szCs w:val="20"/>
                <w:color w:val="auto"/>
              </w:rPr>
            </w:pPr>
            <w:r>
              <w:rPr>
                <w:rFonts w:ascii="Arial" w:cs="Arial" w:eastAsia="Arial" w:hAnsi="Arial"/>
                <w:sz w:val="13"/>
                <w:szCs w:val="13"/>
                <w:color w:val="auto"/>
              </w:rPr>
              <w:t>Roche Bros.</w:t>
            </w:r>
          </w:p>
        </w:tc>
        <w:tc>
          <w:tcPr>
            <w:tcW w:w="3440" w:type="dxa"/>
            <w:vAlign w:val="bottom"/>
          </w:tcPr>
          <w:p>
            <w:pPr>
              <w:ind w:left="6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MA-NH</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56"/>
        </w:trPr>
        <w:tc>
          <w:tcPr>
            <w:tcW w:w="140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North Dartmouth</w:t>
            </w:r>
          </w:p>
        </w:tc>
        <w:tc>
          <w:tcPr>
            <w:tcW w:w="400" w:type="dxa"/>
            <w:vAlign w:val="bottom"/>
            <w:shd w:val="clear" w:color="auto" w:fill="CCEEFF"/>
          </w:tcPr>
          <w:p>
            <w:pPr>
              <w:spacing w:after="0"/>
              <w:rPr>
                <w:sz w:val="13"/>
                <w:szCs w:val="13"/>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1"/>
              </w:rPr>
              <w:t>Boston-Cambridge-Quincy,</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9,368</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48,000</w:t>
            </w: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Stop &amp; Shop</w:t>
            </w:r>
          </w:p>
        </w:tc>
        <w:tc>
          <w:tcPr>
            <w:tcW w:w="344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MA-NH</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r>
      <w:tr>
        <w:trPr>
          <w:trHeight w:val="148"/>
        </w:trPr>
        <w:tc>
          <w:tcPr>
            <w:tcW w:w="140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Queen Anne Plaza</w:t>
            </w:r>
          </w:p>
        </w:tc>
        <w:tc>
          <w:tcPr>
            <w:tcW w:w="400" w:type="dxa"/>
            <w:vAlign w:val="bottom"/>
          </w:tcPr>
          <w:p>
            <w:pPr>
              <w:spacing w:after="0"/>
              <w:rPr>
                <w:sz w:val="12"/>
                <w:szCs w:val="12"/>
                <w:color w:val="auto"/>
              </w:rPr>
            </w:pPr>
          </w:p>
        </w:tc>
        <w:tc>
          <w:tcPr>
            <w:tcW w:w="1520" w:type="dxa"/>
            <w:vAlign w:val="bottom"/>
          </w:tcPr>
          <w:p>
            <w:pPr>
              <w:ind w:left="60"/>
              <w:spacing w:after="0" w:line="148" w:lineRule="exact"/>
              <w:rPr>
                <w:sz w:val="20"/>
                <w:szCs w:val="20"/>
                <w:color w:val="auto"/>
              </w:rPr>
            </w:pPr>
            <w:r>
              <w:rPr>
                <w:rFonts w:ascii="Arial" w:cs="Arial" w:eastAsia="Arial" w:hAnsi="Arial"/>
                <w:sz w:val="13"/>
                <w:szCs w:val="13"/>
                <w:color w:val="auto"/>
                <w:w w:val="91"/>
              </w:rPr>
              <w:t>Boston-Cambridge-Quincy,</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1994</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15,788</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149,000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auto"/>
              </w:rPr>
              <w:t>50,000</w:t>
            </w:r>
          </w:p>
        </w:tc>
        <w:tc>
          <w:tcPr>
            <w:tcW w:w="940" w:type="dxa"/>
            <w:vAlign w:val="bottom"/>
          </w:tcPr>
          <w:p>
            <w:pPr>
              <w:ind w:left="80"/>
              <w:spacing w:after="0" w:line="148" w:lineRule="exact"/>
              <w:rPr>
                <w:sz w:val="20"/>
                <w:szCs w:val="20"/>
                <w:color w:val="auto"/>
              </w:rPr>
            </w:pPr>
            <w:r>
              <w:rPr>
                <w:rFonts w:ascii="Arial" w:cs="Arial" w:eastAsia="Arial" w:hAnsi="Arial"/>
                <w:sz w:val="13"/>
                <w:szCs w:val="13"/>
                <w:color w:val="auto"/>
              </w:rPr>
              <w:t>Hannaford</w:t>
            </w:r>
          </w:p>
        </w:tc>
        <w:tc>
          <w:tcPr>
            <w:tcW w:w="3440" w:type="dxa"/>
            <w:vAlign w:val="bottom"/>
          </w:tcPr>
          <w:p>
            <w:pPr>
              <w:ind w:left="60"/>
              <w:spacing w:after="0" w:line="148" w:lineRule="exact"/>
              <w:rPr>
                <w:sz w:val="20"/>
                <w:szCs w:val="20"/>
                <w:color w:val="auto"/>
              </w:rPr>
            </w:pPr>
            <w:r>
              <w:rPr>
                <w:rFonts w:ascii="Arial" w:cs="Arial" w:eastAsia="Arial" w:hAnsi="Arial"/>
                <w:sz w:val="13"/>
                <w:szCs w:val="13"/>
                <w:color w:val="auto"/>
              </w:rPr>
              <w:t>TJ Maxx / HomeGoods</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MA-NH</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56"/>
        </w:trPr>
        <w:tc>
          <w:tcPr>
            <w:tcW w:w="140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Saugus Plaza</w:t>
            </w:r>
          </w:p>
        </w:tc>
        <w:tc>
          <w:tcPr>
            <w:tcW w:w="400" w:type="dxa"/>
            <w:vAlign w:val="bottom"/>
            <w:shd w:val="clear" w:color="auto" w:fill="CCEEFF"/>
          </w:tcPr>
          <w:p>
            <w:pPr>
              <w:spacing w:after="0"/>
              <w:rPr>
                <w:sz w:val="13"/>
                <w:szCs w:val="13"/>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1"/>
              </w:rPr>
              <w:t>Boston-Cambridge-Quincy,</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14,641</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170,000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55,000</w:t>
            </w: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Super Stop &amp;</w:t>
            </w:r>
          </w:p>
        </w:tc>
        <w:tc>
          <w:tcPr>
            <w:tcW w:w="3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Kmart</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MA-NH</w:t>
            </w:r>
          </w:p>
        </w:tc>
        <w:tc>
          <w:tcPr>
            <w:tcW w:w="6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w:t>
            </w:r>
          </w:p>
        </w:tc>
        <w:tc>
          <w:tcPr>
            <w:tcW w:w="344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3"/>
                <w:szCs w:val="13"/>
                <w:b w:val="1"/>
                <w:bCs w:val="1"/>
                <w:color w:val="auto"/>
              </w:rPr>
              <w:t>Total New England</w:t>
            </w:r>
          </w:p>
        </w:tc>
        <w:tc>
          <w:tcPr>
            <w:tcW w:w="66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493,487</w:t>
            </w:r>
          </w:p>
        </w:tc>
        <w:tc>
          <w:tcPr>
            <w:tcW w:w="6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1,390,000</w:t>
            </w:r>
          </w:p>
        </w:tc>
        <w:tc>
          <w:tcPr>
            <w:tcW w:w="520" w:type="dxa"/>
            <w:vAlign w:val="bottom"/>
          </w:tcPr>
          <w:p>
            <w:pPr>
              <w:jc w:val="right"/>
              <w:spacing w:after="0"/>
              <w:rPr>
                <w:sz w:val="20"/>
                <w:szCs w:val="20"/>
                <w:color w:val="auto"/>
              </w:rPr>
            </w:pPr>
            <w:r>
              <w:rPr>
                <w:rFonts w:ascii="Arial" w:cs="Arial" w:eastAsia="Arial" w:hAnsi="Arial"/>
                <w:sz w:val="13"/>
                <w:szCs w:val="13"/>
                <w:color w:val="auto"/>
              </w:rPr>
              <w:t>96%</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4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36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Baltimore</w:t>
            </w:r>
          </w:p>
        </w:tc>
        <w:tc>
          <w:tcPr>
            <w:tcW w:w="4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15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CCEEFF"/>
            </w:tcBorders>
            <w:shd w:val="clear" w:color="auto" w:fill="CCEEFF"/>
          </w:tcPr>
          <w:p>
            <w:pPr>
              <w:spacing w:after="0"/>
              <w:rPr>
                <w:sz w:val="8"/>
                <w:szCs w:val="8"/>
                <w:color w:val="auto"/>
              </w:rPr>
            </w:pPr>
          </w:p>
        </w:tc>
        <w:tc>
          <w:tcPr>
            <w:tcW w:w="3440" w:type="dxa"/>
            <w:vAlign w:val="bottom"/>
            <w:tcBorders>
              <w:top w:val="single" w:sz="8" w:color="CCEEFF"/>
            </w:tcBorders>
            <w:shd w:val="clear" w:color="auto" w:fill="CCEEFF"/>
          </w:tcPr>
          <w:p>
            <w:pPr>
              <w:spacing w:after="0"/>
              <w:rPr>
                <w:sz w:val="8"/>
                <w:szCs w:val="8"/>
                <w:color w:val="auto"/>
              </w:rPr>
            </w:pPr>
          </w:p>
        </w:tc>
      </w:tr>
      <w:tr>
        <w:trPr>
          <w:trHeight w:val="173"/>
        </w:trPr>
        <w:tc>
          <w:tcPr>
            <w:tcW w:w="1400" w:type="dxa"/>
            <w:vAlign w:val="bottom"/>
            <w:gridSpan w:val="6"/>
          </w:tcPr>
          <w:p>
            <w:pPr>
              <w:ind w:left="40"/>
              <w:spacing w:after="0"/>
              <w:rPr>
                <w:sz w:val="20"/>
                <w:szCs w:val="20"/>
                <w:color w:val="auto"/>
              </w:rPr>
            </w:pPr>
            <w:r>
              <w:rPr>
                <w:rFonts w:ascii="Arial" w:cs="Arial" w:eastAsia="Arial" w:hAnsi="Arial"/>
                <w:sz w:val="13"/>
                <w:szCs w:val="13"/>
                <w:color w:val="auto"/>
              </w:rPr>
              <w:t>Governor Plaza</w:t>
            </w:r>
          </w:p>
        </w:tc>
        <w:tc>
          <w:tcPr>
            <w:tcW w:w="400" w:type="dxa"/>
            <w:vAlign w:val="bottom"/>
          </w:tcPr>
          <w:p>
            <w:pPr>
              <w:spacing w:after="0"/>
              <w:rPr>
                <w:sz w:val="15"/>
                <w:szCs w:val="15"/>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Baltimore, MD</w:t>
            </w:r>
          </w:p>
        </w:tc>
        <w:tc>
          <w:tcPr>
            <w:tcW w:w="660" w:type="dxa"/>
            <w:vAlign w:val="bottom"/>
          </w:tcPr>
          <w:p>
            <w:pPr>
              <w:jc w:val="right"/>
              <w:spacing w:after="0"/>
              <w:rPr>
                <w:sz w:val="20"/>
                <w:szCs w:val="20"/>
                <w:color w:val="auto"/>
              </w:rPr>
            </w:pPr>
            <w:r>
              <w:rPr>
                <w:rFonts w:ascii="Arial" w:cs="Arial" w:eastAsia="Arial" w:hAnsi="Arial"/>
                <w:sz w:val="13"/>
                <w:szCs w:val="13"/>
                <w:color w:val="auto"/>
              </w:rPr>
              <w:t>1985</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26,536</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267,000</w:t>
            </w:r>
          </w:p>
        </w:tc>
        <w:tc>
          <w:tcPr>
            <w:tcW w:w="52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ind w:left="40"/>
              <w:spacing w:after="0"/>
              <w:rPr>
                <w:sz w:val="20"/>
                <w:szCs w:val="20"/>
                <w:color w:val="auto"/>
              </w:rPr>
            </w:pPr>
            <w:r>
              <w:rPr>
                <w:rFonts w:ascii="Arial" w:cs="Arial" w:eastAsia="Arial" w:hAnsi="Arial"/>
                <w:sz w:val="13"/>
                <w:szCs w:val="13"/>
                <w:color w:val="auto"/>
              </w:rPr>
              <w:t>16,500</w:t>
            </w:r>
          </w:p>
        </w:tc>
        <w:tc>
          <w:tcPr>
            <w:tcW w:w="940" w:type="dxa"/>
            <w:vAlign w:val="bottom"/>
          </w:tcPr>
          <w:p>
            <w:pPr>
              <w:ind w:left="80"/>
              <w:spacing w:after="0"/>
              <w:rPr>
                <w:sz w:val="20"/>
                <w:szCs w:val="20"/>
                <w:color w:val="auto"/>
              </w:rPr>
            </w:pPr>
            <w:r>
              <w:rPr>
                <w:rFonts w:ascii="Arial" w:cs="Arial" w:eastAsia="Arial" w:hAnsi="Arial"/>
                <w:sz w:val="13"/>
                <w:szCs w:val="13"/>
                <w:color w:val="auto"/>
              </w:rPr>
              <w:t>Aldi</w:t>
            </w:r>
          </w:p>
        </w:tc>
        <w:tc>
          <w:tcPr>
            <w:tcW w:w="3440" w:type="dxa"/>
            <w:vAlign w:val="bottom"/>
          </w:tcPr>
          <w:p>
            <w:pPr>
              <w:ind w:left="60"/>
              <w:spacing w:after="0"/>
              <w:rPr>
                <w:sz w:val="20"/>
                <w:szCs w:val="20"/>
                <w:color w:val="auto"/>
              </w:rPr>
            </w:pPr>
            <w:r>
              <w:rPr>
                <w:rFonts w:ascii="Arial" w:cs="Arial" w:eastAsia="Arial" w:hAnsi="Arial"/>
                <w:sz w:val="13"/>
                <w:szCs w:val="13"/>
                <w:color w:val="auto"/>
              </w:rPr>
              <w:t>L.A. Fitness / Dick’s Sporting Goods</w:t>
            </w:r>
          </w:p>
        </w:tc>
      </w:tr>
      <w:tr>
        <w:trPr>
          <w:trHeight w:val="43"/>
        </w:trPr>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40" w:type="dxa"/>
            <w:vAlign w:val="bottom"/>
          </w:tcPr>
          <w:p>
            <w:pPr>
              <w:spacing w:after="0"/>
              <w:rPr>
                <w:sz w:val="3"/>
                <w:szCs w:val="3"/>
                <w:color w:val="auto"/>
              </w:rPr>
            </w:pPr>
          </w:p>
        </w:tc>
      </w:tr>
      <w:tr>
        <w:trPr>
          <w:trHeight w:val="148"/>
        </w:trPr>
        <w:tc>
          <w:tcPr>
            <w:tcW w:w="140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Perring Plaza</w:t>
            </w:r>
          </w:p>
        </w:tc>
        <w:tc>
          <w:tcPr>
            <w:tcW w:w="400" w:type="dxa"/>
            <w:vAlign w:val="bottom"/>
            <w:shd w:val="clear" w:color="auto" w:fill="CCEEFF"/>
          </w:tcPr>
          <w:p>
            <w:pPr>
              <w:spacing w:after="0"/>
              <w:rPr>
                <w:sz w:val="12"/>
                <w:szCs w:val="12"/>
                <w:color w:val="auto"/>
              </w:rPr>
            </w:pPr>
          </w:p>
        </w:tc>
        <w:tc>
          <w:tcPr>
            <w:tcW w:w="15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Baltimore, MD</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1985</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28,363</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395,000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58,000</w:t>
            </w:r>
          </w:p>
        </w:tc>
        <w:tc>
          <w:tcPr>
            <w:tcW w:w="9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4"/>
              </w:rPr>
              <w:t>Shoppers Food</w:t>
            </w:r>
          </w:p>
        </w:tc>
        <w:tc>
          <w:tcPr>
            <w:tcW w:w="34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Home Depot / Burlington Coat Factory / Jo-Ann Stores</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Warehouse</w:t>
            </w:r>
          </w:p>
        </w:tc>
        <w:tc>
          <w:tcPr>
            <w:tcW w:w="344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747" w:right="239" w:bottom="1440" w:gutter="0" w:footer="0" w:header="0"/>
          <w:type w:val="continuous"/>
        </w:sectPr>
      </w:pPr>
    </w:p>
    <w:bookmarkStart w:id="22" w:name="page23"/>
    <w:bookmarkEnd w:id="22"/>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Mortgage</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6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and/or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60" w:type="dxa"/>
            <w:vAlign w:val="bottom"/>
          </w:tcPr>
          <w:p>
            <w:pPr>
              <w:spacing w:after="0"/>
              <w:rPr>
                <w:sz w:val="11"/>
                <w:szCs w:val="11"/>
                <w:color w:val="auto"/>
              </w:rPr>
            </w:pPr>
          </w:p>
        </w:tc>
        <w:tc>
          <w:tcPr>
            <w:tcW w:w="34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80" w:type="dxa"/>
            <w:vAlign w:val="bottom"/>
          </w:tcPr>
          <w:p>
            <w:pPr>
              <w:spacing w:after="0"/>
              <w:rPr>
                <w:sz w:val="11"/>
                <w:szCs w:val="11"/>
                <w:color w:val="auto"/>
              </w:rPr>
            </w:pPr>
          </w:p>
        </w:tc>
        <w:tc>
          <w:tcPr>
            <w:tcW w:w="5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Anchor</w:t>
            </w:r>
          </w:p>
        </w:tc>
        <w:tc>
          <w:tcPr>
            <w:tcW w:w="86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460" w:type="dxa"/>
            <w:vAlign w:val="bottom"/>
          </w:tcPr>
          <w:p>
            <w:pPr>
              <w:spacing w:after="0"/>
              <w:rPr>
                <w:sz w:val="11"/>
                <w:szCs w:val="11"/>
                <w:color w:val="auto"/>
              </w:rPr>
            </w:pPr>
          </w:p>
        </w:tc>
      </w:tr>
      <w:tr>
        <w:trPr>
          <w:trHeight w:val="174"/>
        </w:trPr>
        <w:tc>
          <w:tcPr>
            <w:tcW w:w="138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Property Name</w:t>
            </w: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MSA Description</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Acquired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GLA (2)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4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6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60" w:type="dxa"/>
            <w:vAlign w:val="bottom"/>
          </w:tcPr>
          <w:p>
            <w:pPr>
              <w:spacing w:after="0"/>
              <w:rPr>
                <w:sz w:val="11"/>
                <w:szCs w:val="11"/>
                <w:color w:val="auto"/>
              </w:rPr>
            </w:pPr>
          </w:p>
        </w:tc>
      </w:tr>
      <w:tr>
        <w:trPr>
          <w:trHeight w:val="170"/>
        </w:trPr>
        <w:tc>
          <w:tcPr>
            <w:tcW w:w="1380" w:type="dxa"/>
            <w:vAlign w:val="bottom"/>
            <w:gridSpan w:val="5"/>
          </w:tcPr>
          <w:p>
            <w:pPr>
              <w:ind w:left="40"/>
              <w:spacing w:after="0"/>
              <w:rPr>
                <w:sz w:val="20"/>
                <w:szCs w:val="20"/>
                <w:color w:val="auto"/>
              </w:rPr>
            </w:pPr>
            <w:r>
              <w:rPr>
                <w:rFonts w:ascii="Arial" w:cs="Arial" w:eastAsia="Arial" w:hAnsi="Arial"/>
                <w:sz w:val="13"/>
                <w:szCs w:val="13"/>
                <w:color w:val="auto"/>
                <w:w w:val="98"/>
              </w:rPr>
              <w:t>THE AVENUE at White</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500" w:type="dxa"/>
            <w:vAlign w:val="bottom"/>
          </w:tcPr>
          <w:p>
            <w:pPr>
              <w:ind w:left="80"/>
              <w:spacing w:after="0"/>
              <w:rPr>
                <w:sz w:val="20"/>
                <w:szCs w:val="20"/>
                <w:color w:val="auto"/>
              </w:rPr>
            </w:pPr>
            <w:r>
              <w:rPr>
                <w:rFonts w:ascii="Arial" w:cs="Arial" w:eastAsia="Arial" w:hAnsi="Arial"/>
                <w:sz w:val="13"/>
                <w:szCs w:val="13"/>
                <w:color w:val="auto"/>
              </w:rPr>
              <w:t>Baltimore, MD</w:t>
            </w:r>
          </w:p>
        </w:tc>
        <w:tc>
          <w:tcPr>
            <w:tcW w:w="700" w:type="dxa"/>
            <w:vAlign w:val="bottom"/>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96,611</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55,659</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298,000</w:t>
            </w:r>
          </w:p>
        </w:tc>
        <w:tc>
          <w:tcPr>
            <w:tcW w:w="52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60" w:type="dxa"/>
            <w:vAlign w:val="bottom"/>
          </w:tcPr>
          <w:p>
            <w:pPr>
              <w:ind w:left="120"/>
              <w:spacing w:after="0"/>
              <w:rPr>
                <w:sz w:val="20"/>
                <w:szCs w:val="20"/>
                <w:color w:val="auto"/>
              </w:rPr>
            </w:pPr>
            <w:r>
              <w:rPr>
                <w:rFonts w:ascii="Arial" w:cs="Arial" w:eastAsia="Arial" w:hAnsi="Arial"/>
                <w:sz w:val="13"/>
                <w:szCs w:val="13"/>
                <w:color w:val="auto"/>
              </w:rPr>
              <w:t>AMC Loews / Old Navy / Barnes &amp; Noble / AC Moore</w:t>
            </w:r>
          </w:p>
        </w:tc>
      </w:tr>
      <w:tr>
        <w:trPr>
          <w:trHeight w:val="168"/>
        </w:trPr>
        <w:tc>
          <w:tcPr>
            <w:tcW w:w="1380" w:type="dxa"/>
            <w:vAlign w:val="bottom"/>
            <w:gridSpan w:val="5"/>
          </w:tcPr>
          <w:p>
            <w:pPr>
              <w:ind w:left="40"/>
              <w:spacing w:after="0"/>
              <w:rPr>
                <w:sz w:val="20"/>
                <w:szCs w:val="20"/>
                <w:color w:val="auto"/>
              </w:rPr>
            </w:pPr>
            <w:r>
              <w:rPr>
                <w:rFonts w:ascii="Arial" w:cs="Arial" w:eastAsia="Arial" w:hAnsi="Arial"/>
                <w:sz w:val="13"/>
                <w:szCs w:val="13"/>
                <w:color w:val="auto"/>
              </w:rPr>
              <w:t>Marsh</w:t>
            </w: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60" w:type="dxa"/>
            <w:vAlign w:val="bottom"/>
          </w:tcPr>
          <w:p>
            <w:pPr>
              <w:spacing w:after="0"/>
              <w:rPr>
                <w:sz w:val="14"/>
                <w:szCs w:val="14"/>
                <w:color w:val="auto"/>
              </w:rPr>
            </w:pPr>
          </w:p>
        </w:tc>
      </w:tr>
      <w:tr>
        <w:trPr>
          <w:trHeight w:val="156"/>
        </w:trPr>
        <w:tc>
          <w:tcPr>
            <w:tcW w:w="138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The Shoppes at</w:t>
            </w:r>
          </w:p>
        </w:tc>
        <w:tc>
          <w:tcPr>
            <w:tcW w:w="340" w:type="dxa"/>
            <w:vAlign w:val="bottom"/>
            <w:shd w:val="clear" w:color="auto" w:fill="CCEEFF"/>
          </w:tcPr>
          <w:p>
            <w:pPr>
              <w:spacing w:after="0"/>
              <w:rPr>
                <w:sz w:val="13"/>
                <w:szCs w:val="13"/>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Baltimore, MD</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17,326</w:t>
            </w:r>
          </w:p>
        </w:tc>
        <w:tc>
          <w:tcPr>
            <w:tcW w:w="6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60" w:type="dxa"/>
            <w:vAlign w:val="bottom"/>
            <w:shd w:val="clear" w:color="auto" w:fill="CCEEFF"/>
          </w:tcPr>
          <w:p>
            <w:pPr>
              <w:spacing w:after="0"/>
              <w:rPr>
                <w:sz w:val="13"/>
                <w:szCs w:val="13"/>
                <w:color w:val="auto"/>
              </w:rPr>
            </w:pPr>
          </w:p>
        </w:tc>
      </w:tr>
      <w:tr>
        <w:trPr>
          <w:trHeight w:val="176"/>
        </w:trPr>
        <w:tc>
          <w:tcPr>
            <w:tcW w:w="138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Nottingham Square</w:t>
            </w: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rPr>
                <w:sz w:val="15"/>
                <w:szCs w:val="15"/>
                <w:color w:val="auto"/>
              </w:rPr>
            </w:pPr>
          </w:p>
        </w:tc>
      </w:tr>
      <w:tr>
        <w:trPr>
          <w:trHeight w:val="173"/>
        </w:trPr>
        <w:tc>
          <w:tcPr>
            <w:tcW w:w="1380" w:type="dxa"/>
            <w:vAlign w:val="bottom"/>
            <w:gridSpan w:val="5"/>
          </w:tcPr>
          <w:p>
            <w:pPr>
              <w:ind w:left="40"/>
              <w:spacing w:after="0"/>
              <w:rPr>
                <w:sz w:val="20"/>
                <w:szCs w:val="20"/>
                <w:color w:val="auto"/>
              </w:rPr>
            </w:pPr>
            <w:r>
              <w:rPr>
                <w:rFonts w:ascii="Arial" w:cs="Arial" w:eastAsia="Arial" w:hAnsi="Arial"/>
                <w:sz w:val="13"/>
                <w:szCs w:val="13"/>
                <w:color w:val="auto"/>
              </w:rPr>
              <w:t>White Marsh Plaza</w:t>
            </w:r>
          </w:p>
        </w:tc>
        <w:tc>
          <w:tcPr>
            <w:tcW w:w="34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Baltimore, MD</w:t>
            </w:r>
          </w:p>
        </w:tc>
        <w:tc>
          <w:tcPr>
            <w:tcW w:w="700" w:type="dxa"/>
            <w:vAlign w:val="bottom"/>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25,053</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9,050</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80,000</w:t>
            </w:r>
          </w:p>
        </w:tc>
        <w:tc>
          <w:tcPr>
            <w:tcW w:w="52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ind w:left="60"/>
              <w:spacing w:after="0"/>
              <w:rPr>
                <w:sz w:val="20"/>
                <w:szCs w:val="20"/>
                <w:color w:val="auto"/>
              </w:rPr>
            </w:pPr>
            <w:r>
              <w:rPr>
                <w:rFonts w:ascii="Arial" w:cs="Arial" w:eastAsia="Arial" w:hAnsi="Arial"/>
                <w:sz w:val="13"/>
                <w:szCs w:val="13"/>
                <w:color w:val="auto"/>
              </w:rPr>
              <w:t>54,000</w:t>
            </w:r>
          </w:p>
        </w:tc>
        <w:tc>
          <w:tcPr>
            <w:tcW w:w="86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46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60" w:type="dxa"/>
            <w:vAlign w:val="bottom"/>
          </w:tcPr>
          <w:p>
            <w:pPr>
              <w:spacing w:after="0"/>
              <w:rPr>
                <w:sz w:val="8"/>
                <w:szCs w:val="8"/>
                <w:color w:val="auto"/>
              </w:rPr>
            </w:pPr>
          </w:p>
        </w:tc>
      </w:tr>
      <w:tr>
        <w:trPr>
          <w:trHeight w:val="173"/>
        </w:trPr>
        <w:tc>
          <w:tcPr>
            <w:tcW w:w="138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White Marsh Other</w:t>
            </w: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Baltimore, MD</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36,191</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70,000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46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ind w:left="80"/>
              <w:spacing w:after="0"/>
              <w:rPr>
                <w:sz w:val="20"/>
                <w:szCs w:val="20"/>
                <w:color w:val="auto"/>
              </w:rPr>
            </w:pPr>
            <w:r>
              <w:rPr>
                <w:rFonts w:ascii="Arial" w:cs="Arial" w:eastAsia="Arial" w:hAnsi="Arial"/>
                <w:sz w:val="13"/>
                <w:szCs w:val="13"/>
                <w:b w:val="1"/>
                <w:bCs w:val="1"/>
                <w:color w:val="auto"/>
              </w:rPr>
              <w:t>Total Baltimore</w:t>
            </w:r>
          </w:p>
        </w:tc>
        <w:tc>
          <w:tcPr>
            <w:tcW w:w="70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230,080</w:t>
            </w:r>
          </w:p>
        </w:tc>
        <w:tc>
          <w:tcPr>
            <w:tcW w:w="66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1,142,000</w:t>
            </w:r>
          </w:p>
        </w:tc>
        <w:tc>
          <w:tcPr>
            <w:tcW w:w="52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6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6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34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rPr>
              <w:t>Chicago</w:t>
            </w:r>
          </w:p>
        </w:tc>
        <w:tc>
          <w:tcPr>
            <w:tcW w:w="3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15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CCEEFF"/>
            </w:tcBorders>
            <w:shd w:val="clear" w:color="auto" w:fill="CCEEFF"/>
          </w:tcPr>
          <w:p>
            <w:pPr>
              <w:spacing w:after="0"/>
              <w:rPr>
                <w:sz w:val="8"/>
                <w:szCs w:val="8"/>
                <w:color w:val="auto"/>
              </w:rPr>
            </w:pPr>
          </w:p>
        </w:tc>
        <w:tc>
          <w:tcPr>
            <w:tcW w:w="3460" w:type="dxa"/>
            <w:vAlign w:val="bottom"/>
            <w:tcBorders>
              <w:top w:val="single" w:sz="8" w:color="CCEEFF"/>
            </w:tcBorders>
            <w:shd w:val="clear" w:color="auto" w:fill="CCEEFF"/>
          </w:tcPr>
          <w:p>
            <w:pPr>
              <w:spacing w:after="0"/>
              <w:rPr>
                <w:sz w:val="8"/>
                <w:szCs w:val="8"/>
                <w:color w:val="auto"/>
              </w:rPr>
            </w:pPr>
          </w:p>
        </w:tc>
      </w:tr>
      <w:tr>
        <w:trPr>
          <w:trHeight w:val="173"/>
        </w:trPr>
        <w:tc>
          <w:tcPr>
            <w:tcW w:w="1380" w:type="dxa"/>
            <w:vAlign w:val="bottom"/>
            <w:gridSpan w:val="5"/>
          </w:tcPr>
          <w:p>
            <w:pPr>
              <w:ind w:left="40"/>
              <w:spacing w:after="0"/>
              <w:rPr>
                <w:sz w:val="20"/>
                <w:szCs w:val="20"/>
                <w:color w:val="auto"/>
              </w:rPr>
            </w:pPr>
            <w:r>
              <w:rPr>
                <w:rFonts w:ascii="Arial" w:cs="Arial" w:eastAsia="Arial" w:hAnsi="Arial"/>
                <w:sz w:val="13"/>
                <w:szCs w:val="13"/>
                <w:color w:val="auto"/>
              </w:rPr>
              <w:t>Crossroads</w:t>
            </w:r>
          </w:p>
        </w:tc>
        <w:tc>
          <w:tcPr>
            <w:tcW w:w="34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Chicago, IL</w:t>
            </w:r>
          </w:p>
        </w:tc>
        <w:tc>
          <w:tcPr>
            <w:tcW w:w="700" w:type="dxa"/>
            <w:vAlign w:val="bottom"/>
          </w:tcPr>
          <w:p>
            <w:pPr>
              <w:jc w:val="right"/>
              <w:spacing w:after="0"/>
              <w:rPr>
                <w:sz w:val="20"/>
                <w:szCs w:val="20"/>
                <w:color w:val="auto"/>
              </w:rPr>
            </w:pPr>
            <w:r>
              <w:rPr>
                <w:rFonts w:ascii="Arial" w:cs="Arial" w:eastAsia="Arial" w:hAnsi="Arial"/>
                <w:sz w:val="13"/>
                <w:szCs w:val="13"/>
                <w:color w:val="auto"/>
              </w:rPr>
              <w:t>1993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30,903</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168,000</w:t>
            </w:r>
          </w:p>
        </w:tc>
        <w:tc>
          <w:tcPr>
            <w:tcW w:w="520" w:type="dxa"/>
            <w:vAlign w:val="bottom"/>
          </w:tcPr>
          <w:p>
            <w:pPr>
              <w:jc w:val="right"/>
              <w:spacing w:after="0"/>
              <w:rPr>
                <w:sz w:val="20"/>
                <w:szCs w:val="20"/>
                <w:color w:val="auto"/>
              </w:rPr>
            </w:pPr>
            <w:r>
              <w:rPr>
                <w:rFonts w:ascii="Arial" w:cs="Arial" w:eastAsia="Arial" w:hAnsi="Arial"/>
                <w:sz w:val="13"/>
                <w:szCs w:val="13"/>
                <w:color w:val="auto"/>
              </w:rPr>
              <w:t>91%</w:t>
            </w: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60" w:type="dxa"/>
            <w:vAlign w:val="bottom"/>
          </w:tcPr>
          <w:p>
            <w:pPr>
              <w:ind w:left="120"/>
              <w:spacing w:after="0"/>
              <w:rPr>
                <w:sz w:val="20"/>
                <w:szCs w:val="20"/>
                <w:color w:val="auto"/>
              </w:rPr>
            </w:pPr>
            <w:r>
              <w:rPr>
                <w:rFonts w:ascii="Arial" w:cs="Arial" w:eastAsia="Arial" w:hAnsi="Arial"/>
                <w:sz w:val="13"/>
                <w:szCs w:val="13"/>
                <w:color w:val="auto"/>
              </w:rPr>
              <w:t>Golfsmith / Guitar Center / L.A. Fitness</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60" w:type="dxa"/>
            <w:vAlign w:val="bottom"/>
          </w:tcPr>
          <w:p>
            <w:pPr>
              <w:spacing w:after="0"/>
              <w:rPr>
                <w:sz w:val="8"/>
                <w:szCs w:val="8"/>
                <w:color w:val="auto"/>
              </w:rPr>
            </w:pPr>
          </w:p>
        </w:tc>
      </w:tr>
      <w:tr>
        <w:trPr>
          <w:trHeight w:val="173"/>
        </w:trPr>
        <w:tc>
          <w:tcPr>
            <w:tcW w:w="138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Finley Square</w:t>
            </w: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Chicago, IL</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32,489</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315,000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Bed, Bath &amp; Beyond / Buy Buy Baby / Petsmart</w:t>
            </w: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460" w:type="dxa"/>
            <w:vAlign w:val="bottom"/>
            <w:shd w:val="clear" w:color="auto" w:fill="CCEEFF"/>
          </w:tcPr>
          <w:p>
            <w:pPr>
              <w:spacing w:after="0"/>
              <w:rPr>
                <w:sz w:val="8"/>
                <w:szCs w:val="8"/>
                <w:color w:val="auto"/>
              </w:rPr>
            </w:pPr>
          </w:p>
        </w:tc>
      </w:tr>
      <w:tr>
        <w:trPr>
          <w:trHeight w:val="173"/>
        </w:trPr>
        <w:tc>
          <w:tcPr>
            <w:tcW w:w="1380" w:type="dxa"/>
            <w:vAlign w:val="bottom"/>
            <w:gridSpan w:val="5"/>
          </w:tcPr>
          <w:p>
            <w:pPr>
              <w:ind w:left="40"/>
              <w:spacing w:after="0"/>
              <w:rPr>
                <w:sz w:val="20"/>
                <w:szCs w:val="20"/>
                <w:color w:val="auto"/>
              </w:rPr>
            </w:pPr>
            <w:r>
              <w:rPr>
                <w:rFonts w:ascii="Arial" w:cs="Arial" w:eastAsia="Arial" w:hAnsi="Arial"/>
                <w:sz w:val="13"/>
                <w:szCs w:val="13"/>
                <w:color w:val="auto"/>
              </w:rPr>
              <w:t>Garden Market</w:t>
            </w:r>
          </w:p>
        </w:tc>
        <w:tc>
          <w:tcPr>
            <w:tcW w:w="34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Chicago, IL</w:t>
            </w:r>
          </w:p>
        </w:tc>
        <w:tc>
          <w:tcPr>
            <w:tcW w:w="700" w:type="dxa"/>
            <w:vAlign w:val="bottom"/>
          </w:tcPr>
          <w:p>
            <w:pPr>
              <w:jc w:val="right"/>
              <w:spacing w:after="0"/>
              <w:rPr>
                <w:sz w:val="20"/>
                <w:szCs w:val="20"/>
                <w:color w:val="auto"/>
              </w:rPr>
            </w:pPr>
            <w:r>
              <w:rPr>
                <w:rFonts w:ascii="Arial" w:cs="Arial" w:eastAsia="Arial" w:hAnsi="Arial"/>
                <w:sz w:val="13"/>
                <w:szCs w:val="13"/>
                <w:color w:val="auto"/>
              </w:rPr>
              <w:t>1994</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12,427</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140,000</w:t>
            </w:r>
          </w:p>
        </w:tc>
        <w:tc>
          <w:tcPr>
            <w:tcW w:w="520" w:type="dxa"/>
            <w:vAlign w:val="bottom"/>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ind w:left="60"/>
              <w:spacing w:after="0"/>
              <w:rPr>
                <w:sz w:val="20"/>
                <w:szCs w:val="20"/>
                <w:color w:val="auto"/>
              </w:rPr>
            </w:pPr>
            <w:r>
              <w:rPr>
                <w:rFonts w:ascii="Arial" w:cs="Arial" w:eastAsia="Arial" w:hAnsi="Arial"/>
                <w:sz w:val="13"/>
                <w:szCs w:val="13"/>
                <w:color w:val="auto"/>
              </w:rPr>
              <w:t>63,000</w:t>
            </w:r>
          </w:p>
        </w:tc>
        <w:tc>
          <w:tcPr>
            <w:tcW w:w="860" w:type="dxa"/>
            <w:vAlign w:val="bottom"/>
          </w:tcPr>
          <w:p>
            <w:pPr>
              <w:ind w:left="80"/>
              <w:spacing w:after="0"/>
              <w:rPr>
                <w:sz w:val="20"/>
                <w:szCs w:val="20"/>
                <w:color w:val="auto"/>
              </w:rPr>
            </w:pPr>
            <w:r>
              <w:rPr>
                <w:rFonts w:ascii="Arial" w:cs="Arial" w:eastAsia="Arial" w:hAnsi="Arial"/>
                <w:sz w:val="13"/>
                <w:szCs w:val="13"/>
                <w:color w:val="auto"/>
              </w:rPr>
              <w:t>Dominick's</w:t>
            </w:r>
          </w:p>
        </w:tc>
        <w:tc>
          <w:tcPr>
            <w:tcW w:w="3460" w:type="dxa"/>
            <w:vAlign w:val="bottom"/>
          </w:tcPr>
          <w:p>
            <w:pPr>
              <w:ind w:left="120"/>
              <w:spacing w:after="0"/>
              <w:rPr>
                <w:sz w:val="20"/>
                <w:szCs w:val="20"/>
                <w:color w:val="auto"/>
              </w:rPr>
            </w:pPr>
            <w:r>
              <w:rPr>
                <w:rFonts w:ascii="Arial" w:cs="Arial" w:eastAsia="Arial" w:hAnsi="Arial"/>
                <w:sz w:val="13"/>
                <w:szCs w:val="13"/>
                <w:color w:val="auto"/>
              </w:rPr>
              <w:t>Walgreens</w:t>
            </w: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60" w:type="dxa"/>
            <w:vAlign w:val="bottom"/>
          </w:tcPr>
          <w:p>
            <w:pPr>
              <w:spacing w:after="0"/>
              <w:rPr>
                <w:sz w:val="3"/>
                <w:szCs w:val="3"/>
                <w:color w:val="auto"/>
              </w:rPr>
            </w:pPr>
          </w:p>
        </w:tc>
      </w:tr>
      <w:tr>
        <w:trPr>
          <w:trHeight w:val="173"/>
        </w:trPr>
        <w:tc>
          <w:tcPr>
            <w:tcW w:w="138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North Lake Commons</w:t>
            </w: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Chicago, IL</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14,579</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77,000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Dominick's</w:t>
            </w:r>
          </w:p>
        </w:tc>
        <w:tc>
          <w:tcPr>
            <w:tcW w:w="346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46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ind w:left="80"/>
              <w:spacing w:after="0"/>
              <w:rPr>
                <w:sz w:val="20"/>
                <w:szCs w:val="20"/>
                <w:color w:val="auto"/>
              </w:rPr>
            </w:pPr>
            <w:r>
              <w:rPr>
                <w:rFonts w:ascii="Arial" w:cs="Arial" w:eastAsia="Arial" w:hAnsi="Arial"/>
                <w:sz w:val="13"/>
                <w:szCs w:val="13"/>
                <w:b w:val="1"/>
                <w:bCs w:val="1"/>
                <w:color w:val="auto"/>
              </w:rPr>
              <w:t>Total Chicago</w:t>
            </w:r>
          </w:p>
        </w:tc>
        <w:tc>
          <w:tcPr>
            <w:tcW w:w="70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90,398</w:t>
            </w:r>
          </w:p>
        </w:tc>
        <w:tc>
          <w:tcPr>
            <w:tcW w:w="66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752,000</w:t>
            </w:r>
          </w:p>
        </w:tc>
        <w:tc>
          <w:tcPr>
            <w:tcW w:w="520" w:type="dxa"/>
            <w:vAlign w:val="bottom"/>
          </w:tcPr>
          <w:p>
            <w:pPr>
              <w:jc w:val="right"/>
              <w:spacing w:after="0"/>
              <w:rPr>
                <w:sz w:val="20"/>
                <w:szCs w:val="20"/>
                <w:color w:val="auto"/>
              </w:rPr>
            </w:pPr>
            <w:r>
              <w:rPr>
                <w:rFonts w:ascii="Arial" w:cs="Arial" w:eastAsia="Arial" w:hAnsi="Arial"/>
                <w:sz w:val="13"/>
                <w:szCs w:val="13"/>
                <w:color w:val="auto"/>
              </w:rPr>
              <w:t>96%</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6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6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34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rPr>
              <w:t>South Florida</w:t>
            </w:r>
          </w:p>
        </w:tc>
        <w:tc>
          <w:tcPr>
            <w:tcW w:w="3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15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CCEEFF"/>
            </w:tcBorders>
            <w:shd w:val="clear" w:color="auto" w:fill="CCEEFF"/>
          </w:tcPr>
          <w:p>
            <w:pPr>
              <w:spacing w:after="0"/>
              <w:rPr>
                <w:sz w:val="8"/>
                <w:szCs w:val="8"/>
                <w:color w:val="auto"/>
              </w:rPr>
            </w:pPr>
          </w:p>
        </w:tc>
        <w:tc>
          <w:tcPr>
            <w:tcW w:w="3460" w:type="dxa"/>
            <w:vAlign w:val="bottom"/>
            <w:tcBorders>
              <w:top w:val="single" w:sz="8" w:color="CCEEFF"/>
            </w:tcBorders>
            <w:shd w:val="clear" w:color="auto" w:fill="CCEEFF"/>
          </w:tcPr>
          <w:p>
            <w:pPr>
              <w:spacing w:after="0"/>
              <w:rPr>
                <w:sz w:val="8"/>
                <w:szCs w:val="8"/>
                <w:color w:val="auto"/>
              </w:rPr>
            </w:pPr>
          </w:p>
        </w:tc>
      </w:tr>
      <w:tr>
        <w:trPr>
          <w:trHeight w:val="173"/>
        </w:trPr>
        <w:tc>
          <w:tcPr>
            <w:tcW w:w="1380" w:type="dxa"/>
            <w:vAlign w:val="bottom"/>
            <w:gridSpan w:val="5"/>
          </w:tcPr>
          <w:p>
            <w:pPr>
              <w:ind w:left="40"/>
              <w:spacing w:after="0"/>
              <w:rPr>
                <w:sz w:val="20"/>
                <w:szCs w:val="20"/>
                <w:color w:val="auto"/>
              </w:rPr>
            </w:pPr>
            <w:r>
              <w:rPr>
                <w:rFonts w:ascii="Arial" w:cs="Arial" w:eastAsia="Arial" w:hAnsi="Arial"/>
                <w:sz w:val="13"/>
                <w:szCs w:val="13"/>
                <w:color w:val="auto"/>
              </w:rPr>
              <w:t>Courtyard Shops</w:t>
            </w:r>
          </w:p>
        </w:tc>
        <w:tc>
          <w:tcPr>
            <w:tcW w:w="34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Miami-Ft Lauderdale</w:t>
            </w:r>
          </w:p>
        </w:tc>
        <w:tc>
          <w:tcPr>
            <w:tcW w:w="700" w:type="dxa"/>
            <w:vAlign w:val="bottom"/>
          </w:tcPr>
          <w:p>
            <w:pPr>
              <w:jc w:val="right"/>
              <w:spacing w:after="0"/>
              <w:rPr>
                <w:sz w:val="20"/>
                <w:szCs w:val="20"/>
                <w:color w:val="auto"/>
              </w:rPr>
            </w:pPr>
            <w:r>
              <w:rPr>
                <w:rFonts w:ascii="Arial" w:cs="Arial" w:eastAsia="Arial" w:hAnsi="Arial"/>
                <w:sz w:val="13"/>
                <w:szCs w:val="13"/>
                <w:color w:val="auto"/>
              </w:rPr>
              <w:t>2008</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40,125</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130,000</w:t>
            </w:r>
          </w:p>
        </w:tc>
        <w:tc>
          <w:tcPr>
            <w:tcW w:w="520" w:type="dxa"/>
            <w:vAlign w:val="bottom"/>
          </w:tcPr>
          <w:p>
            <w:pPr>
              <w:jc w:val="right"/>
              <w:spacing w:after="0"/>
              <w:rPr>
                <w:sz w:val="20"/>
                <w:szCs w:val="20"/>
                <w:color w:val="auto"/>
              </w:rPr>
            </w:pPr>
            <w:r>
              <w:rPr>
                <w:rFonts w:ascii="Arial" w:cs="Arial" w:eastAsia="Arial" w:hAnsi="Arial"/>
                <w:sz w:val="13"/>
                <w:szCs w:val="13"/>
                <w:color w:val="auto"/>
              </w:rPr>
              <w:t>86%</w:t>
            </w:r>
          </w:p>
        </w:tc>
        <w:tc>
          <w:tcPr>
            <w:tcW w:w="600" w:type="dxa"/>
            <w:vAlign w:val="bottom"/>
          </w:tcPr>
          <w:p>
            <w:pPr>
              <w:ind w:left="60"/>
              <w:spacing w:after="0"/>
              <w:rPr>
                <w:sz w:val="20"/>
                <w:szCs w:val="20"/>
                <w:color w:val="auto"/>
              </w:rPr>
            </w:pPr>
            <w:r>
              <w:rPr>
                <w:rFonts w:ascii="Arial" w:cs="Arial" w:eastAsia="Arial" w:hAnsi="Arial"/>
                <w:sz w:val="13"/>
                <w:szCs w:val="13"/>
                <w:color w:val="auto"/>
              </w:rPr>
              <w:t>49,000</w:t>
            </w:r>
          </w:p>
        </w:tc>
        <w:tc>
          <w:tcPr>
            <w:tcW w:w="860" w:type="dxa"/>
            <w:vAlign w:val="bottom"/>
          </w:tcPr>
          <w:p>
            <w:pPr>
              <w:ind w:left="80"/>
              <w:spacing w:after="0"/>
              <w:rPr>
                <w:sz w:val="20"/>
                <w:szCs w:val="20"/>
                <w:color w:val="auto"/>
              </w:rPr>
            </w:pPr>
            <w:r>
              <w:rPr>
                <w:rFonts w:ascii="Arial" w:cs="Arial" w:eastAsia="Arial" w:hAnsi="Arial"/>
                <w:sz w:val="13"/>
                <w:szCs w:val="13"/>
                <w:color w:val="auto"/>
              </w:rPr>
              <w:t>Publix</w:t>
            </w:r>
          </w:p>
        </w:tc>
        <w:tc>
          <w:tcPr>
            <w:tcW w:w="346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60" w:type="dxa"/>
            <w:vAlign w:val="bottom"/>
          </w:tcPr>
          <w:p>
            <w:pPr>
              <w:spacing w:after="0"/>
              <w:rPr>
                <w:sz w:val="8"/>
                <w:szCs w:val="8"/>
                <w:color w:val="auto"/>
              </w:rPr>
            </w:pPr>
          </w:p>
        </w:tc>
      </w:tr>
      <w:tr>
        <w:trPr>
          <w:trHeight w:val="196"/>
        </w:trPr>
        <w:tc>
          <w:tcPr>
            <w:tcW w:w="13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color w:val="auto"/>
              </w:rPr>
              <w:t>Del Mar Village</w:t>
            </w:r>
          </w:p>
        </w:tc>
        <w:tc>
          <w:tcPr>
            <w:tcW w:w="3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Miami-Ft Lauderdale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55,600</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179,000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44,000</w:t>
            </w:r>
          </w:p>
        </w:tc>
        <w:tc>
          <w:tcPr>
            <w:tcW w:w="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Winn Dixie</w:t>
            </w:r>
          </w:p>
        </w:tc>
        <w:tc>
          <w:tcPr>
            <w:tcW w:w="3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CVS</w:t>
            </w:r>
          </w:p>
        </w:tc>
      </w:tr>
      <w:tr>
        <w:trPr>
          <w:trHeight w:val="173"/>
        </w:trPr>
        <w:tc>
          <w:tcPr>
            <w:tcW w:w="1380" w:type="dxa"/>
            <w:vAlign w:val="bottom"/>
            <w:gridSpan w:val="5"/>
          </w:tcPr>
          <w:p>
            <w:pPr>
              <w:ind w:left="40"/>
              <w:spacing w:after="0"/>
              <w:rPr>
                <w:sz w:val="20"/>
                <w:szCs w:val="20"/>
                <w:color w:val="auto"/>
              </w:rPr>
            </w:pPr>
            <w:r>
              <w:rPr>
                <w:rFonts w:ascii="Arial" w:cs="Arial" w:eastAsia="Arial" w:hAnsi="Arial"/>
                <w:sz w:val="13"/>
                <w:szCs w:val="13"/>
                <w:color w:val="auto"/>
              </w:rPr>
              <w:t>Tower Shops</w:t>
            </w:r>
          </w:p>
        </w:tc>
        <w:tc>
          <w:tcPr>
            <w:tcW w:w="34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Miami-Ft Lauderdale</w:t>
            </w:r>
          </w:p>
        </w:tc>
        <w:tc>
          <w:tcPr>
            <w:tcW w:w="700" w:type="dxa"/>
            <w:vAlign w:val="bottom"/>
          </w:tcPr>
          <w:p>
            <w:pPr>
              <w:jc w:val="right"/>
              <w:spacing w:after="0"/>
              <w:rPr>
                <w:sz w:val="20"/>
                <w:szCs w:val="20"/>
                <w:color w:val="auto"/>
              </w:rPr>
            </w:pPr>
            <w:r>
              <w:rPr>
                <w:rFonts w:ascii="Arial" w:cs="Arial" w:eastAsia="Arial" w:hAnsi="Arial"/>
                <w:sz w:val="13"/>
                <w:szCs w:val="13"/>
                <w:color w:val="auto"/>
              </w:rPr>
              <w:t>2011</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75,617</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369,000</w:t>
            </w:r>
          </w:p>
        </w:tc>
        <w:tc>
          <w:tcPr>
            <w:tcW w:w="52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60" w:type="dxa"/>
            <w:vAlign w:val="bottom"/>
          </w:tcPr>
          <w:p>
            <w:pPr>
              <w:ind w:left="120"/>
              <w:spacing w:after="0"/>
              <w:rPr>
                <w:sz w:val="20"/>
                <w:szCs w:val="20"/>
                <w:color w:val="auto"/>
              </w:rPr>
            </w:pPr>
            <w:r>
              <w:rPr>
                <w:rFonts w:ascii="Arial" w:cs="Arial" w:eastAsia="Arial" w:hAnsi="Arial"/>
                <w:sz w:val="13"/>
                <w:szCs w:val="13"/>
                <w:color w:val="auto"/>
                <w:w w:val="94"/>
              </w:rPr>
              <w:t>Best Buy / DSW / Old Navy / Ross Dress For Less / TJ Maxx</w:t>
            </w:r>
          </w:p>
        </w:tc>
      </w:tr>
      <w:tr>
        <w:trPr>
          <w:trHeight w:val="97"/>
        </w:trPr>
        <w:tc>
          <w:tcPr>
            <w:tcW w:w="40" w:type="dxa"/>
            <w:vAlign w:val="bottom"/>
            <w:tcBorders>
              <w:bottom w:val="single" w:sz="8" w:color="CCEEFF"/>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00" w:type="dxa"/>
            <w:vAlign w:val="bottom"/>
            <w:tcBorders>
              <w:bottom w:val="single" w:sz="8" w:color="CCEEFF"/>
            </w:tcBorders>
          </w:tcPr>
          <w:p>
            <w:pPr>
              <w:spacing w:after="0"/>
              <w:rPr>
                <w:sz w:val="8"/>
                <w:szCs w:val="8"/>
                <w:color w:val="auto"/>
              </w:rPr>
            </w:pPr>
          </w:p>
        </w:tc>
        <w:tc>
          <w:tcPr>
            <w:tcW w:w="540" w:type="dxa"/>
            <w:vAlign w:val="bottom"/>
            <w:tcBorders>
              <w:bottom w:val="single" w:sz="8" w:color="CCEEFF"/>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1500" w:type="dxa"/>
            <w:vAlign w:val="bottom"/>
            <w:tcBorders>
              <w:bottom w:val="single" w:sz="8" w:color="CCEEFF"/>
            </w:tcBorders>
          </w:tcPr>
          <w:p>
            <w:pPr>
              <w:spacing w:after="0"/>
              <w:rPr>
                <w:sz w:val="8"/>
                <w:szCs w:val="8"/>
                <w:color w:val="auto"/>
              </w:rPr>
            </w:pPr>
          </w:p>
        </w:tc>
        <w:tc>
          <w:tcPr>
            <w:tcW w:w="70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60" w:type="dxa"/>
            <w:vAlign w:val="bottom"/>
            <w:tcBorders>
              <w:bottom w:val="single" w:sz="8" w:color="CCEEFF"/>
            </w:tcBorders>
          </w:tcPr>
          <w:p>
            <w:pPr>
              <w:spacing w:after="0"/>
              <w:rPr>
                <w:sz w:val="8"/>
                <w:szCs w:val="8"/>
                <w:color w:val="auto"/>
              </w:rPr>
            </w:pPr>
          </w:p>
        </w:tc>
        <w:tc>
          <w:tcPr>
            <w:tcW w:w="346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Total South Florida</w:t>
            </w:r>
          </w:p>
        </w:tc>
        <w:tc>
          <w:tcPr>
            <w:tcW w:w="7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171,342</w:t>
            </w: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678,000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6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346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340" w:type="dxa"/>
            <w:vAlign w:val="bottom"/>
            <w:gridSpan w:val="4"/>
          </w:tcPr>
          <w:p>
            <w:pPr>
              <w:ind w:left="60"/>
              <w:spacing w:after="0"/>
              <w:rPr>
                <w:sz w:val="20"/>
                <w:szCs w:val="20"/>
                <w:color w:val="auto"/>
              </w:rPr>
            </w:pPr>
            <w:r>
              <w:rPr>
                <w:rFonts w:ascii="Arial" w:cs="Arial" w:eastAsia="Arial" w:hAnsi="Arial"/>
                <w:sz w:val="13"/>
                <w:szCs w:val="13"/>
                <w:b w:val="1"/>
                <w:bCs w:val="1"/>
                <w:color w:val="auto"/>
              </w:rPr>
              <w:t>Other</w:t>
            </w:r>
          </w:p>
        </w:tc>
        <w:tc>
          <w:tcPr>
            <w:tcW w:w="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6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60" w:type="dxa"/>
            <w:vAlign w:val="bottom"/>
          </w:tcPr>
          <w:p>
            <w:pPr>
              <w:spacing w:after="0"/>
              <w:rPr>
                <w:sz w:val="8"/>
                <w:szCs w:val="8"/>
                <w:color w:val="auto"/>
              </w:rPr>
            </w:pPr>
          </w:p>
        </w:tc>
      </w:tr>
      <w:tr>
        <w:trPr>
          <w:trHeight w:val="148"/>
        </w:trPr>
        <w:tc>
          <w:tcPr>
            <w:tcW w:w="1380" w:type="dxa"/>
            <w:vAlign w:val="bottom"/>
            <w:gridSpan w:val="5"/>
            <w:shd w:val="clear" w:color="auto" w:fill="CCEEFF"/>
          </w:tcPr>
          <w:p>
            <w:pPr>
              <w:ind w:left="40"/>
              <w:spacing w:after="0" w:line="148" w:lineRule="exact"/>
              <w:rPr>
                <w:sz w:val="20"/>
                <w:szCs w:val="20"/>
                <w:color w:val="auto"/>
              </w:rPr>
            </w:pPr>
            <w:r>
              <w:rPr>
                <w:rFonts w:ascii="Arial" w:cs="Arial" w:eastAsia="Arial" w:hAnsi="Arial"/>
                <w:sz w:val="13"/>
                <w:szCs w:val="13"/>
                <w:color w:val="auto"/>
              </w:rPr>
              <w:t>Barracks Road</w:t>
            </w:r>
          </w:p>
        </w:tc>
        <w:tc>
          <w:tcPr>
            <w:tcW w:w="340" w:type="dxa"/>
            <w:vAlign w:val="bottom"/>
            <w:shd w:val="clear" w:color="auto" w:fill="CCEEFF"/>
          </w:tcPr>
          <w:p>
            <w:pPr>
              <w:spacing w:after="0"/>
              <w:rPr>
                <w:sz w:val="12"/>
                <w:szCs w:val="12"/>
                <w:color w:val="auto"/>
              </w:rPr>
            </w:pPr>
          </w:p>
        </w:tc>
        <w:tc>
          <w:tcPr>
            <w:tcW w:w="15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Charlottesville, VA</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1985</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55,519</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38,309</w:t>
            </w: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487,000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99,000</w:t>
            </w:r>
          </w:p>
        </w:tc>
        <w:tc>
          <w:tcPr>
            <w:tcW w:w="432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w w:val="97"/>
              </w:rPr>
              <w:t>Harris Teeter /   Anthropologie / Bed, Bath &amp; Beyond / Barnes &amp; Noble / Old</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3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Navy / Michaels / Ulta</w:t>
            </w:r>
          </w:p>
        </w:tc>
      </w:tr>
      <w:tr>
        <w:trPr>
          <w:trHeight w:val="173"/>
        </w:trPr>
        <w:tc>
          <w:tcPr>
            <w:tcW w:w="1380" w:type="dxa"/>
            <w:vAlign w:val="bottom"/>
            <w:gridSpan w:val="5"/>
          </w:tcPr>
          <w:p>
            <w:pPr>
              <w:ind w:left="40"/>
              <w:spacing w:after="0"/>
              <w:rPr>
                <w:sz w:val="20"/>
                <w:szCs w:val="20"/>
                <w:color w:val="auto"/>
              </w:rPr>
            </w:pPr>
            <w:r>
              <w:rPr>
                <w:rFonts w:ascii="Arial" w:cs="Arial" w:eastAsia="Arial" w:hAnsi="Arial"/>
                <w:sz w:val="13"/>
                <w:szCs w:val="13"/>
                <w:color w:val="auto"/>
              </w:rPr>
              <w:t>Bristol Plaza</w:t>
            </w:r>
          </w:p>
        </w:tc>
        <w:tc>
          <w:tcPr>
            <w:tcW w:w="34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Hartford, CT</w:t>
            </w:r>
          </w:p>
        </w:tc>
        <w:tc>
          <w:tcPr>
            <w:tcW w:w="700" w:type="dxa"/>
            <w:vAlign w:val="bottom"/>
          </w:tcPr>
          <w:p>
            <w:pPr>
              <w:jc w:val="right"/>
              <w:spacing w:after="0"/>
              <w:rPr>
                <w:sz w:val="20"/>
                <w:szCs w:val="20"/>
                <w:color w:val="auto"/>
              </w:rPr>
            </w:pPr>
            <w:r>
              <w:rPr>
                <w:rFonts w:ascii="Arial" w:cs="Arial" w:eastAsia="Arial" w:hAnsi="Arial"/>
                <w:sz w:val="13"/>
                <w:szCs w:val="13"/>
                <w:color w:val="auto"/>
              </w:rPr>
              <w:t>1995</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28,188</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266,000</w:t>
            </w:r>
          </w:p>
        </w:tc>
        <w:tc>
          <w:tcPr>
            <w:tcW w:w="52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ind w:left="60"/>
              <w:spacing w:after="0"/>
              <w:rPr>
                <w:sz w:val="20"/>
                <w:szCs w:val="20"/>
                <w:color w:val="auto"/>
              </w:rPr>
            </w:pPr>
            <w:r>
              <w:rPr>
                <w:rFonts w:ascii="Arial" w:cs="Arial" w:eastAsia="Arial" w:hAnsi="Arial"/>
                <w:sz w:val="13"/>
                <w:szCs w:val="13"/>
                <w:color w:val="auto"/>
              </w:rPr>
              <w:t>74,000</w:t>
            </w:r>
          </w:p>
        </w:tc>
        <w:tc>
          <w:tcPr>
            <w:tcW w:w="860" w:type="dxa"/>
            <w:vAlign w:val="bottom"/>
          </w:tcPr>
          <w:p>
            <w:pPr>
              <w:ind w:left="80"/>
              <w:spacing w:after="0"/>
              <w:rPr>
                <w:sz w:val="20"/>
                <w:szCs w:val="20"/>
                <w:color w:val="auto"/>
              </w:rPr>
            </w:pPr>
            <w:r>
              <w:rPr>
                <w:rFonts w:ascii="Arial" w:cs="Arial" w:eastAsia="Arial" w:hAnsi="Arial"/>
                <w:sz w:val="13"/>
                <w:szCs w:val="13"/>
                <w:color w:val="auto"/>
              </w:rPr>
              <w:t>Stop &amp; Shop</w:t>
            </w:r>
          </w:p>
        </w:tc>
        <w:tc>
          <w:tcPr>
            <w:tcW w:w="3460" w:type="dxa"/>
            <w:vAlign w:val="bottom"/>
          </w:tcPr>
          <w:p>
            <w:pPr>
              <w:ind w:left="120"/>
              <w:spacing w:after="0"/>
              <w:rPr>
                <w:sz w:val="20"/>
                <w:szCs w:val="20"/>
                <w:color w:val="auto"/>
              </w:rPr>
            </w:pPr>
            <w:r>
              <w:rPr>
                <w:rFonts w:ascii="Arial" w:cs="Arial" w:eastAsia="Arial" w:hAnsi="Arial"/>
                <w:sz w:val="13"/>
                <w:szCs w:val="13"/>
                <w:color w:val="auto"/>
              </w:rPr>
              <w:t>TJ Maxx</w:t>
            </w: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60" w:type="dxa"/>
            <w:vAlign w:val="bottom"/>
          </w:tcPr>
          <w:p>
            <w:pPr>
              <w:spacing w:after="0"/>
              <w:rPr>
                <w:sz w:val="3"/>
                <w:szCs w:val="3"/>
                <w:color w:val="auto"/>
              </w:rPr>
            </w:pPr>
          </w:p>
        </w:tc>
      </w:tr>
      <w:tr>
        <w:trPr>
          <w:trHeight w:val="148"/>
        </w:trPr>
        <w:tc>
          <w:tcPr>
            <w:tcW w:w="1380" w:type="dxa"/>
            <w:vAlign w:val="bottom"/>
            <w:gridSpan w:val="5"/>
            <w:shd w:val="clear" w:color="auto" w:fill="CCEEFF"/>
          </w:tcPr>
          <w:p>
            <w:pPr>
              <w:ind w:left="40"/>
              <w:spacing w:after="0" w:line="148" w:lineRule="exact"/>
              <w:rPr>
                <w:sz w:val="20"/>
                <w:szCs w:val="20"/>
                <w:color w:val="auto"/>
              </w:rPr>
            </w:pPr>
            <w:r>
              <w:rPr>
                <w:rFonts w:ascii="Arial" w:cs="Arial" w:eastAsia="Arial" w:hAnsi="Arial"/>
                <w:sz w:val="13"/>
                <w:szCs w:val="13"/>
                <w:color w:val="auto"/>
              </w:rPr>
              <w:t>Eastgate</w:t>
            </w:r>
          </w:p>
        </w:tc>
        <w:tc>
          <w:tcPr>
            <w:tcW w:w="340" w:type="dxa"/>
            <w:vAlign w:val="bottom"/>
            <w:shd w:val="clear" w:color="auto" w:fill="CCEEFF"/>
          </w:tcPr>
          <w:p>
            <w:pPr>
              <w:spacing w:after="0"/>
              <w:rPr>
                <w:sz w:val="12"/>
                <w:szCs w:val="12"/>
                <w:color w:val="auto"/>
              </w:rPr>
            </w:pPr>
          </w:p>
        </w:tc>
        <w:tc>
          <w:tcPr>
            <w:tcW w:w="15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9"/>
              </w:rPr>
              <w:t>Raleigh-Durham-Chapel</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1986</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26,575</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153,000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13,000</w:t>
            </w:r>
          </w:p>
        </w:tc>
        <w:tc>
          <w:tcPr>
            <w:tcW w:w="86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Trader Joe's</w:t>
            </w:r>
          </w:p>
        </w:tc>
        <w:tc>
          <w:tcPr>
            <w:tcW w:w="3460" w:type="dxa"/>
            <w:vAlign w:val="bottom"/>
            <w:shd w:val="clear" w:color="auto" w:fill="CCEEFF"/>
          </w:tcPr>
          <w:p>
            <w:pPr>
              <w:ind w:left="120"/>
              <w:spacing w:after="0" w:line="148" w:lineRule="exact"/>
              <w:rPr>
                <w:sz w:val="20"/>
                <w:szCs w:val="20"/>
                <w:color w:val="auto"/>
              </w:rPr>
            </w:pPr>
            <w:r>
              <w:rPr>
                <w:rFonts w:ascii="Arial" w:cs="Arial" w:eastAsia="Arial" w:hAnsi="Arial"/>
                <w:sz w:val="13"/>
                <w:szCs w:val="13"/>
                <w:color w:val="auto"/>
              </w:rPr>
              <w:t>Stein Mart</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Hill, NC</w:t>
            </w: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rPr>
                <w:sz w:val="15"/>
                <w:szCs w:val="15"/>
                <w:color w:val="auto"/>
              </w:rPr>
            </w:pPr>
          </w:p>
        </w:tc>
      </w:tr>
      <w:tr>
        <w:trPr>
          <w:trHeight w:val="173"/>
        </w:trPr>
        <w:tc>
          <w:tcPr>
            <w:tcW w:w="1380" w:type="dxa"/>
            <w:vAlign w:val="bottom"/>
            <w:gridSpan w:val="5"/>
          </w:tcPr>
          <w:p>
            <w:pPr>
              <w:ind w:left="40"/>
              <w:spacing w:after="0"/>
              <w:rPr>
                <w:sz w:val="20"/>
                <w:szCs w:val="20"/>
                <w:color w:val="auto"/>
              </w:rPr>
            </w:pPr>
            <w:r>
              <w:rPr>
                <w:rFonts w:ascii="Arial" w:cs="Arial" w:eastAsia="Arial" w:hAnsi="Arial"/>
                <w:sz w:val="13"/>
                <w:szCs w:val="13"/>
                <w:color w:val="auto"/>
              </w:rPr>
              <w:t>Gratiot Plaza</w:t>
            </w:r>
          </w:p>
        </w:tc>
        <w:tc>
          <w:tcPr>
            <w:tcW w:w="34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Detroit, MI</w:t>
            </w:r>
          </w:p>
        </w:tc>
        <w:tc>
          <w:tcPr>
            <w:tcW w:w="700" w:type="dxa"/>
            <w:vAlign w:val="bottom"/>
          </w:tcPr>
          <w:p>
            <w:pPr>
              <w:jc w:val="right"/>
              <w:spacing w:after="0"/>
              <w:rPr>
                <w:sz w:val="20"/>
                <w:szCs w:val="20"/>
                <w:color w:val="auto"/>
              </w:rPr>
            </w:pPr>
            <w:r>
              <w:rPr>
                <w:rFonts w:ascii="Arial" w:cs="Arial" w:eastAsia="Arial" w:hAnsi="Arial"/>
                <w:sz w:val="13"/>
                <w:szCs w:val="13"/>
                <w:color w:val="auto"/>
              </w:rPr>
              <w:t>1973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19,016</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217,000</w:t>
            </w:r>
          </w:p>
        </w:tc>
        <w:tc>
          <w:tcPr>
            <w:tcW w:w="52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ind w:left="60"/>
              <w:spacing w:after="0"/>
              <w:rPr>
                <w:sz w:val="20"/>
                <w:szCs w:val="20"/>
                <w:color w:val="auto"/>
              </w:rPr>
            </w:pPr>
            <w:r>
              <w:rPr>
                <w:rFonts w:ascii="Arial" w:cs="Arial" w:eastAsia="Arial" w:hAnsi="Arial"/>
                <w:sz w:val="13"/>
                <w:szCs w:val="13"/>
                <w:color w:val="auto"/>
              </w:rPr>
              <w:t>69,000</w:t>
            </w:r>
          </w:p>
        </w:tc>
        <w:tc>
          <w:tcPr>
            <w:tcW w:w="860" w:type="dxa"/>
            <w:vAlign w:val="bottom"/>
          </w:tcPr>
          <w:p>
            <w:pPr>
              <w:ind w:left="80"/>
              <w:spacing w:after="0"/>
              <w:rPr>
                <w:sz w:val="20"/>
                <w:szCs w:val="20"/>
                <w:color w:val="auto"/>
              </w:rPr>
            </w:pPr>
            <w:r>
              <w:rPr>
                <w:rFonts w:ascii="Arial" w:cs="Arial" w:eastAsia="Arial" w:hAnsi="Arial"/>
                <w:sz w:val="13"/>
                <w:szCs w:val="13"/>
                <w:color w:val="auto"/>
              </w:rPr>
              <w:t>Kroger</w:t>
            </w:r>
          </w:p>
        </w:tc>
        <w:tc>
          <w:tcPr>
            <w:tcW w:w="3460" w:type="dxa"/>
            <w:vAlign w:val="bottom"/>
          </w:tcPr>
          <w:p>
            <w:pPr>
              <w:ind w:left="120"/>
              <w:spacing w:after="0"/>
              <w:rPr>
                <w:sz w:val="20"/>
                <w:szCs w:val="20"/>
                <w:color w:val="auto"/>
              </w:rPr>
            </w:pPr>
            <w:r>
              <w:rPr>
                <w:rFonts w:ascii="Arial" w:cs="Arial" w:eastAsia="Arial" w:hAnsi="Arial"/>
                <w:sz w:val="13"/>
                <w:szCs w:val="13"/>
                <w:color w:val="auto"/>
              </w:rPr>
              <w:t>Bed, Bath &amp; Beyond / Best Buy / DSW</w:t>
            </w: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60" w:type="dxa"/>
            <w:vAlign w:val="bottom"/>
          </w:tcPr>
          <w:p>
            <w:pPr>
              <w:spacing w:after="0"/>
              <w:rPr>
                <w:sz w:val="3"/>
                <w:szCs w:val="3"/>
                <w:color w:val="auto"/>
              </w:rPr>
            </w:pPr>
          </w:p>
        </w:tc>
      </w:tr>
      <w:tr>
        <w:trPr>
          <w:trHeight w:val="148"/>
        </w:trPr>
        <w:tc>
          <w:tcPr>
            <w:tcW w:w="1380" w:type="dxa"/>
            <w:vAlign w:val="bottom"/>
            <w:gridSpan w:val="5"/>
            <w:shd w:val="clear" w:color="auto" w:fill="CCEEFF"/>
          </w:tcPr>
          <w:p>
            <w:pPr>
              <w:ind w:left="40"/>
              <w:spacing w:after="0" w:line="148" w:lineRule="exact"/>
              <w:rPr>
                <w:sz w:val="20"/>
                <w:szCs w:val="20"/>
                <w:color w:val="auto"/>
              </w:rPr>
            </w:pPr>
            <w:r>
              <w:rPr>
                <w:rFonts w:ascii="Arial" w:cs="Arial" w:eastAsia="Arial" w:hAnsi="Arial"/>
                <w:sz w:val="13"/>
                <w:szCs w:val="13"/>
                <w:color w:val="auto"/>
              </w:rPr>
              <w:t>Greenwich Avenue</w:t>
            </w:r>
          </w:p>
        </w:tc>
        <w:tc>
          <w:tcPr>
            <w:tcW w:w="340" w:type="dxa"/>
            <w:vAlign w:val="bottom"/>
            <w:shd w:val="clear" w:color="auto" w:fill="CCEEFF"/>
          </w:tcPr>
          <w:p>
            <w:pPr>
              <w:spacing w:after="0"/>
              <w:rPr>
                <w:sz w:val="12"/>
                <w:szCs w:val="12"/>
                <w:color w:val="auto"/>
              </w:rPr>
            </w:pPr>
          </w:p>
        </w:tc>
        <w:tc>
          <w:tcPr>
            <w:tcW w:w="15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New Haven-Bridgeport-</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1995</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13,969</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36,000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60" w:type="dxa"/>
            <w:vAlign w:val="bottom"/>
            <w:shd w:val="clear" w:color="auto" w:fill="CCEEFF"/>
          </w:tcPr>
          <w:p>
            <w:pPr>
              <w:ind w:left="120"/>
              <w:spacing w:after="0" w:line="148" w:lineRule="exact"/>
              <w:rPr>
                <w:sz w:val="20"/>
                <w:szCs w:val="20"/>
                <w:color w:val="auto"/>
              </w:rPr>
            </w:pPr>
            <w:r>
              <w:rPr>
                <w:rFonts w:ascii="Arial" w:cs="Arial" w:eastAsia="Arial" w:hAnsi="Arial"/>
                <w:sz w:val="13"/>
                <w:szCs w:val="13"/>
                <w:color w:val="auto"/>
              </w:rPr>
              <w:t>Saks Fifth Avenue</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Stamford-Waterbury</w:t>
            </w: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rPr>
                <w:sz w:val="15"/>
                <w:szCs w:val="15"/>
                <w:color w:val="auto"/>
              </w:rPr>
            </w:pPr>
          </w:p>
        </w:tc>
      </w:tr>
      <w:tr>
        <w:trPr>
          <w:trHeight w:val="173"/>
        </w:trPr>
        <w:tc>
          <w:tcPr>
            <w:tcW w:w="1380" w:type="dxa"/>
            <w:vAlign w:val="bottom"/>
            <w:gridSpan w:val="5"/>
          </w:tcPr>
          <w:p>
            <w:pPr>
              <w:ind w:left="40"/>
              <w:spacing w:after="0"/>
              <w:rPr>
                <w:sz w:val="20"/>
                <w:szCs w:val="20"/>
                <w:color w:val="auto"/>
              </w:rPr>
            </w:pPr>
            <w:r>
              <w:rPr>
                <w:rFonts w:ascii="Arial" w:cs="Arial" w:eastAsia="Arial" w:hAnsi="Arial"/>
                <w:sz w:val="13"/>
                <w:szCs w:val="13"/>
                <w:color w:val="auto"/>
              </w:rPr>
              <w:t>Houston St</w:t>
            </w:r>
          </w:p>
        </w:tc>
        <w:tc>
          <w:tcPr>
            <w:tcW w:w="34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San Antonio, TX</w:t>
            </w:r>
          </w:p>
        </w:tc>
        <w:tc>
          <w:tcPr>
            <w:tcW w:w="700" w:type="dxa"/>
            <w:vAlign w:val="bottom"/>
          </w:tcPr>
          <w:p>
            <w:pPr>
              <w:jc w:val="right"/>
              <w:spacing w:after="0"/>
              <w:rPr>
                <w:sz w:val="20"/>
                <w:szCs w:val="20"/>
                <w:color w:val="auto"/>
              </w:rPr>
            </w:pPr>
            <w:r>
              <w:rPr>
                <w:rFonts w:ascii="Arial" w:cs="Arial" w:eastAsia="Arial" w:hAnsi="Arial"/>
                <w:sz w:val="13"/>
                <w:szCs w:val="13"/>
                <w:color w:val="auto"/>
              </w:rPr>
              <w:t>1998</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65,652</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183,000</w:t>
            </w:r>
          </w:p>
        </w:tc>
        <w:tc>
          <w:tcPr>
            <w:tcW w:w="520" w:type="dxa"/>
            <w:vAlign w:val="bottom"/>
          </w:tcPr>
          <w:p>
            <w:pPr>
              <w:jc w:val="right"/>
              <w:spacing w:after="0"/>
              <w:rPr>
                <w:sz w:val="20"/>
                <w:szCs w:val="20"/>
                <w:color w:val="auto"/>
              </w:rPr>
            </w:pPr>
            <w:r>
              <w:rPr>
                <w:rFonts w:ascii="Arial" w:cs="Arial" w:eastAsia="Arial" w:hAnsi="Arial"/>
                <w:sz w:val="13"/>
                <w:szCs w:val="13"/>
                <w:color w:val="auto"/>
              </w:rPr>
              <w:t>90%</w:t>
            </w: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60" w:type="dxa"/>
            <w:vAlign w:val="bottom"/>
          </w:tcPr>
          <w:p>
            <w:pPr>
              <w:ind w:left="120"/>
              <w:spacing w:after="0"/>
              <w:rPr>
                <w:sz w:val="20"/>
                <w:szCs w:val="20"/>
                <w:color w:val="auto"/>
              </w:rPr>
            </w:pPr>
            <w:r>
              <w:rPr>
                <w:rFonts w:ascii="Arial" w:cs="Arial" w:eastAsia="Arial" w:hAnsi="Arial"/>
                <w:sz w:val="13"/>
                <w:szCs w:val="13"/>
                <w:color w:val="auto"/>
              </w:rPr>
              <w:t>Hotel Valencia / Walgreens</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60" w:type="dxa"/>
            <w:vAlign w:val="bottom"/>
          </w:tcPr>
          <w:p>
            <w:pPr>
              <w:spacing w:after="0"/>
              <w:rPr>
                <w:sz w:val="8"/>
                <w:szCs w:val="8"/>
                <w:color w:val="auto"/>
              </w:rPr>
            </w:pPr>
          </w:p>
        </w:tc>
      </w:tr>
      <w:tr>
        <w:trPr>
          <w:trHeight w:val="196"/>
        </w:trPr>
        <w:tc>
          <w:tcPr>
            <w:tcW w:w="13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color w:val="auto"/>
              </w:rPr>
              <w:t>Lancaster</w:t>
            </w:r>
          </w:p>
        </w:tc>
        <w:tc>
          <w:tcPr>
            <w:tcW w:w="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1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Lancaster, PA</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12,895</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4,907</w:t>
            </w: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127,000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75,000</w:t>
            </w:r>
          </w:p>
        </w:tc>
        <w:tc>
          <w:tcPr>
            <w:tcW w:w="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Michaels</w:t>
            </w:r>
          </w:p>
        </w:tc>
      </w:tr>
      <w:tr>
        <w:trPr>
          <w:trHeight w:val="173"/>
        </w:trPr>
        <w:tc>
          <w:tcPr>
            <w:tcW w:w="1380" w:type="dxa"/>
            <w:vAlign w:val="bottom"/>
            <w:gridSpan w:val="5"/>
          </w:tcPr>
          <w:p>
            <w:pPr>
              <w:ind w:left="40"/>
              <w:spacing w:after="0"/>
              <w:rPr>
                <w:sz w:val="20"/>
                <w:szCs w:val="20"/>
                <w:color w:val="auto"/>
              </w:rPr>
            </w:pPr>
            <w:r>
              <w:rPr>
                <w:rFonts w:ascii="Arial" w:cs="Arial" w:eastAsia="Arial" w:hAnsi="Arial"/>
                <w:sz w:val="13"/>
                <w:szCs w:val="13"/>
                <w:color w:val="auto"/>
              </w:rPr>
              <w:t>Shoppers' World</w:t>
            </w:r>
          </w:p>
        </w:tc>
        <w:tc>
          <w:tcPr>
            <w:tcW w:w="34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Charlottesville, VA</w:t>
            </w:r>
          </w:p>
        </w:tc>
        <w:tc>
          <w:tcPr>
            <w:tcW w:w="700" w:type="dxa"/>
            <w:vAlign w:val="bottom"/>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34,626</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5,327</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169,000</w:t>
            </w:r>
          </w:p>
        </w:tc>
        <w:tc>
          <w:tcPr>
            <w:tcW w:w="520" w:type="dxa"/>
            <w:vAlign w:val="bottom"/>
          </w:tcPr>
          <w:p>
            <w:pPr>
              <w:jc w:val="right"/>
              <w:spacing w:after="0"/>
              <w:rPr>
                <w:sz w:val="20"/>
                <w:szCs w:val="20"/>
                <w:color w:val="auto"/>
              </w:rPr>
            </w:pPr>
            <w:r>
              <w:rPr>
                <w:rFonts w:ascii="Arial" w:cs="Arial" w:eastAsia="Arial" w:hAnsi="Arial"/>
                <w:sz w:val="13"/>
                <w:szCs w:val="13"/>
                <w:color w:val="auto"/>
              </w:rPr>
              <w:t>81%</w:t>
            </w: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60" w:type="dxa"/>
            <w:vAlign w:val="bottom"/>
          </w:tcPr>
          <w:p>
            <w:pPr>
              <w:ind w:left="120"/>
              <w:spacing w:after="0"/>
              <w:rPr>
                <w:sz w:val="20"/>
                <w:szCs w:val="20"/>
                <w:color w:val="auto"/>
              </w:rPr>
            </w:pPr>
            <w:r>
              <w:rPr>
                <w:rFonts w:ascii="Arial" w:cs="Arial" w:eastAsia="Arial" w:hAnsi="Arial"/>
                <w:sz w:val="13"/>
                <w:szCs w:val="13"/>
                <w:color w:val="auto"/>
              </w:rPr>
              <w:t>Staples</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60" w:type="dxa"/>
            <w:vAlign w:val="bottom"/>
          </w:tcPr>
          <w:p>
            <w:pPr>
              <w:spacing w:after="0"/>
              <w:rPr>
                <w:sz w:val="8"/>
                <w:szCs w:val="8"/>
                <w:color w:val="auto"/>
              </w:rPr>
            </w:pPr>
          </w:p>
        </w:tc>
      </w:tr>
      <w:tr>
        <w:trPr>
          <w:trHeight w:val="216"/>
        </w:trPr>
        <w:tc>
          <w:tcPr>
            <w:tcW w:w="13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color w:val="auto"/>
              </w:rPr>
              <w:t>Shops at Willow Lawn</w:t>
            </w:r>
          </w:p>
        </w:tc>
        <w:tc>
          <w:tcPr>
            <w:tcW w:w="3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w w:val="92"/>
              </w:rPr>
              <w:t>Richmond-Petersburg, VA</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79,994</w:t>
            </w:r>
          </w:p>
        </w:tc>
        <w:tc>
          <w:tcPr>
            <w:tcW w:w="6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440,000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66,000</w:t>
            </w:r>
          </w:p>
        </w:tc>
        <w:tc>
          <w:tcPr>
            <w:tcW w:w="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3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Old Navy / Staples / Ross Dress For Less</w:t>
            </w: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ind w:left="80"/>
              <w:spacing w:after="0"/>
              <w:rPr>
                <w:sz w:val="20"/>
                <w:szCs w:val="20"/>
                <w:color w:val="auto"/>
              </w:rPr>
            </w:pPr>
            <w:r>
              <w:rPr>
                <w:rFonts w:ascii="Arial" w:cs="Arial" w:eastAsia="Arial" w:hAnsi="Arial"/>
                <w:sz w:val="13"/>
                <w:szCs w:val="13"/>
                <w:b w:val="1"/>
                <w:bCs w:val="1"/>
                <w:color w:val="auto"/>
              </w:rPr>
              <w:t>Total Other</w:t>
            </w:r>
          </w:p>
        </w:tc>
        <w:tc>
          <w:tcPr>
            <w:tcW w:w="700" w:type="dxa"/>
            <w:vAlign w:val="bottom"/>
          </w:tcPr>
          <w:p>
            <w:pPr>
              <w:spacing w:after="0"/>
              <w:rPr>
                <w:sz w:val="14"/>
                <w:szCs w:val="14"/>
                <w:color w:val="auto"/>
              </w:rPr>
            </w:pP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336,434</w:t>
            </w:r>
          </w:p>
        </w:tc>
        <w:tc>
          <w:tcPr>
            <w:tcW w:w="660" w:type="dxa"/>
            <w:vAlign w:val="bottom"/>
          </w:tcPr>
          <w:p>
            <w:pPr>
              <w:spacing w:after="0"/>
              <w:rPr>
                <w:sz w:val="14"/>
                <w:szCs w:val="14"/>
                <w:color w:val="auto"/>
              </w:rPr>
            </w:pP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2,078,000</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6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60" w:type="dxa"/>
            <w:vAlign w:val="bottom"/>
          </w:tcPr>
          <w:p>
            <w:pPr>
              <w:spacing w:after="0"/>
              <w:rPr>
                <w:sz w:val="7"/>
                <w:szCs w:val="7"/>
                <w:color w:val="auto"/>
              </w:rPr>
            </w:pPr>
          </w:p>
        </w:tc>
      </w:tr>
      <w:tr>
        <w:trPr>
          <w:trHeight w:val="135"/>
        </w:trPr>
        <w:tc>
          <w:tcPr>
            <w:tcW w:w="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5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spacing w:after="0"/>
              <w:rPr>
                <w:sz w:val="11"/>
                <w:szCs w:val="11"/>
                <w:color w:val="auto"/>
              </w:rPr>
            </w:pPr>
          </w:p>
        </w:tc>
        <w:tc>
          <w:tcPr>
            <w:tcW w:w="3460" w:type="dxa"/>
            <w:vAlign w:val="bottom"/>
            <w:tcBorders>
              <w:bottom w:val="single" w:sz="8" w:color="auto"/>
            </w:tcBorders>
            <w:shd w:val="clear" w:color="auto" w:fill="CCEEFF"/>
          </w:tcPr>
          <w:p>
            <w:pPr>
              <w:spacing w:after="0"/>
              <w:rPr>
                <w:sz w:val="11"/>
                <w:szCs w:val="11"/>
                <w:color w:val="auto"/>
              </w:rPr>
            </w:pPr>
          </w:p>
        </w:tc>
      </w:tr>
      <w:tr>
        <w:trPr>
          <w:trHeight w:val="167"/>
        </w:trPr>
        <w:tc>
          <w:tcPr>
            <w:tcW w:w="1380" w:type="dxa"/>
            <w:vAlign w:val="bottom"/>
            <w:gridSpan w:val="5"/>
          </w:tcPr>
          <w:p>
            <w:pPr>
              <w:ind w:left="40"/>
              <w:spacing w:after="0"/>
              <w:rPr>
                <w:sz w:val="20"/>
                <w:szCs w:val="20"/>
                <w:color w:val="auto"/>
              </w:rPr>
            </w:pPr>
            <w:r>
              <w:rPr>
                <w:rFonts w:ascii="Arial" w:cs="Arial" w:eastAsia="Arial" w:hAnsi="Arial"/>
                <w:sz w:val="13"/>
                <w:szCs w:val="13"/>
                <w:b w:val="1"/>
                <w:bCs w:val="1"/>
                <w:color w:val="auto"/>
              </w:rPr>
              <w:t>Grand Total</w:t>
            </w: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b w:val="1"/>
                <w:bCs w:val="1"/>
                <w:color w:val="auto"/>
                <w:w w:val="87"/>
              </w:rPr>
              <w:t>$ 4,541,128</w:t>
            </w:r>
          </w:p>
        </w:tc>
        <w:tc>
          <w:tcPr>
            <w:tcW w:w="660" w:type="dxa"/>
            <w:vAlign w:val="bottom"/>
          </w:tcPr>
          <w:p>
            <w:pPr>
              <w:jc w:val="right"/>
              <w:ind w:right="38"/>
              <w:spacing w:after="0"/>
              <w:rPr>
                <w:sz w:val="20"/>
                <w:szCs w:val="20"/>
                <w:color w:val="auto"/>
              </w:rPr>
            </w:pPr>
            <w:r>
              <w:rPr>
                <w:rFonts w:ascii="Arial" w:cs="Arial" w:eastAsia="Arial" w:hAnsi="Arial"/>
                <w:sz w:val="13"/>
                <w:szCs w:val="13"/>
                <w:b w:val="1"/>
                <w:bCs w:val="1"/>
                <w:color w:val="auto"/>
                <w:w w:val="93"/>
              </w:rPr>
              <w:t>$ 793,486</w:t>
            </w: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w w:val="89"/>
              </w:rPr>
              <w:t>19,122,000</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95%</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60" w:type="dxa"/>
            <w:vAlign w:val="bottom"/>
          </w:tcPr>
          <w:p>
            <w:pPr>
              <w:spacing w:after="0"/>
              <w:rPr>
                <w:sz w:val="14"/>
                <w:szCs w:val="14"/>
                <w:color w:val="auto"/>
              </w:rPr>
            </w:pPr>
          </w:p>
        </w:tc>
      </w:tr>
      <w:tr>
        <w:trPr>
          <w:trHeight w:val="97"/>
        </w:trPr>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60" w:type="dxa"/>
            <w:vAlign w:val="bottom"/>
            <w:tcBorders>
              <w:bottom w:val="single" w:sz="8" w:color="auto"/>
            </w:tcBorders>
          </w:tcPr>
          <w:p>
            <w:pPr>
              <w:spacing w:after="0"/>
              <w:rPr>
                <w:sz w:val="8"/>
                <w:szCs w:val="8"/>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1360" w:hanging="1325"/>
        <w:spacing w:after="0"/>
        <w:tabs>
          <w:tab w:leader="none" w:pos="13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mortgage or capital lease obligations differ from the total reported on the consolidated balance sheet due to the unamortized discount or premium on certain mortgage payables.</w:t>
      </w:r>
    </w:p>
    <w:p>
      <w:pPr>
        <w:spacing w:after="0" w:line="51" w:lineRule="exact"/>
        <w:rPr>
          <w:rFonts w:ascii="Arial" w:cs="Arial" w:eastAsia="Arial" w:hAnsi="Arial"/>
          <w:sz w:val="12"/>
          <w:szCs w:val="12"/>
          <w:color w:val="auto"/>
        </w:rPr>
      </w:pPr>
    </w:p>
    <w:p>
      <w:pPr>
        <w:ind w:left="1360" w:hanging="1325"/>
        <w:spacing w:after="0"/>
        <w:tabs>
          <w:tab w:leader="none" w:pos="1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Excludes newly created redevelopment square footage not yet in service, as well as residential and hotel square footage.</w:t>
      </w:r>
    </w:p>
    <w:p>
      <w:pPr>
        <w:spacing w:after="0" w:line="39" w:lineRule="exact"/>
        <w:rPr>
          <w:rFonts w:ascii="Arial" w:cs="Arial" w:eastAsia="Arial" w:hAnsi="Arial"/>
          <w:sz w:val="13"/>
          <w:szCs w:val="13"/>
          <w:color w:val="auto"/>
        </w:rPr>
      </w:pPr>
    </w:p>
    <w:p>
      <w:pPr>
        <w:ind w:left="1360" w:hanging="1325"/>
        <w:spacing w:after="0"/>
        <w:tabs>
          <w:tab w:leader="none" w:pos="1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Portion of property subject to capital lease obligation.</w:t>
      </w:r>
    </w:p>
    <w:p>
      <w:pPr>
        <w:spacing w:after="0" w:line="39" w:lineRule="exact"/>
        <w:rPr>
          <w:rFonts w:ascii="Arial" w:cs="Arial" w:eastAsia="Arial" w:hAnsi="Arial"/>
          <w:sz w:val="13"/>
          <w:szCs w:val="13"/>
          <w:color w:val="auto"/>
        </w:rPr>
      </w:pPr>
    </w:p>
    <w:p>
      <w:pPr>
        <w:ind w:left="1360" w:hanging="1325"/>
        <w:spacing w:after="0"/>
        <w:tabs>
          <w:tab w:leader="none" w:pos="1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Trust has a controlling financial interest in this property.</w:t>
      </w:r>
    </w:p>
    <w:p>
      <w:pPr>
        <w:spacing w:after="0" w:line="39" w:lineRule="exact"/>
        <w:rPr>
          <w:rFonts w:ascii="Arial" w:cs="Arial" w:eastAsia="Arial" w:hAnsi="Arial"/>
          <w:sz w:val="13"/>
          <w:szCs w:val="13"/>
          <w:color w:val="auto"/>
        </w:rPr>
      </w:pPr>
    </w:p>
    <w:p>
      <w:pPr>
        <w:ind w:left="1360" w:right="580" w:hanging="1325"/>
        <w:spacing w:after="0" w:line="237" w:lineRule="auto"/>
        <w:tabs>
          <w:tab w:leader="none" w:pos="1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28" w:lineRule="exact"/>
        <w:rPr>
          <w:rFonts w:ascii="Arial" w:cs="Arial" w:eastAsia="Arial" w:hAnsi="Arial"/>
          <w:sz w:val="13"/>
          <w:szCs w:val="13"/>
          <w:color w:val="auto"/>
        </w:rPr>
      </w:pPr>
    </w:p>
    <w:p>
      <w:pPr>
        <w:ind w:left="1360" w:hanging="1325"/>
        <w:spacing w:after="0"/>
        <w:tabs>
          <w:tab w:leader="none" w:pos="1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Includes a 100% owned, 8.1 acre land parcel to be used for future development.</w:t>
      </w:r>
    </w:p>
    <w:p>
      <w:pPr>
        <w:spacing w:after="0" w:line="39" w:lineRule="exact"/>
        <w:rPr>
          <w:rFonts w:ascii="Arial" w:cs="Arial" w:eastAsia="Arial" w:hAnsi="Arial"/>
          <w:sz w:val="13"/>
          <w:szCs w:val="13"/>
          <w:color w:val="auto"/>
        </w:rPr>
      </w:pPr>
    </w:p>
    <w:p>
      <w:pPr>
        <w:ind w:left="1360" w:hanging="1325"/>
        <w:spacing w:after="0"/>
        <w:tabs>
          <w:tab w:leader="none" w:pos="1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Property subject to capital lease obligation.</w:t>
      </w:r>
    </w:p>
    <w:p>
      <w:pPr>
        <w:spacing w:after="0" w:line="39" w:lineRule="exact"/>
        <w:rPr>
          <w:rFonts w:ascii="Arial" w:cs="Arial" w:eastAsia="Arial" w:hAnsi="Arial"/>
          <w:sz w:val="13"/>
          <w:szCs w:val="13"/>
          <w:color w:val="auto"/>
        </w:rPr>
      </w:pPr>
    </w:p>
    <w:p>
      <w:pPr>
        <w:ind w:left="1360" w:right="280" w:hanging="1325"/>
        <w:spacing w:after="0" w:line="237" w:lineRule="auto"/>
        <w:tabs>
          <w:tab w:leader="none" w:pos="1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On October 16, 2006, the Trust acquired control of Melville Mall through a 20 year master lease and secondary financing. Since the Trust controls this property and retains substantially all of the economic benefit and risks associated with it, we consolidate this property and its operations.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7" w:right="239" w:bottom="1440" w:gutter="0" w:footer="0" w:header="0"/>
        </w:sectPr>
      </w:pPr>
    </w:p>
    <w:bookmarkStart w:id="23" w:name="page24"/>
    <w:bookmarkEnd w:id="23"/>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Retail Leasing Summary (1)</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September 30, 2012</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8"/>
              </w:rPr>
              <w:t>Contractual</w:t>
            </w:r>
          </w:p>
        </w:tc>
        <w:tc>
          <w:tcPr>
            <w:tcW w:w="76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104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of Comparable</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7"/>
              </w:rPr>
              <w:t>Rent (3) Per</w:t>
            </w:r>
          </w:p>
        </w:tc>
        <w:tc>
          <w:tcPr>
            <w:tcW w:w="76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(4) Per Sq.</w:t>
            </w:r>
          </w:p>
        </w:tc>
        <w:tc>
          <w:tcPr>
            <w:tcW w:w="98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00" w:type="dxa"/>
            <w:vAlign w:val="bottom"/>
          </w:tcPr>
          <w:p>
            <w:pPr>
              <w:jc w:val="right"/>
              <w:ind w:right="291"/>
              <w:spacing w:after="0"/>
              <w:rPr>
                <w:sz w:val="20"/>
                <w:szCs w:val="20"/>
                <w:color w:val="auto"/>
              </w:rPr>
            </w:pPr>
            <w:r>
              <w:rPr>
                <w:rFonts w:ascii="Arial" w:cs="Arial" w:eastAsia="Arial" w:hAnsi="Arial"/>
                <w:sz w:val="11"/>
                <w:szCs w:val="11"/>
                <w:b w:val="1"/>
                <w:bCs w:val="1"/>
                <w:color w:val="auto"/>
              </w:rPr>
              <w:t>Quarter</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Signed</w:t>
            </w:r>
          </w:p>
        </w:tc>
        <w:tc>
          <w:tcPr>
            <w:tcW w:w="104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Sq. Ft.</w:t>
            </w:r>
          </w:p>
        </w:tc>
        <w:tc>
          <w:tcPr>
            <w:tcW w:w="160" w:type="dxa"/>
            <w:vAlign w:val="bottom"/>
          </w:tcPr>
          <w:p>
            <w:pPr>
              <w:spacing w:after="0"/>
              <w:rPr>
                <w:sz w:val="12"/>
                <w:szCs w:val="12"/>
                <w:color w:val="auto"/>
              </w:rPr>
            </w:pPr>
          </w:p>
        </w:tc>
        <w:tc>
          <w:tcPr>
            <w:tcW w:w="6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8"/>
              </w:rPr>
              <w:t>Ft.</w:t>
            </w:r>
          </w:p>
        </w:tc>
        <w:tc>
          <w:tcPr>
            <w:tcW w:w="14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in Rent</w:t>
            </w: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3rd Quarter 2012</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504,082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28.43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25.63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99"/>
              </w:rPr>
              <w:t>1,411,774</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8,591,532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17.04</w:t>
            </w:r>
          </w:p>
        </w:tc>
      </w:tr>
      <w:tr>
        <w:trPr>
          <w:trHeight w:val="264"/>
        </w:trPr>
        <w:tc>
          <w:tcPr>
            <w:tcW w:w="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w w:val="96"/>
              </w:rPr>
              <w:t>2nd Quarter 2012</w:t>
            </w:r>
          </w:p>
        </w:tc>
        <w:tc>
          <w:tcPr>
            <w:tcW w:w="660" w:type="dxa"/>
            <w:vAlign w:val="bottom"/>
          </w:tcPr>
          <w:p>
            <w:pPr>
              <w:jc w:val="right"/>
              <w:ind w:right="35"/>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355,527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5"/>
              <w:spacing w:after="0"/>
              <w:rPr>
                <w:sz w:val="20"/>
                <w:szCs w:val="20"/>
                <w:color w:val="auto"/>
              </w:rPr>
            </w:pPr>
            <w:r>
              <w:rPr>
                <w:rFonts w:ascii="Arial" w:cs="Arial" w:eastAsia="Arial" w:hAnsi="Arial"/>
                <w:sz w:val="14"/>
                <w:szCs w:val="14"/>
                <w:color w:val="auto"/>
              </w:rPr>
              <w:t>36.08</w:t>
            </w:r>
          </w:p>
        </w:tc>
        <w:tc>
          <w:tcPr>
            <w:tcW w:w="120" w:type="dxa"/>
            <w:vAlign w:val="bottom"/>
          </w:tcPr>
          <w:p>
            <w:pPr>
              <w:spacing w:after="0"/>
              <w:rPr>
                <w:sz w:val="22"/>
                <w:szCs w:val="22"/>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32.64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1"/>
              <w:spacing w:after="0"/>
              <w:rPr>
                <w:sz w:val="20"/>
                <w:szCs w:val="20"/>
                <w:color w:val="auto"/>
              </w:rPr>
            </w:pPr>
            <w:r>
              <w:rPr>
                <w:rFonts w:ascii="Arial" w:cs="Arial" w:eastAsia="Arial" w:hAnsi="Arial"/>
                <w:sz w:val="14"/>
                <w:szCs w:val="14"/>
                <w:color w:val="auto"/>
                <w:w w:val="99"/>
              </w:rPr>
              <w:t>1,222,494</w:t>
            </w: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5,296,003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14.90</w:t>
            </w:r>
          </w:p>
        </w:tc>
      </w:tr>
      <w:tr>
        <w:trPr>
          <w:trHeight w:val="276"/>
        </w:trPr>
        <w:tc>
          <w:tcPr>
            <w:tcW w:w="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2012</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461,088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31.66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27.15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99"/>
              </w:rPr>
              <w:t>2,081,753</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12,603,460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27.33</w:t>
            </w:r>
          </w:p>
        </w:tc>
      </w:tr>
      <w:tr>
        <w:trPr>
          <w:trHeight w:val="264"/>
        </w:trPr>
        <w:tc>
          <w:tcPr>
            <w:tcW w:w="2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2011</w:t>
            </w: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231,394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32.81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29.80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697,168</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10 %</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1,641,570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7.09</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Total - 12 months</w:t>
            </w:r>
          </w:p>
        </w:tc>
        <w:tc>
          <w:tcPr>
            <w:tcW w:w="6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1,552,091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31.79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28.31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99"/>
              </w:rPr>
              <w:t>5,413,189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28,132,565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18.13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rPr>
              <w:t>New Lease Summary - Comparable (2)</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8"/>
              </w:rPr>
              <w:t>Contractual</w:t>
            </w:r>
          </w:p>
        </w:tc>
        <w:tc>
          <w:tcPr>
            <w:tcW w:w="76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104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of Comparable</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7"/>
              </w:rPr>
              <w:t>Rent (3) Per</w:t>
            </w:r>
          </w:p>
        </w:tc>
        <w:tc>
          <w:tcPr>
            <w:tcW w:w="76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(4) Per Sq.</w:t>
            </w:r>
          </w:p>
        </w:tc>
        <w:tc>
          <w:tcPr>
            <w:tcW w:w="98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00" w:type="dxa"/>
            <w:vAlign w:val="bottom"/>
          </w:tcPr>
          <w:p>
            <w:pPr>
              <w:jc w:val="right"/>
              <w:ind w:right="291"/>
              <w:spacing w:after="0"/>
              <w:rPr>
                <w:sz w:val="20"/>
                <w:szCs w:val="20"/>
                <w:color w:val="auto"/>
              </w:rPr>
            </w:pPr>
            <w:r>
              <w:rPr>
                <w:rFonts w:ascii="Arial" w:cs="Arial" w:eastAsia="Arial" w:hAnsi="Arial"/>
                <w:sz w:val="11"/>
                <w:szCs w:val="11"/>
                <w:b w:val="1"/>
                <w:bCs w:val="1"/>
                <w:color w:val="auto"/>
              </w:rPr>
              <w:t>Quarter</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Signed</w:t>
            </w:r>
          </w:p>
        </w:tc>
        <w:tc>
          <w:tcPr>
            <w:tcW w:w="104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Sq. Ft.</w:t>
            </w:r>
          </w:p>
        </w:tc>
        <w:tc>
          <w:tcPr>
            <w:tcW w:w="160" w:type="dxa"/>
            <w:vAlign w:val="bottom"/>
          </w:tcPr>
          <w:p>
            <w:pPr>
              <w:spacing w:after="0"/>
              <w:rPr>
                <w:sz w:val="12"/>
                <w:szCs w:val="12"/>
                <w:color w:val="auto"/>
              </w:rPr>
            </w:pPr>
          </w:p>
        </w:tc>
        <w:tc>
          <w:tcPr>
            <w:tcW w:w="6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8"/>
              </w:rPr>
              <w:t>Ft.</w:t>
            </w:r>
          </w:p>
        </w:tc>
        <w:tc>
          <w:tcPr>
            <w:tcW w:w="14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in Rent</w:t>
            </w: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3rd Quarter 2012</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49%</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271,280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27.41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21.91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99"/>
              </w:rPr>
              <w:t>1,493,101</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8,428,716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31.07</w:t>
            </w:r>
          </w:p>
        </w:tc>
      </w:tr>
      <w:tr>
        <w:trPr>
          <w:trHeight w:val="264"/>
        </w:trPr>
        <w:tc>
          <w:tcPr>
            <w:tcW w:w="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w w:val="96"/>
              </w:rPr>
              <w:t>2nd Quarter 2012</w:t>
            </w:r>
          </w:p>
        </w:tc>
        <w:tc>
          <w:tcPr>
            <w:tcW w:w="660" w:type="dxa"/>
            <w:vAlign w:val="bottom"/>
          </w:tcPr>
          <w:p>
            <w:pPr>
              <w:jc w:val="right"/>
              <w:ind w:right="35"/>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194,503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5"/>
              <w:spacing w:after="0"/>
              <w:rPr>
                <w:sz w:val="20"/>
                <w:szCs w:val="20"/>
                <w:color w:val="auto"/>
              </w:rPr>
            </w:pPr>
            <w:r>
              <w:rPr>
                <w:rFonts w:ascii="Arial" w:cs="Arial" w:eastAsia="Arial" w:hAnsi="Arial"/>
                <w:sz w:val="14"/>
                <w:szCs w:val="14"/>
                <w:color w:val="auto"/>
              </w:rPr>
              <w:t>33.08</w:t>
            </w:r>
          </w:p>
        </w:tc>
        <w:tc>
          <w:tcPr>
            <w:tcW w:w="120" w:type="dxa"/>
            <w:vAlign w:val="bottom"/>
          </w:tcPr>
          <w:p>
            <w:pPr>
              <w:spacing w:after="0"/>
              <w:rPr>
                <w:sz w:val="22"/>
                <w:szCs w:val="22"/>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28.84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825,333</w:t>
            </w: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15 %</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5,076,993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26.10</w:t>
            </w:r>
          </w:p>
        </w:tc>
      </w:tr>
      <w:tr>
        <w:trPr>
          <w:trHeight w:val="276"/>
        </w:trPr>
        <w:tc>
          <w:tcPr>
            <w:tcW w:w="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2012</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47%</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224,338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34.23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26.10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99"/>
              </w:rPr>
              <w:t>1,824,154</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31 %</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10,880,880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48.50</w:t>
            </w:r>
          </w:p>
        </w:tc>
      </w:tr>
      <w:tr>
        <w:trPr>
          <w:trHeight w:val="264"/>
        </w:trPr>
        <w:tc>
          <w:tcPr>
            <w:tcW w:w="2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2011</w:t>
            </w: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36%</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91,350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32.04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28.56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318,442</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12 %</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1,601,990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17.54</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Total - 12 months</w:t>
            </w:r>
          </w:p>
        </w:tc>
        <w:tc>
          <w:tcPr>
            <w:tcW w:w="6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781,471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31.32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99"/>
              </w:rPr>
              <w:t>4,461,030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25,988,579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33.26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292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4"/>
              </w:rPr>
              <w:t>Renewal Lease Summary - Comparable (2) (7)</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8"/>
              </w:rPr>
              <w:t>Contractual</w:t>
            </w:r>
          </w:p>
        </w:tc>
        <w:tc>
          <w:tcPr>
            <w:tcW w:w="76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104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of Comparable</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7"/>
              </w:rPr>
              <w:t>Rent (3) Per</w:t>
            </w:r>
          </w:p>
        </w:tc>
        <w:tc>
          <w:tcPr>
            <w:tcW w:w="76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(4) Per Sq.</w:t>
            </w:r>
          </w:p>
        </w:tc>
        <w:tc>
          <w:tcPr>
            <w:tcW w:w="98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00" w:type="dxa"/>
            <w:vAlign w:val="bottom"/>
          </w:tcPr>
          <w:p>
            <w:pPr>
              <w:jc w:val="right"/>
              <w:ind w:right="291"/>
              <w:spacing w:after="0"/>
              <w:rPr>
                <w:sz w:val="20"/>
                <w:szCs w:val="20"/>
                <w:color w:val="auto"/>
              </w:rPr>
            </w:pPr>
            <w:r>
              <w:rPr>
                <w:rFonts w:ascii="Arial" w:cs="Arial" w:eastAsia="Arial" w:hAnsi="Arial"/>
                <w:sz w:val="11"/>
                <w:szCs w:val="11"/>
                <w:b w:val="1"/>
                <w:bCs w:val="1"/>
                <w:color w:val="auto"/>
              </w:rPr>
              <w:t>Quarter</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Signed</w:t>
            </w:r>
          </w:p>
        </w:tc>
        <w:tc>
          <w:tcPr>
            <w:tcW w:w="104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Sq. Ft.</w:t>
            </w:r>
          </w:p>
        </w:tc>
        <w:tc>
          <w:tcPr>
            <w:tcW w:w="160" w:type="dxa"/>
            <w:vAlign w:val="bottom"/>
          </w:tcPr>
          <w:p>
            <w:pPr>
              <w:spacing w:after="0"/>
              <w:rPr>
                <w:sz w:val="12"/>
                <w:szCs w:val="12"/>
                <w:color w:val="auto"/>
              </w:rPr>
            </w:pPr>
          </w:p>
        </w:tc>
        <w:tc>
          <w:tcPr>
            <w:tcW w:w="6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8"/>
              </w:rPr>
              <w:t>Ft.</w:t>
            </w:r>
          </w:p>
        </w:tc>
        <w:tc>
          <w:tcPr>
            <w:tcW w:w="14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in Rent</w:t>
            </w: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3rd Quarter 2012</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51%</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232,802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29.61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29.96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(81,327)</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162,816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0.70</w:t>
            </w:r>
          </w:p>
        </w:tc>
      </w:tr>
      <w:tr>
        <w:trPr>
          <w:trHeight w:val="264"/>
        </w:trPr>
        <w:tc>
          <w:tcPr>
            <w:tcW w:w="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w w:val="96"/>
              </w:rPr>
              <w:t>2nd Quarter 2012</w:t>
            </w:r>
          </w:p>
        </w:tc>
        <w:tc>
          <w:tcPr>
            <w:tcW w:w="660" w:type="dxa"/>
            <w:vAlign w:val="bottom"/>
          </w:tcPr>
          <w:p>
            <w:pPr>
              <w:jc w:val="right"/>
              <w:ind w:right="35"/>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59%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161,024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5"/>
              <w:spacing w:after="0"/>
              <w:rPr>
                <w:sz w:val="20"/>
                <w:szCs w:val="20"/>
                <w:color w:val="auto"/>
              </w:rPr>
            </w:pPr>
            <w:r>
              <w:rPr>
                <w:rFonts w:ascii="Arial" w:cs="Arial" w:eastAsia="Arial" w:hAnsi="Arial"/>
                <w:sz w:val="14"/>
                <w:szCs w:val="14"/>
                <w:color w:val="auto"/>
              </w:rPr>
              <w:t>39.69</w:t>
            </w:r>
          </w:p>
        </w:tc>
        <w:tc>
          <w:tcPr>
            <w:tcW w:w="120" w:type="dxa"/>
            <w:vAlign w:val="bottom"/>
          </w:tcPr>
          <w:p>
            <w:pPr>
              <w:spacing w:after="0"/>
              <w:rPr>
                <w:sz w:val="22"/>
                <w:szCs w:val="22"/>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37.23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397,161</w:t>
            </w: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7 %</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219,010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1.36</w:t>
            </w:r>
          </w:p>
        </w:tc>
      </w:tr>
      <w:tr>
        <w:trPr>
          <w:trHeight w:val="276"/>
        </w:trPr>
        <w:tc>
          <w:tcPr>
            <w:tcW w:w="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2012</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53%</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236,750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29.23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28.14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257,599</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1,722,580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7.28</w:t>
            </w:r>
          </w:p>
        </w:tc>
      </w:tr>
      <w:tr>
        <w:trPr>
          <w:trHeight w:val="264"/>
        </w:trPr>
        <w:tc>
          <w:tcPr>
            <w:tcW w:w="2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2011</w:t>
            </w: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64%</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140,044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33.31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30.60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378,726</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39,580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0.28</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Total - 12 months</w:t>
            </w:r>
          </w:p>
        </w:tc>
        <w:tc>
          <w:tcPr>
            <w:tcW w:w="6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770,620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32.27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952,159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2,143,986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2.78</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and Non-comparable (including deals signed for development projects) (2) (8)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11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7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Contractual</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right"/>
              <w:ind w:right="3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11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Leases</w:t>
            </w: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Rent (3) Per Sq.</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4820" w:type="dxa"/>
            <w:vAlign w:val="bottom"/>
            <w:gridSpan w:val="2"/>
          </w:tcPr>
          <w:p>
            <w:pPr>
              <w:ind w:left="380"/>
              <w:spacing w:after="0"/>
              <w:rPr>
                <w:sz w:val="20"/>
                <w:szCs w:val="20"/>
                <w:color w:val="auto"/>
              </w:rPr>
            </w:pPr>
            <w:r>
              <w:rPr>
                <w:rFonts w:ascii="Arial" w:cs="Arial" w:eastAsia="Arial" w:hAnsi="Arial"/>
                <w:sz w:val="11"/>
                <w:szCs w:val="11"/>
                <w:b w:val="1"/>
                <w:bCs w:val="1"/>
                <w:color w:val="auto"/>
              </w:rPr>
              <w:t>Quarter</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Signed</w:t>
            </w:r>
          </w:p>
        </w:tc>
        <w:tc>
          <w:tcPr>
            <w:tcW w:w="1860" w:type="dxa"/>
            <w:vAlign w:val="bottom"/>
            <w:gridSpan w:val="2"/>
          </w:tcPr>
          <w:p>
            <w:pPr>
              <w:ind w:left="6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2"/>
          </w:tcPr>
          <w:p>
            <w:pPr>
              <w:ind w:left="240"/>
              <w:spacing w:after="0"/>
              <w:rPr>
                <w:sz w:val="20"/>
                <w:szCs w:val="20"/>
                <w:color w:val="auto"/>
              </w:rPr>
            </w:pPr>
            <w:r>
              <w:rPr>
                <w:rFonts w:ascii="Arial" w:cs="Arial" w:eastAsia="Arial" w:hAnsi="Arial"/>
                <w:sz w:val="11"/>
                <w:szCs w:val="11"/>
                <w:b w:val="1"/>
                <w:bCs w:val="1"/>
                <w:color w:val="auto"/>
              </w:rPr>
              <w:t>Ft.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112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4820" w:type="dxa"/>
            <w:vAlign w:val="bottom"/>
            <w:gridSpan w:val="2"/>
            <w:shd w:val="clear" w:color="auto" w:fill="CCEEFF"/>
          </w:tcPr>
          <w:p>
            <w:pPr>
              <w:jc w:val="right"/>
              <w:ind w:right="3720"/>
              <w:spacing w:after="0"/>
              <w:rPr>
                <w:sz w:val="20"/>
                <w:szCs w:val="20"/>
                <w:color w:val="auto"/>
              </w:rPr>
            </w:pPr>
            <w:r>
              <w:rPr>
                <w:rFonts w:ascii="Arial" w:cs="Arial" w:eastAsia="Arial" w:hAnsi="Arial"/>
                <w:sz w:val="14"/>
                <w:szCs w:val="14"/>
                <w:color w:val="auto"/>
              </w:rPr>
              <w:t>3rd Quarter 2012</w:t>
            </w: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531,573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28.89</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11,667,533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21.95</w:t>
            </w:r>
          </w:p>
        </w:tc>
      </w:tr>
      <w:tr>
        <w:trPr>
          <w:trHeight w:val="264"/>
        </w:trPr>
        <w:tc>
          <w:tcPr>
            <w:tcW w:w="4820" w:type="dxa"/>
            <w:vAlign w:val="bottom"/>
            <w:gridSpan w:val="2"/>
          </w:tcPr>
          <w:p>
            <w:pPr>
              <w:jc w:val="right"/>
              <w:ind w:right="3720"/>
              <w:spacing w:after="0"/>
              <w:rPr>
                <w:sz w:val="20"/>
                <w:szCs w:val="20"/>
                <w:color w:val="auto"/>
              </w:rPr>
            </w:pPr>
            <w:r>
              <w:rPr>
                <w:rFonts w:ascii="Arial" w:cs="Arial" w:eastAsia="Arial" w:hAnsi="Arial"/>
                <w:sz w:val="14"/>
                <w:szCs w:val="14"/>
                <w:color w:val="auto"/>
                <w:w w:val="98"/>
              </w:rPr>
              <w:t>2nd Quarter 2012</w:t>
            </w:r>
          </w:p>
        </w:tc>
        <w:tc>
          <w:tcPr>
            <w:tcW w:w="660" w:type="dxa"/>
            <w:vAlign w:val="bottom"/>
          </w:tcPr>
          <w:p>
            <w:pPr>
              <w:jc w:val="right"/>
              <w:ind w:right="55"/>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2"/>
                <w:szCs w:val="22"/>
                <w:color w:val="auto"/>
              </w:rPr>
            </w:pPr>
          </w:p>
        </w:tc>
        <w:tc>
          <w:tcPr>
            <w:tcW w:w="1740" w:type="dxa"/>
            <w:vAlign w:val="bottom"/>
          </w:tcPr>
          <w:p>
            <w:pPr>
              <w:jc w:val="right"/>
              <w:ind w:right="131"/>
              <w:spacing w:after="0"/>
              <w:rPr>
                <w:sz w:val="20"/>
                <w:szCs w:val="20"/>
                <w:color w:val="auto"/>
              </w:rPr>
            </w:pPr>
            <w:r>
              <w:rPr>
                <w:rFonts w:ascii="Arial" w:cs="Arial" w:eastAsia="Arial" w:hAnsi="Arial"/>
                <w:sz w:val="14"/>
                <w:szCs w:val="14"/>
                <w:color w:val="auto"/>
              </w:rPr>
              <w:t>368,795</w:t>
            </w:r>
          </w:p>
        </w:tc>
        <w:tc>
          <w:tcPr>
            <w:tcW w:w="1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tcPr>
          <w:p>
            <w:pPr>
              <w:ind w:left="220"/>
              <w:spacing w:after="0"/>
              <w:rPr>
                <w:sz w:val="20"/>
                <w:szCs w:val="20"/>
                <w:color w:val="auto"/>
              </w:rPr>
            </w:pPr>
            <w:r>
              <w:rPr>
                <w:rFonts w:ascii="Arial" w:cs="Arial" w:eastAsia="Arial" w:hAnsi="Arial"/>
                <w:sz w:val="14"/>
                <w:szCs w:val="14"/>
                <w:color w:val="auto"/>
              </w:rPr>
              <w:t>36.47</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6,058,163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16.43</w:t>
            </w:r>
          </w:p>
        </w:tc>
      </w:tr>
      <w:tr>
        <w:trPr>
          <w:trHeight w:val="276"/>
        </w:trPr>
        <w:tc>
          <w:tcPr>
            <w:tcW w:w="4820" w:type="dxa"/>
            <w:vAlign w:val="bottom"/>
            <w:gridSpan w:val="2"/>
            <w:shd w:val="clear" w:color="auto" w:fill="CCEEFF"/>
          </w:tcPr>
          <w:p>
            <w:pPr>
              <w:jc w:val="right"/>
              <w:ind w:right="3720"/>
              <w:spacing w:after="0"/>
              <w:rPr>
                <w:sz w:val="20"/>
                <w:szCs w:val="20"/>
                <w:color w:val="auto"/>
              </w:rPr>
            </w:pPr>
            <w:r>
              <w:rPr>
                <w:rFonts w:ascii="Arial" w:cs="Arial" w:eastAsia="Arial" w:hAnsi="Arial"/>
                <w:sz w:val="14"/>
                <w:szCs w:val="14"/>
                <w:color w:val="auto"/>
              </w:rPr>
              <w:t>1st Quarter 2012</w:t>
            </w: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579,118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32.36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31,040,121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53.60</w:t>
            </w:r>
          </w:p>
        </w:tc>
      </w:tr>
      <w:tr>
        <w:trPr>
          <w:trHeight w:val="264"/>
        </w:trPr>
        <w:tc>
          <w:tcPr>
            <w:tcW w:w="4820" w:type="dxa"/>
            <w:vAlign w:val="bottom"/>
            <w:tcBorders>
              <w:bottom w:val="single" w:sz="8" w:color="CCEEFF"/>
            </w:tcBorders>
            <w:gridSpan w:val="2"/>
          </w:tcPr>
          <w:p>
            <w:pPr>
              <w:jc w:val="right"/>
              <w:ind w:right="3720"/>
              <w:spacing w:after="0"/>
              <w:rPr>
                <w:sz w:val="20"/>
                <w:szCs w:val="20"/>
                <w:color w:val="auto"/>
              </w:rPr>
            </w:pPr>
            <w:r>
              <w:rPr>
                <w:rFonts w:ascii="Arial" w:cs="Arial" w:eastAsia="Arial" w:hAnsi="Arial"/>
                <w:sz w:val="14"/>
                <w:szCs w:val="14"/>
                <w:color w:val="auto"/>
              </w:rPr>
              <w:t>4th Quarter 2011</w:t>
            </w: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254,557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32.88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2,921,575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11.48</w:t>
            </w:r>
          </w:p>
        </w:tc>
      </w:tr>
      <w:tr>
        <w:trPr>
          <w:trHeight w:val="243"/>
        </w:trPr>
        <w:tc>
          <w:tcPr>
            <w:tcW w:w="4820" w:type="dxa"/>
            <w:vAlign w:val="bottom"/>
            <w:tcBorders>
              <w:bottom w:val="single" w:sz="8" w:color="CCEEFF"/>
            </w:tcBorders>
            <w:gridSpan w:val="2"/>
            <w:shd w:val="clear" w:color="auto" w:fill="CCEEFF"/>
          </w:tcPr>
          <w:p>
            <w:pPr>
              <w:jc w:val="right"/>
              <w:ind w:right="3720"/>
              <w:spacing w:after="0"/>
              <w:rPr>
                <w:sz w:val="20"/>
                <w:szCs w:val="20"/>
                <w:color w:val="auto"/>
              </w:rPr>
            </w:pPr>
            <w:r>
              <w:rPr>
                <w:rFonts w:ascii="Arial" w:cs="Arial" w:eastAsia="Arial" w:hAnsi="Arial"/>
                <w:sz w:val="14"/>
                <w:szCs w:val="14"/>
                <w:color w:val="auto"/>
                <w:w w:val="99"/>
              </w:rPr>
              <w:t>Total - 12 months</w:t>
            </w:r>
          </w:p>
        </w:tc>
        <w:tc>
          <w:tcPr>
            <w:tcW w:w="6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1,734,043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32.25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51,687,392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29.81</w:t>
            </w:r>
          </w:p>
        </w:tc>
      </w:tr>
      <w:tr>
        <w:trPr>
          <w:trHeight w:val="20"/>
        </w:trPr>
        <w:tc>
          <w:tcPr>
            <w:tcW w:w="1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and Non-comparable (excluding deals signed for development projects)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11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7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Contractual</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right"/>
              <w:ind w:right="3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11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Leases</w:t>
            </w: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Rent (3) Per Sq.</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4820" w:type="dxa"/>
            <w:vAlign w:val="bottom"/>
            <w:gridSpan w:val="2"/>
          </w:tcPr>
          <w:p>
            <w:pPr>
              <w:ind w:left="380"/>
              <w:spacing w:after="0"/>
              <w:rPr>
                <w:sz w:val="20"/>
                <w:szCs w:val="20"/>
                <w:color w:val="auto"/>
              </w:rPr>
            </w:pPr>
            <w:r>
              <w:rPr>
                <w:rFonts w:ascii="Arial" w:cs="Arial" w:eastAsia="Arial" w:hAnsi="Arial"/>
                <w:sz w:val="11"/>
                <w:szCs w:val="11"/>
                <w:b w:val="1"/>
                <w:bCs w:val="1"/>
                <w:color w:val="auto"/>
              </w:rPr>
              <w:t>Quarter</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Signed</w:t>
            </w:r>
          </w:p>
        </w:tc>
        <w:tc>
          <w:tcPr>
            <w:tcW w:w="1860" w:type="dxa"/>
            <w:vAlign w:val="bottom"/>
            <w:gridSpan w:val="2"/>
          </w:tcPr>
          <w:p>
            <w:pPr>
              <w:ind w:left="6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2"/>
          </w:tcPr>
          <w:p>
            <w:pPr>
              <w:ind w:left="240"/>
              <w:spacing w:after="0"/>
              <w:rPr>
                <w:sz w:val="20"/>
                <w:szCs w:val="20"/>
                <w:color w:val="auto"/>
              </w:rPr>
            </w:pPr>
            <w:r>
              <w:rPr>
                <w:rFonts w:ascii="Arial" w:cs="Arial" w:eastAsia="Arial" w:hAnsi="Arial"/>
                <w:sz w:val="11"/>
                <w:szCs w:val="11"/>
                <w:b w:val="1"/>
                <w:bCs w:val="1"/>
                <w:color w:val="auto"/>
              </w:rPr>
              <w:t>Ft.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112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4820" w:type="dxa"/>
            <w:vAlign w:val="bottom"/>
            <w:gridSpan w:val="2"/>
            <w:shd w:val="clear" w:color="auto" w:fill="CCEEFF"/>
          </w:tcPr>
          <w:p>
            <w:pPr>
              <w:jc w:val="right"/>
              <w:ind w:right="3720"/>
              <w:spacing w:after="0"/>
              <w:rPr>
                <w:sz w:val="20"/>
                <w:szCs w:val="20"/>
                <w:color w:val="auto"/>
              </w:rPr>
            </w:pPr>
            <w:r>
              <w:rPr>
                <w:rFonts w:ascii="Arial" w:cs="Arial" w:eastAsia="Arial" w:hAnsi="Arial"/>
                <w:sz w:val="14"/>
                <w:szCs w:val="14"/>
                <w:color w:val="auto"/>
              </w:rPr>
              <w:t>3rd Quarter 2012</w:t>
            </w: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517,194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28.56</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9,127,719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17.65</w:t>
            </w:r>
          </w:p>
        </w:tc>
      </w:tr>
      <w:tr>
        <w:trPr>
          <w:trHeight w:val="264"/>
        </w:trPr>
        <w:tc>
          <w:tcPr>
            <w:tcW w:w="4820" w:type="dxa"/>
            <w:vAlign w:val="bottom"/>
            <w:gridSpan w:val="2"/>
          </w:tcPr>
          <w:p>
            <w:pPr>
              <w:jc w:val="right"/>
              <w:ind w:right="3720"/>
              <w:spacing w:after="0"/>
              <w:rPr>
                <w:sz w:val="20"/>
                <w:szCs w:val="20"/>
                <w:color w:val="auto"/>
              </w:rPr>
            </w:pPr>
            <w:r>
              <w:rPr>
                <w:rFonts w:ascii="Arial" w:cs="Arial" w:eastAsia="Arial" w:hAnsi="Arial"/>
                <w:sz w:val="14"/>
                <w:szCs w:val="14"/>
                <w:color w:val="auto"/>
                <w:w w:val="98"/>
              </w:rPr>
              <w:t>2nd Quarter 2012</w:t>
            </w:r>
          </w:p>
        </w:tc>
        <w:tc>
          <w:tcPr>
            <w:tcW w:w="660" w:type="dxa"/>
            <w:vAlign w:val="bottom"/>
          </w:tcPr>
          <w:p>
            <w:pPr>
              <w:jc w:val="right"/>
              <w:ind w:right="55"/>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2"/>
                <w:szCs w:val="22"/>
                <w:color w:val="auto"/>
              </w:rPr>
            </w:pPr>
          </w:p>
        </w:tc>
        <w:tc>
          <w:tcPr>
            <w:tcW w:w="1740" w:type="dxa"/>
            <w:vAlign w:val="bottom"/>
          </w:tcPr>
          <w:p>
            <w:pPr>
              <w:jc w:val="right"/>
              <w:ind w:right="131"/>
              <w:spacing w:after="0"/>
              <w:rPr>
                <w:sz w:val="20"/>
                <w:szCs w:val="20"/>
                <w:color w:val="auto"/>
              </w:rPr>
            </w:pPr>
            <w:r>
              <w:rPr>
                <w:rFonts w:ascii="Arial" w:cs="Arial" w:eastAsia="Arial" w:hAnsi="Arial"/>
                <w:sz w:val="14"/>
                <w:szCs w:val="14"/>
                <w:color w:val="auto"/>
              </w:rPr>
              <w:t>363,375</w:t>
            </w:r>
          </w:p>
        </w:tc>
        <w:tc>
          <w:tcPr>
            <w:tcW w:w="1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tcPr>
          <w:p>
            <w:pPr>
              <w:ind w:left="220"/>
              <w:spacing w:after="0"/>
              <w:rPr>
                <w:sz w:val="20"/>
                <w:szCs w:val="20"/>
                <w:color w:val="auto"/>
              </w:rPr>
            </w:pPr>
            <w:r>
              <w:rPr>
                <w:rFonts w:ascii="Arial" w:cs="Arial" w:eastAsia="Arial" w:hAnsi="Arial"/>
                <w:sz w:val="14"/>
                <w:szCs w:val="14"/>
                <w:color w:val="auto"/>
              </w:rPr>
              <w:t>36.34</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5,516,163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15.18</w:t>
            </w:r>
          </w:p>
        </w:tc>
      </w:tr>
      <w:tr>
        <w:trPr>
          <w:trHeight w:val="276"/>
        </w:trPr>
        <w:tc>
          <w:tcPr>
            <w:tcW w:w="4820" w:type="dxa"/>
            <w:vAlign w:val="bottom"/>
            <w:gridSpan w:val="2"/>
            <w:shd w:val="clear" w:color="auto" w:fill="CCEEFF"/>
          </w:tcPr>
          <w:p>
            <w:pPr>
              <w:jc w:val="right"/>
              <w:ind w:right="3720"/>
              <w:spacing w:after="0"/>
              <w:rPr>
                <w:sz w:val="20"/>
                <w:szCs w:val="20"/>
                <w:color w:val="auto"/>
              </w:rPr>
            </w:pPr>
            <w:r>
              <w:rPr>
                <w:rFonts w:ascii="Arial" w:cs="Arial" w:eastAsia="Arial" w:hAnsi="Arial"/>
                <w:sz w:val="14"/>
                <w:szCs w:val="14"/>
                <w:color w:val="auto"/>
              </w:rPr>
              <w:t>1st Quarter 2012</w:t>
            </w: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472,501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32.01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13,008,316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27.53</w:t>
            </w:r>
          </w:p>
        </w:tc>
      </w:tr>
      <w:tr>
        <w:trPr>
          <w:trHeight w:val="264"/>
        </w:trPr>
        <w:tc>
          <w:tcPr>
            <w:tcW w:w="4820" w:type="dxa"/>
            <w:vAlign w:val="bottom"/>
            <w:tcBorders>
              <w:bottom w:val="single" w:sz="8" w:color="CCEEFF"/>
            </w:tcBorders>
            <w:gridSpan w:val="2"/>
          </w:tcPr>
          <w:p>
            <w:pPr>
              <w:jc w:val="right"/>
              <w:ind w:right="3720"/>
              <w:spacing w:after="0"/>
              <w:rPr>
                <w:sz w:val="20"/>
                <w:szCs w:val="20"/>
                <w:color w:val="auto"/>
              </w:rPr>
            </w:pPr>
            <w:r>
              <w:rPr>
                <w:rFonts w:ascii="Arial" w:cs="Arial" w:eastAsia="Arial" w:hAnsi="Arial"/>
                <w:sz w:val="14"/>
                <w:szCs w:val="14"/>
                <w:color w:val="auto"/>
              </w:rPr>
              <w:t>4th Quarter 2011</w:t>
            </w: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254,557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32.88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2,921,575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11.48</w:t>
            </w:r>
          </w:p>
        </w:tc>
      </w:tr>
      <w:tr>
        <w:trPr>
          <w:trHeight w:val="243"/>
        </w:trPr>
        <w:tc>
          <w:tcPr>
            <w:tcW w:w="4820" w:type="dxa"/>
            <w:vAlign w:val="bottom"/>
            <w:tcBorders>
              <w:bottom w:val="single" w:sz="8" w:color="CCEEFF"/>
            </w:tcBorders>
            <w:gridSpan w:val="2"/>
            <w:shd w:val="clear" w:color="auto" w:fill="CCEEFF"/>
          </w:tcPr>
          <w:p>
            <w:pPr>
              <w:jc w:val="right"/>
              <w:ind w:right="3720"/>
              <w:spacing w:after="0"/>
              <w:rPr>
                <w:sz w:val="20"/>
                <w:szCs w:val="20"/>
                <w:color w:val="auto"/>
              </w:rPr>
            </w:pPr>
            <w:r>
              <w:rPr>
                <w:rFonts w:ascii="Arial" w:cs="Arial" w:eastAsia="Arial" w:hAnsi="Arial"/>
                <w:sz w:val="14"/>
                <w:szCs w:val="14"/>
                <w:color w:val="auto"/>
                <w:w w:val="99"/>
              </w:rPr>
              <w:t>Total - 12 months</w:t>
            </w:r>
          </w:p>
        </w:tc>
        <w:tc>
          <w:tcPr>
            <w:tcW w:w="6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1,607,627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32.02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30,573,773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19.02</w:t>
            </w:r>
          </w:p>
        </w:tc>
      </w:tr>
      <w:tr>
        <w:trPr>
          <w:trHeight w:val="20"/>
        </w:trPr>
        <w:tc>
          <w:tcPr>
            <w:tcW w:w="1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200" w:hanging="170"/>
        <w:spacing w:after="0"/>
        <w:tabs>
          <w:tab w:leader="none" w:pos="2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Leases on this report represent retail activity only; office and residential leases are not included.</w:t>
      </w:r>
    </w:p>
    <w:p>
      <w:pPr>
        <w:spacing w:after="0" w:line="39" w:lineRule="exact"/>
        <w:rPr>
          <w:rFonts w:ascii="Arial" w:cs="Arial" w:eastAsia="Arial" w:hAnsi="Arial"/>
          <w:sz w:val="13"/>
          <w:szCs w:val="13"/>
          <w:color w:val="auto"/>
        </w:rPr>
      </w:pPr>
    </w:p>
    <w:p>
      <w:pPr>
        <w:ind w:left="200" w:hanging="170"/>
        <w:spacing w:after="0"/>
        <w:tabs>
          <w:tab w:leader="none" w:pos="2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Comparable leases represent those leases signed on spaces for which there was a former tenant.</w:t>
      </w:r>
    </w:p>
    <w:p>
      <w:pPr>
        <w:spacing w:after="0" w:line="39" w:lineRule="exact"/>
        <w:rPr>
          <w:rFonts w:ascii="Arial" w:cs="Arial" w:eastAsia="Arial" w:hAnsi="Arial"/>
          <w:sz w:val="13"/>
          <w:szCs w:val="13"/>
          <w:color w:val="auto"/>
        </w:rPr>
      </w:pPr>
    </w:p>
    <w:p>
      <w:pPr>
        <w:ind w:left="200" w:hanging="170"/>
        <w:spacing w:after="0"/>
        <w:tabs>
          <w:tab w:leader="none" w:pos="2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Contractual rent represents contractual minimum rent under the new lease for the first 12 months of the term.</w:t>
      </w:r>
    </w:p>
    <w:p>
      <w:pPr>
        <w:spacing w:after="0" w:line="39" w:lineRule="exact"/>
        <w:rPr>
          <w:rFonts w:ascii="Arial" w:cs="Arial" w:eastAsia="Arial" w:hAnsi="Arial"/>
          <w:sz w:val="13"/>
          <w:szCs w:val="13"/>
          <w:color w:val="auto"/>
        </w:rPr>
      </w:pPr>
    </w:p>
    <w:p>
      <w:pPr>
        <w:ind w:left="200" w:hanging="170"/>
        <w:spacing w:after="0"/>
        <w:tabs>
          <w:tab w:leader="none" w:pos="2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Prior rent represents minimum rent and percentage rent, if any, paid by the prior tenant in the final 12 months of the term.</w:t>
      </w:r>
    </w:p>
    <w:p>
      <w:pPr>
        <w:spacing w:after="0" w:line="39" w:lineRule="exact"/>
        <w:rPr>
          <w:rFonts w:ascii="Arial" w:cs="Arial" w:eastAsia="Arial" w:hAnsi="Arial"/>
          <w:sz w:val="13"/>
          <w:szCs w:val="13"/>
          <w:color w:val="auto"/>
        </w:rPr>
      </w:pPr>
    </w:p>
    <w:p>
      <w:pPr>
        <w:ind w:left="200" w:hanging="170"/>
        <w:spacing w:after="0"/>
        <w:tabs>
          <w:tab w:leader="none" w:pos="2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Weighted average is determined on the basis of square footage.</w:t>
      </w:r>
    </w:p>
    <w:p>
      <w:pPr>
        <w:spacing w:after="0" w:line="39" w:lineRule="exact"/>
        <w:rPr>
          <w:rFonts w:ascii="Arial" w:cs="Arial" w:eastAsia="Arial" w:hAnsi="Arial"/>
          <w:sz w:val="13"/>
          <w:szCs w:val="13"/>
          <w:color w:val="auto"/>
        </w:rPr>
      </w:pPr>
    </w:p>
    <w:p>
      <w:pPr>
        <w:ind w:left="200" w:hanging="170"/>
        <w:spacing w:after="0"/>
        <w:tabs>
          <w:tab w:leader="none" w:pos="2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See Glossary of Terms.</w:t>
      </w:r>
    </w:p>
    <w:p>
      <w:pPr>
        <w:spacing w:after="0" w:line="39" w:lineRule="exact"/>
        <w:rPr>
          <w:rFonts w:ascii="Arial" w:cs="Arial" w:eastAsia="Arial" w:hAnsi="Arial"/>
          <w:sz w:val="13"/>
          <w:szCs w:val="13"/>
          <w:color w:val="auto"/>
        </w:rPr>
      </w:pPr>
    </w:p>
    <w:p>
      <w:pPr>
        <w:ind w:left="200" w:hanging="170"/>
        <w:spacing w:after="0"/>
        <w:tabs>
          <w:tab w:leader="none" w:pos="2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39" w:lineRule="exact"/>
        <w:rPr>
          <w:rFonts w:ascii="Arial" w:cs="Arial" w:eastAsia="Arial" w:hAnsi="Arial"/>
          <w:sz w:val="13"/>
          <w:szCs w:val="13"/>
          <w:color w:val="auto"/>
        </w:rPr>
      </w:pPr>
    </w:p>
    <w:p>
      <w:pPr>
        <w:ind w:left="200" w:hanging="170"/>
        <w:spacing w:after="0"/>
        <w:tabs>
          <w:tab w:leader="none" w:pos="2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economic terms of leases signed for development projects are also included in the overall project return and cost summary shown on the "Summary of Development and Redevelopment Opportunities."</w:t>
      </w:r>
    </w:p>
    <w:p>
      <w:pPr>
        <w:sectPr>
          <w:pgSz w:w="11900" w:h="16838" w:orient="portrait"/>
          <w:cols w:equalWidth="0" w:num="1">
            <w:col w:w="11220"/>
          </w:cols>
          <w:pgMar w:left="340" w:top="963" w:right="339" w:bottom="514"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20"/>
          </w:cols>
          <w:pgMar w:left="340" w:top="963" w:right="339" w:bottom="514" w:gutter="0" w:footer="0" w:header="0"/>
          <w:type w:val="continuous"/>
        </w:sectPr>
      </w:pPr>
    </w:p>
    <w:bookmarkStart w:id="24" w:name="page25"/>
    <w:bookmarkEnd w:id="24"/>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3845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2012</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19.29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292,000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362,000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458,000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18.01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792,000</w:t>
            </w: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31.36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1,250,000</w:t>
            </w: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26.47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2014</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889,000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35.10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2,238,000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879,000</w:t>
            </w: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14.60</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980,000</w:t>
            </w: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31.98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1,859,000</w:t>
            </w: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23.76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1,107,000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25.69</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1,483,000</w:t>
            </w: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16.10</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1,075,000</w:t>
            </w: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34.60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2,558,000</w:t>
            </w: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23.88</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1,250,000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38.77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1,843,000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643,000</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19.20</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340,000</w:t>
            </w: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31.16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984,000</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23.31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21.69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33.70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27.92</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544,000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20.35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397,000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37.25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942,000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27.45</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2,552,000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17.19</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41.00</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22.48</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10,511,000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16.54</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7,546,000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34.27</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18,057,000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23.95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2012</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19.29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280,000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21.80</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126,000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16.07</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474,000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32.45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600,000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29.01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2014</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36.65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125,000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31.39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575,000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31.94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700,000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31.84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35.30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30.81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200,000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21.23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674,000</w:t>
            </w: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35.24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874,000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32.04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362,000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14.49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38.11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28.09</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400,000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17.88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332,000</w:t>
            </w: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35.03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732,000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25.66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376,000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31.77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28.42</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161,000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11.04</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560,000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34.02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722,000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28.85</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8,595,000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16.38</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2,750,000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34.64</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11,345,000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20.80</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10,511,000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16.54</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7,546,000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34.27</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18,057,000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23.95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Anchor is defined as a tenant leasing 15,000 square feet or more.</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Minimum Rent reflects in-place contractual (cash-basis) rent as of September 30, 2012.</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occupied square footage as of September 30, 2012.</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2" w:right="239" w:bottom="1440" w:gutter="0" w:footer="0" w:header="0"/>
        </w:sectPr>
      </w:pPr>
    </w:p>
    <w:bookmarkStart w:id="25" w:name="page26"/>
    <w:bookmarkEnd w:id="25"/>
    <w:p>
      <w:pPr>
        <w:ind w:left="20" w:right="320"/>
        <w:spacing w:after="0" w:line="355" w:lineRule="auto"/>
        <w:rPr>
          <w:sz w:val="20"/>
          <w:szCs w:val="20"/>
          <w:color w:val="auto"/>
        </w:rPr>
      </w:pPr>
      <w:r>
        <w:rPr>
          <w:rFonts w:ascii="Arial" w:cs="Arial" w:eastAsia="Arial" w:hAnsi="Arial"/>
          <w:sz w:val="17"/>
          <w:szCs w:val="17"/>
          <w:b w:val="1"/>
          <w:bCs w:val="1"/>
          <w:color w:val="auto"/>
        </w:rPr>
        <w:t>Federal Realty Investment Trust Portfolio Leased Statistics September 30, 2012</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Overall Portfolio Statistics (1)</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Type</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Retail Properties (2) (3) (sf)</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Residential Properties (4) (units)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Same Center Statistics (1)</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3"/>
              </w:rPr>
              <w:t>As of September 30, 2012</w:t>
            </w:r>
          </w:p>
        </w:tc>
        <w:tc>
          <w:tcPr>
            <w:tcW w:w="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w w:val="95"/>
              </w:rPr>
              <w:t>As of September 30, 2011</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472"/>
        </w:trPr>
        <w:tc>
          <w:tcPr>
            <w:tcW w:w="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1480" w:type="dxa"/>
            <w:vAlign w:val="bottom"/>
            <w:gridSpan w:val="3"/>
          </w:tcPr>
          <w:p>
            <w:pPr>
              <w:ind w:left="680"/>
              <w:spacing w:after="0"/>
              <w:rPr>
                <w:sz w:val="20"/>
                <w:szCs w:val="20"/>
                <w:color w:val="auto"/>
              </w:rPr>
            </w:pPr>
            <w:r>
              <w:rPr>
                <w:rFonts w:ascii="Arial" w:cs="Arial" w:eastAsia="Arial" w:hAnsi="Arial"/>
                <w:sz w:val="16"/>
                <w:szCs w:val="16"/>
                <w:color w:val="auto"/>
              </w:rPr>
              <w:t>Leased</w:t>
            </w:r>
          </w:p>
        </w:tc>
        <w:tc>
          <w:tcPr>
            <w:tcW w:w="1040" w:type="dxa"/>
            <w:vAlign w:val="bottom"/>
            <w:gridSpan w:val="3"/>
          </w:tcPr>
          <w:p>
            <w:pPr>
              <w:jc w:val="right"/>
              <w:ind w:right="360"/>
              <w:spacing w:after="0"/>
              <w:rPr>
                <w:sz w:val="20"/>
                <w:szCs w:val="20"/>
                <w:color w:val="auto"/>
              </w:rPr>
            </w:pPr>
            <w:r>
              <w:rPr>
                <w:rFonts w:ascii="Arial" w:cs="Arial" w:eastAsia="Arial" w:hAnsi="Arial"/>
                <w:sz w:val="16"/>
                <w:szCs w:val="16"/>
                <w:color w:val="auto"/>
                <w:w w:val="92"/>
              </w:rPr>
              <w:t>Leased %</w:t>
            </w:r>
          </w:p>
        </w:tc>
        <w:tc>
          <w:tcPr>
            <w:tcW w:w="1160" w:type="dxa"/>
            <w:vAlign w:val="bottom"/>
            <w:gridSpan w:val="3"/>
          </w:tcPr>
          <w:p>
            <w:pPr>
              <w:ind w:left="680"/>
              <w:spacing w:after="0"/>
              <w:rPr>
                <w:sz w:val="20"/>
                <w:szCs w:val="20"/>
                <w:color w:val="auto"/>
              </w:rPr>
            </w:pPr>
            <w:r>
              <w:rPr>
                <w:rFonts w:ascii="Arial" w:cs="Arial" w:eastAsia="Arial" w:hAnsi="Arial"/>
                <w:sz w:val="16"/>
                <w:szCs w:val="16"/>
                <w:color w:val="auto"/>
              </w:rPr>
              <w:t>Size</w:t>
            </w:r>
          </w:p>
        </w:tc>
        <w:tc>
          <w:tcPr>
            <w:tcW w:w="1320" w:type="dxa"/>
            <w:vAlign w:val="bottom"/>
            <w:gridSpan w:val="3"/>
          </w:tcPr>
          <w:p>
            <w:pPr>
              <w:ind w:left="460"/>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5"/>
        </w:trPr>
        <w:tc>
          <w:tcPr>
            <w:tcW w:w="1040" w:type="dxa"/>
            <w:vAlign w:val="bottom"/>
            <w:gridSpan w:val="2"/>
          </w:tcPr>
          <w:p>
            <w:pPr>
              <w:jc w:val="right"/>
              <w:spacing w:after="0"/>
              <w:rPr>
                <w:sz w:val="20"/>
                <w:szCs w:val="20"/>
                <w:color w:val="auto"/>
              </w:rPr>
            </w:pPr>
            <w:r>
              <w:rPr>
                <w:rFonts w:ascii="Arial" w:cs="Arial" w:eastAsia="Arial" w:hAnsi="Arial"/>
                <w:sz w:val="16"/>
                <w:szCs w:val="16"/>
                <w:color w:val="auto"/>
              </w:rPr>
              <w:t>19,122,000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18,179,000</w:t>
            </w:r>
          </w:p>
        </w:tc>
        <w:tc>
          <w:tcPr>
            <w:tcW w:w="340" w:type="dxa"/>
            <w:vAlign w:val="bottom"/>
          </w:tcPr>
          <w:p>
            <w:pPr>
              <w:spacing w:after="0"/>
              <w:rPr>
                <w:sz w:val="24"/>
                <w:szCs w:val="24"/>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95.1%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18,557,000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17,323,000</w:t>
            </w:r>
          </w:p>
        </w:tc>
        <w:tc>
          <w:tcPr>
            <w:tcW w:w="40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93.3%</w:t>
            </w:r>
          </w:p>
        </w:tc>
      </w:tr>
      <w:tr>
        <w:trPr>
          <w:trHeight w:val="540"/>
        </w:trPr>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1,027</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994</w:t>
            </w:r>
          </w:p>
        </w:tc>
        <w:tc>
          <w:tcPr>
            <w:tcW w:w="340" w:type="dxa"/>
            <w:vAlign w:val="bottom"/>
          </w:tcPr>
          <w:p>
            <w:pPr>
              <w:spacing w:after="0"/>
              <w:rPr>
                <w:sz w:val="24"/>
                <w:szCs w:val="24"/>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96.8%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903</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871</w:t>
            </w:r>
          </w:p>
        </w:tc>
        <w:tc>
          <w:tcPr>
            <w:tcW w:w="40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96.5%</w:t>
            </w:r>
          </w:p>
        </w:tc>
      </w:tr>
      <w:tr>
        <w:trPr>
          <w:trHeight w:val="864"/>
        </w:trPr>
        <w:tc>
          <w:tcPr>
            <w:tcW w:w="7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3"/>
              </w:rPr>
              <w:t>As of September 30, 2012</w:t>
            </w: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w w:val="95"/>
              </w:rPr>
              <w:t>As of September 30, 2011</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472"/>
        </w:trPr>
        <w:tc>
          <w:tcPr>
            <w:tcW w:w="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1480" w:type="dxa"/>
            <w:vAlign w:val="bottom"/>
            <w:gridSpan w:val="3"/>
          </w:tcPr>
          <w:p>
            <w:pPr>
              <w:ind w:left="680"/>
              <w:spacing w:after="0"/>
              <w:rPr>
                <w:sz w:val="20"/>
                <w:szCs w:val="20"/>
                <w:color w:val="auto"/>
              </w:rPr>
            </w:pPr>
            <w:r>
              <w:rPr>
                <w:rFonts w:ascii="Arial" w:cs="Arial" w:eastAsia="Arial" w:hAnsi="Arial"/>
                <w:sz w:val="16"/>
                <w:szCs w:val="16"/>
                <w:color w:val="auto"/>
              </w:rPr>
              <w:t>Leased</w:t>
            </w:r>
          </w:p>
        </w:tc>
        <w:tc>
          <w:tcPr>
            <w:tcW w:w="1040" w:type="dxa"/>
            <w:vAlign w:val="bottom"/>
            <w:gridSpan w:val="3"/>
          </w:tcPr>
          <w:p>
            <w:pPr>
              <w:jc w:val="right"/>
              <w:ind w:right="360"/>
              <w:spacing w:after="0"/>
              <w:rPr>
                <w:sz w:val="20"/>
                <w:szCs w:val="20"/>
                <w:color w:val="auto"/>
              </w:rPr>
            </w:pPr>
            <w:r>
              <w:rPr>
                <w:rFonts w:ascii="Arial" w:cs="Arial" w:eastAsia="Arial" w:hAnsi="Arial"/>
                <w:sz w:val="16"/>
                <w:szCs w:val="16"/>
                <w:color w:val="auto"/>
                <w:w w:val="92"/>
              </w:rPr>
              <w:t>Leased %</w:t>
            </w:r>
          </w:p>
        </w:tc>
        <w:tc>
          <w:tcPr>
            <w:tcW w:w="1160" w:type="dxa"/>
            <w:vAlign w:val="bottom"/>
            <w:gridSpan w:val="3"/>
          </w:tcPr>
          <w:p>
            <w:pPr>
              <w:ind w:left="680"/>
              <w:spacing w:after="0"/>
              <w:rPr>
                <w:sz w:val="20"/>
                <w:szCs w:val="20"/>
                <w:color w:val="auto"/>
              </w:rPr>
            </w:pPr>
            <w:r>
              <w:rPr>
                <w:rFonts w:ascii="Arial" w:cs="Arial" w:eastAsia="Arial" w:hAnsi="Arial"/>
                <w:sz w:val="16"/>
                <w:szCs w:val="16"/>
                <w:color w:val="auto"/>
              </w:rPr>
              <w:t>Size</w:t>
            </w:r>
          </w:p>
        </w:tc>
        <w:tc>
          <w:tcPr>
            <w:tcW w:w="1320" w:type="dxa"/>
            <w:vAlign w:val="bottom"/>
            <w:gridSpan w:val="3"/>
          </w:tcPr>
          <w:p>
            <w:pPr>
              <w:ind w:left="460"/>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-2057400</wp:posOffset>
            </wp:positionV>
            <wp:extent cx="6603365" cy="2778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3365" cy="2778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6840"/>
          </w:cols>
          <w:pgMar w:left="760" w:top="742" w:right="73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Retail Properties (2) (5) (sf)</w:t>
            </w:r>
          </w:p>
        </w:tc>
        <w:tc>
          <w:tcPr>
            <w:tcW w:w="1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16,460,000</w:t>
            </w:r>
          </w:p>
        </w:tc>
        <w:tc>
          <w:tcPr>
            <w:tcW w:w="13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15,637,000</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95.0%</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16,509,000</w:t>
            </w:r>
          </w:p>
        </w:tc>
        <w:tc>
          <w:tcPr>
            <w:tcW w:w="13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15,567,000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94.3%</w:t>
            </w:r>
          </w:p>
        </w:tc>
      </w:tr>
      <w:tr>
        <w:trPr>
          <w:trHeight w:val="270"/>
        </w:trPr>
        <w:tc>
          <w:tcPr>
            <w:tcW w:w="30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37"/>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Properties (4) (units)</w:t>
            </w:r>
          </w:p>
        </w:tc>
        <w:tc>
          <w:tcPr>
            <w:tcW w:w="1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903</w:t>
            </w: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873</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96.7%</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903</w:t>
            </w:r>
          </w:p>
        </w:tc>
        <w:tc>
          <w:tcPr>
            <w:tcW w:w="13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871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r>
      <w:tr>
        <w:trPr>
          <w:trHeight w:val="33"/>
        </w:trPr>
        <w:tc>
          <w:tcPr>
            <w:tcW w:w="30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301"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260" w:hanging="239"/>
        <w:spacing w:after="0"/>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260" w:hanging="239"/>
        <w:spacing w:after="0"/>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(3)At September 30, 2012 leased percentage was 98.6% for anchor tenants and 90.6% for small shop tenants.</w:t>
      </w:r>
    </w:p>
    <w:p>
      <w:pPr>
        <w:spacing w:after="0" w:line="73" w:lineRule="exact"/>
        <w:rPr>
          <w:sz w:val="20"/>
          <w:szCs w:val="20"/>
          <w:color w:val="auto"/>
        </w:rPr>
      </w:pPr>
    </w:p>
    <w:p>
      <w:pPr>
        <w:ind w:left="20" w:right="560" w:firstLine="1"/>
        <w:spacing w:after="0" w:line="293" w:lineRule="auto"/>
        <w:tabs>
          <w:tab w:leader="none" w:pos="25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Overall portfolio statistics at September 30, 2012 include Rollingwood Apartments, the Crest at Congressional Plaza Apartments, Santana Row and Bethesda Row. Same center and 2011 overall statistics exclude 124 residential units at Santana Row.</w:t>
      </w:r>
    </w:p>
    <w:p>
      <w:pPr>
        <w:spacing w:after="0" w:line="9" w:lineRule="exact"/>
        <w:rPr>
          <w:rFonts w:ascii="Arial" w:cs="Arial" w:eastAsia="Arial" w:hAnsi="Arial"/>
          <w:sz w:val="16"/>
          <w:szCs w:val="16"/>
          <w:color w:val="auto"/>
        </w:rPr>
      </w:pPr>
    </w:p>
    <w:p>
      <w:pPr>
        <w:ind w:left="260" w:hanging="239"/>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Excludes properties purchased, sold or under redevelopment.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400"/>
          </w:cols>
          <w:pgMar w:left="760" w:top="742" w:right="739" w:bottom="1440" w:gutter="0" w:footer="0" w:header="0"/>
          <w:type w:val="continuous"/>
        </w:sectPr>
      </w:pPr>
    </w:p>
    <w:bookmarkStart w:id="26" w:name="page27"/>
    <w:bookmarkEnd w:id="2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2012</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Annualized Base</w:t>
            </w:r>
          </w:p>
        </w:tc>
        <w:tc>
          <w:tcPr>
            <w:tcW w:w="1560" w:type="dxa"/>
            <w:vAlign w:val="bottom"/>
          </w:tcPr>
          <w:p>
            <w:pPr>
              <w:jc w:val="right"/>
              <w:ind w:right="200"/>
              <w:spacing w:after="0"/>
              <w:rPr>
                <w:sz w:val="20"/>
                <w:szCs w:val="20"/>
                <w:color w:val="auto"/>
              </w:rPr>
            </w:pPr>
            <w:r>
              <w:rPr>
                <w:rFonts w:ascii="Arial" w:cs="Arial" w:eastAsia="Arial" w:hAnsi="Arial"/>
                <w:sz w:val="14"/>
                <w:szCs w:val="14"/>
                <w:b w:val="1"/>
                <w:bCs w:val="1"/>
                <w:color w:val="auto"/>
                <w:w w:val="96"/>
              </w:rPr>
              <w:t>Percentage of Total</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4"/>
              </w:rPr>
              <w:t>Percentage of</w:t>
            </w:r>
          </w:p>
        </w:tc>
        <w:tc>
          <w:tcPr>
            <w:tcW w:w="860" w:type="dxa"/>
            <w:vAlign w:val="bottom"/>
          </w:tcPr>
          <w:p>
            <w:pPr>
              <w:jc w:val="right"/>
              <w:ind w:right="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Rank</w:t>
            </w:r>
          </w:p>
        </w:tc>
        <w:tc>
          <w:tcPr>
            <w:tcW w:w="47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Tenant Name</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Annualized Base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6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Stores</w:t>
            </w:r>
          </w:p>
        </w:tc>
        <w:tc>
          <w:tcPr>
            <w:tcW w:w="0" w:type="dxa"/>
            <w:vAlign w:val="bottom"/>
          </w:tcPr>
          <w:p>
            <w:pPr>
              <w:spacing w:after="0"/>
              <w:rPr>
                <w:sz w:val="1"/>
                <w:szCs w:val="1"/>
                <w:color w:val="auto"/>
              </w:rPr>
            </w:pPr>
          </w:p>
        </w:tc>
      </w:tr>
      <w:tr>
        <w:trPr>
          <w:trHeight w:val="192"/>
        </w:trPr>
        <w:tc>
          <w:tcPr>
            <w:tcW w:w="540" w:type="dxa"/>
            <w:vAlign w:val="bottom"/>
            <w:tcBorders>
              <w:bottom w:val="single" w:sz="8" w:color="auto"/>
            </w:tcBorders>
            <w:vMerge w:val="continue"/>
          </w:tcPr>
          <w:p>
            <w:pPr>
              <w:spacing w:after="0"/>
              <w:rPr>
                <w:sz w:val="16"/>
                <w:szCs w:val="16"/>
                <w:color w:val="auto"/>
              </w:rPr>
            </w:pPr>
          </w:p>
        </w:tc>
        <w:tc>
          <w:tcPr>
            <w:tcW w:w="4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5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Rent (4)</w:t>
            </w: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Total GLA (4)</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Ahold USA,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13,454,000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819,000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4780" w:type="dxa"/>
            <w:vAlign w:val="bottom"/>
          </w:tcPr>
          <w:p>
            <w:pPr>
              <w:ind w:left="180"/>
              <w:spacing w:after="0"/>
              <w:rPr>
                <w:sz w:val="20"/>
                <w:szCs w:val="20"/>
                <w:color w:val="auto"/>
              </w:rPr>
            </w:pPr>
            <w:r>
              <w:rPr>
                <w:rFonts w:ascii="Arial" w:cs="Arial" w:eastAsia="Arial" w:hAnsi="Arial"/>
                <w:sz w:val="16"/>
                <w:szCs w:val="16"/>
                <w:color w:val="auto"/>
              </w:rPr>
              <w:t>Bed, Bath &amp; Beyond,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10,342,000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2.40%</w:t>
            </w:r>
          </w:p>
        </w:tc>
        <w:tc>
          <w:tcPr>
            <w:tcW w:w="980" w:type="dxa"/>
            <w:vAlign w:val="bottom"/>
          </w:tcPr>
          <w:p>
            <w:pPr>
              <w:jc w:val="right"/>
              <w:spacing w:after="0"/>
              <w:rPr>
                <w:sz w:val="20"/>
                <w:szCs w:val="20"/>
                <w:color w:val="auto"/>
              </w:rPr>
            </w:pPr>
            <w:r>
              <w:rPr>
                <w:rFonts w:ascii="Arial" w:cs="Arial" w:eastAsia="Arial" w:hAnsi="Arial"/>
                <w:sz w:val="16"/>
                <w:szCs w:val="16"/>
                <w:color w:val="auto"/>
              </w:rPr>
              <w:t>658,000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3.44%</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TJX Companies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9,515,000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4780" w:type="dxa"/>
            <w:vAlign w:val="bottom"/>
          </w:tcPr>
          <w:p>
            <w:pPr>
              <w:ind w:left="180"/>
              <w:spacing w:after="0"/>
              <w:rPr>
                <w:sz w:val="20"/>
                <w:szCs w:val="20"/>
                <w:color w:val="auto"/>
              </w:rPr>
            </w:pPr>
            <w:r>
              <w:rPr>
                <w:rFonts w:ascii="Arial" w:cs="Arial" w:eastAsia="Arial" w:hAnsi="Arial"/>
                <w:sz w:val="16"/>
                <w:szCs w:val="16"/>
                <w:color w:val="auto"/>
              </w:rPr>
              <w:t>L.A. Fitness International LLC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8,572,000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1.99%</w:t>
            </w:r>
          </w:p>
        </w:tc>
        <w:tc>
          <w:tcPr>
            <w:tcW w:w="980" w:type="dxa"/>
            <w:vAlign w:val="bottom"/>
          </w:tcPr>
          <w:p>
            <w:pPr>
              <w:jc w:val="right"/>
              <w:spacing w:after="0"/>
              <w:rPr>
                <w:sz w:val="20"/>
                <w:szCs w:val="20"/>
                <w:color w:val="auto"/>
              </w:rPr>
            </w:pPr>
            <w:r>
              <w:rPr>
                <w:rFonts w:ascii="Arial" w:cs="Arial" w:eastAsia="Arial" w:hAnsi="Arial"/>
                <w:sz w:val="16"/>
                <w:szCs w:val="16"/>
                <w:color w:val="auto"/>
              </w:rPr>
              <w:t>463,000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Gap,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7,877,000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4780" w:type="dxa"/>
            <w:vAlign w:val="bottom"/>
          </w:tcPr>
          <w:p>
            <w:pPr>
              <w:ind w:left="180"/>
              <w:spacing w:after="0"/>
              <w:rPr>
                <w:sz w:val="20"/>
                <w:szCs w:val="20"/>
                <w:color w:val="auto"/>
              </w:rPr>
            </w:pPr>
            <w:r>
              <w:rPr>
                <w:rFonts w:ascii="Arial" w:cs="Arial" w:eastAsia="Arial" w:hAnsi="Arial"/>
                <w:sz w:val="16"/>
                <w:szCs w:val="16"/>
                <w:color w:val="auto"/>
              </w:rPr>
              <w:t>CVS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6,607,000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1.53%</w:t>
            </w:r>
          </w:p>
        </w:tc>
        <w:tc>
          <w:tcPr>
            <w:tcW w:w="980" w:type="dxa"/>
            <w:vAlign w:val="bottom"/>
          </w:tcPr>
          <w:p>
            <w:pPr>
              <w:jc w:val="right"/>
              <w:spacing w:after="0"/>
              <w:rPr>
                <w:sz w:val="20"/>
                <w:szCs w:val="20"/>
                <w:color w:val="auto"/>
              </w:rPr>
            </w:pPr>
            <w:r>
              <w:rPr>
                <w:rFonts w:ascii="Arial" w:cs="Arial" w:eastAsia="Arial" w:hAnsi="Arial"/>
                <w:sz w:val="16"/>
                <w:szCs w:val="16"/>
                <w:color w:val="auto"/>
              </w:rPr>
              <w:t>205,000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Best Buy Stores, L.P.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4780" w:type="dxa"/>
            <w:vAlign w:val="bottom"/>
          </w:tcPr>
          <w:p>
            <w:pPr>
              <w:ind w:left="180"/>
              <w:spacing w:after="0"/>
              <w:rPr>
                <w:sz w:val="20"/>
                <w:szCs w:val="20"/>
                <w:color w:val="auto"/>
              </w:rPr>
            </w:pPr>
            <w:r>
              <w:rPr>
                <w:rFonts w:ascii="Arial" w:cs="Arial" w:eastAsia="Arial" w:hAnsi="Arial"/>
                <w:sz w:val="16"/>
                <w:szCs w:val="16"/>
                <w:color w:val="auto"/>
              </w:rPr>
              <w:t>DSW,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5,064,000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1.17%</w:t>
            </w:r>
          </w:p>
        </w:tc>
        <w:tc>
          <w:tcPr>
            <w:tcW w:w="980" w:type="dxa"/>
            <w:vAlign w:val="bottom"/>
          </w:tcPr>
          <w:p>
            <w:pPr>
              <w:jc w:val="right"/>
              <w:spacing w:after="0"/>
              <w:rPr>
                <w:sz w:val="20"/>
                <w:szCs w:val="20"/>
                <w:color w:val="auto"/>
              </w:rPr>
            </w:pPr>
            <w:r>
              <w:rPr>
                <w:rFonts w:ascii="Arial" w:cs="Arial" w:eastAsia="Arial" w:hAnsi="Arial"/>
                <w:sz w:val="16"/>
                <w:szCs w:val="16"/>
                <w:color w:val="auto"/>
              </w:rPr>
              <w:t>174,000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0.91%</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Barnes &amp; Noble,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4,857,000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4780" w:type="dxa"/>
            <w:vAlign w:val="bottom"/>
          </w:tcPr>
          <w:p>
            <w:pPr>
              <w:ind w:left="180"/>
              <w:spacing w:after="0"/>
              <w:rPr>
                <w:sz w:val="20"/>
                <w:szCs w:val="20"/>
                <w:color w:val="auto"/>
              </w:rPr>
            </w:pPr>
            <w:r>
              <w:rPr>
                <w:rFonts w:ascii="Arial" w:cs="Arial" w:eastAsia="Arial" w:hAnsi="Arial"/>
                <w:sz w:val="16"/>
                <w:szCs w:val="16"/>
                <w:color w:val="auto"/>
              </w:rPr>
              <w:t>Dick's Sporting Good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4,328,000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1.00%</w:t>
            </w:r>
          </w:p>
        </w:tc>
        <w:tc>
          <w:tcPr>
            <w:tcW w:w="980" w:type="dxa"/>
            <w:vAlign w:val="bottom"/>
          </w:tcPr>
          <w:p>
            <w:pPr>
              <w:jc w:val="right"/>
              <w:spacing w:after="0"/>
              <w:rPr>
                <w:sz w:val="20"/>
                <w:szCs w:val="20"/>
                <w:color w:val="auto"/>
              </w:rPr>
            </w:pPr>
            <w:r>
              <w:rPr>
                <w:rFonts w:ascii="Arial" w:cs="Arial" w:eastAsia="Arial" w:hAnsi="Arial"/>
                <w:sz w:val="16"/>
                <w:szCs w:val="16"/>
                <w:color w:val="auto"/>
              </w:rPr>
              <w:t>206,000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Michaels Stores,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0.94%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4780" w:type="dxa"/>
            <w:vAlign w:val="bottom"/>
          </w:tcPr>
          <w:p>
            <w:pPr>
              <w:ind w:left="180"/>
              <w:spacing w:after="0"/>
              <w:rPr>
                <w:sz w:val="20"/>
                <w:szCs w:val="20"/>
                <w:color w:val="auto"/>
              </w:rPr>
            </w:pPr>
            <w:r>
              <w:rPr>
                <w:rFonts w:ascii="Arial" w:cs="Arial" w:eastAsia="Arial" w:hAnsi="Arial"/>
                <w:sz w:val="16"/>
                <w:szCs w:val="16"/>
                <w:color w:val="auto"/>
              </w:rPr>
              <w:t>Staples,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3,627,000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0.84%</w:t>
            </w:r>
          </w:p>
        </w:tc>
        <w:tc>
          <w:tcPr>
            <w:tcW w:w="980" w:type="dxa"/>
            <w:vAlign w:val="bottom"/>
          </w:tcPr>
          <w:p>
            <w:pPr>
              <w:jc w:val="right"/>
              <w:spacing w:after="0"/>
              <w:rPr>
                <w:sz w:val="20"/>
                <w:szCs w:val="20"/>
                <w:color w:val="auto"/>
              </w:rPr>
            </w:pPr>
            <w:r>
              <w:rPr>
                <w:rFonts w:ascii="Arial" w:cs="Arial" w:eastAsia="Arial" w:hAnsi="Arial"/>
                <w:sz w:val="16"/>
                <w:szCs w:val="16"/>
                <w:color w:val="auto"/>
              </w:rPr>
              <w:t>187,000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0.98%</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Ross Stores,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3,591,000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4"/>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4780" w:type="dxa"/>
            <w:vAlign w:val="bottom"/>
          </w:tcPr>
          <w:p>
            <w:pPr>
              <w:ind w:left="180"/>
              <w:spacing w:after="0"/>
              <w:rPr>
                <w:sz w:val="20"/>
                <w:szCs w:val="20"/>
                <w:color w:val="auto"/>
              </w:rPr>
            </w:pPr>
            <w:r>
              <w:rPr>
                <w:rFonts w:ascii="Arial" w:cs="Arial" w:eastAsia="Arial" w:hAnsi="Arial"/>
                <w:sz w:val="16"/>
                <w:szCs w:val="16"/>
                <w:color w:val="auto"/>
              </w:rPr>
              <w:t>OPNET Technologies,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3,456,000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0.80%</w:t>
            </w:r>
          </w:p>
        </w:tc>
        <w:tc>
          <w:tcPr>
            <w:tcW w:w="980" w:type="dxa"/>
            <w:vAlign w:val="bottom"/>
          </w:tcPr>
          <w:p>
            <w:pPr>
              <w:jc w:val="right"/>
              <w:spacing w:after="0"/>
              <w:rPr>
                <w:sz w:val="20"/>
                <w:szCs w:val="20"/>
                <w:color w:val="auto"/>
              </w:rPr>
            </w:pPr>
            <w:r>
              <w:rPr>
                <w:rFonts w:ascii="Arial" w:cs="Arial" w:eastAsia="Arial" w:hAnsi="Arial"/>
                <w:sz w:val="16"/>
                <w:szCs w:val="16"/>
                <w:color w:val="auto"/>
              </w:rPr>
              <w:t>83,000</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0.43%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47"/>
        </w:trPr>
        <w:tc>
          <w:tcPr>
            <w:tcW w:w="540" w:type="dxa"/>
            <w:vAlign w:val="bottom"/>
          </w:tcPr>
          <w:p>
            <w:pPr>
              <w:spacing w:after="0"/>
              <w:rPr>
                <w:sz w:val="4"/>
                <w:szCs w:val="4"/>
                <w:color w:val="auto"/>
              </w:rPr>
            </w:pPr>
          </w:p>
        </w:tc>
        <w:tc>
          <w:tcPr>
            <w:tcW w:w="4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Whole Foods Market,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4780" w:type="dxa"/>
            <w:vAlign w:val="bottom"/>
          </w:tcPr>
          <w:p>
            <w:pPr>
              <w:ind w:left="180"/>
              <w:spacing w:after="0"/>
              <w:rPr>
                <w:sz w:val="20"/>
                <w:szCs w:val="20"/>
                <w:color w:val="auto"/>
              </w:rPr>
            </w:pPr>
            <w:r>
              <w:rPr>
                <w:rFonts w:ascii="Arial" w:cs="Arial" w:eastAsia="Arial" w:hAnsi="Arial"/>
                <w:sz w:val="16"/>
                <w:szCs w:val="16"/>
                <w:color w:val="auto"/>
              </w:rPr>
              <w:t>Supervalu Inc. (Acme/Sav-A-Lot/Star Mkt/Shoppers Food)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3,379,000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0.78%</w:t>
            </w:r>
          </w:p>
        </w:tc>
        <w:tc>
          <w:tcPr>
            <w:tcW w:w="980" w:type="dxa"/>
            <w:vAlign w:val="bottom"/>
          </w:tcPr>
          <w:p>
            <w:pPr>
              <w:jc w:val="right"/>
              <w:spacing w:after="0"/>
              <w:rPr>
                <w:sz w:val="20"/>
                <w:szCs w:val="20"/>
                <w:color w:val="auto"/>
              </w:rPr>
            </w:pPr>
            <w:r>
              <w:rPr>
                <w:rFonts w:ascii="Arial" w:cs="Arial" w:eastAsia="Arial" w:hAnsi="Arial"/>
                <w:sz w:val="16"/>
                <w:szCs w:val="16"/>
                <w:color w:val="auto"/>
              </w:rPr>
              <w:t>338,000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Container Store,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4780" w:type="dxa"/>
            <w:vAlign w:val="bottom"/>
          </w:tcPr>
          <w:p>
            <w:pPr>
              <w:ind w:left="180"/>
              <w:spacing w:after="0"/>
              <w:rPr>
                <w:sz w:val="20"/>
                <w:szCs w:val="20"/>
                <w:color w:val="auto"/>
              </w:rPr>
            </w:pPr>
            <w:r>
              <w:rPr>
                <w:rFonts w:ascii="Arial" w:cs="Arial" w:eastAsia="Arial" w:hAnsi="Arial"/>
                <w:sz w:val="16"/>
                <w:szCs w:val="16"/>
                <w:color w:val="auto"/>
              </w:rPr>
              <w:t>PETsMART,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3,176,000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0.74%</w:t>
            </w:r>
          </w:p>
        </w:tc>
        <w:tc>
          <w:tcPr>
            <w:tcW w:w="980" w:type="dxa"/>
            <w:vAlign w:val="bottom"/>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0.78%</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Wells Fargo Bank, 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4780" w:type="dxa"/>
            <w:vAlign w:val="bottom"/>
          </w:tcPr>
          <w:p>
            <w:pPr>
              <w:ind w:left="180"/>
              <w:spacing w:after="0"/>
              <w:rPr>
                <w:sz w:val="20"/>
                <w:szCs w:val="20"/>
                <w:color w:val="auto"/>
              </w:rPr>
            </w:pPr>
            <w:r>
              <w:rPr>
                <w:rFonts w:ascii="Arial" w:cs="Arial" w:eastAsia="Arial" w:hAnsi="Arial"/>
                <w:sz w:val="16"/>
                <w:szCs w:val="16"/>
                <w:color w:val="auto"/>
              </w:rPr>
              <w:t>Kohl's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3,110,000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0.72%</w:t>
            </w:r>
          </w:p>
        </w:tc>
        <w:tc>
          <w:tcPr>
            <w:tcW w:w="980" w:type="dxa"/>
            <w:vAlign w:val="bottom"/>
          </w:tcPr>
          <w:p>
            <w:pPr>
              <w:jc w:val="right"/>
              <w:spacing w:after="0"/>
              <w:rPr>
                <w:sz w:val="20"/>
                <w:szCs w:val="20"/>
                <w:color w:val="auto"/>
              </w:rPr>
            </w:pPr>
            <w:r>
              <w:rPr>
                <w:rFonts w:ascii="Arial" w:cs="Arial" w:eastAsia="Arial" w:hAnsi="Arial"/>
                <w:sz w:val="16"/>
                <w:szCs w:val="16"/>
                <w:color w:val="auto"/>
              </w:rPr>
              <w:t>322,000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1.68%</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Bank of America, 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4780" w:type="dxa"/>
            <w:vAlign w:val="bottom"/>
          </w:tcPr>
          <w:p>
            <w:pPr>
              <w:ind w:left="180"/>
              <w:spacing w:after="0"/>
              <w:rPr>
                <w:sz w:val="20"/>
                <w:szCs w:val="20"/>
                <w:color w:val="auto"/>
              </w:rPr>
            </w:pPr>
            <w:r>
              <w:rPr>
                <w:rFonts w:ascii="Arial" w:cs="Arial" w:eastAsia="Arial" w:hAnsi="Arial"/>
                <w:sz w:val="16"/>
                <w:szCs w:val="16"/>
                <w:color w:val="auto"/>
              </w:rPr>
              <w:t>Dress Barn,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3,035,000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0.70%</w:t>
            </w:r>
          </w:p>
        </w:tc>
        <w:tc>
          <w:tcPr>
            <w:tcW w:w="980" w:type="dxa"/>
            <w:vAlign w:val="bottom"/>
          </w:tcPr>
          <w:p>
            <w:pPr>
              <w:jc w:val="right"/>
              <w:spacing w:after="0"/>
              <w:rPr>
                <w:sz w:val="20"/>
                <w:szCs w:val="20"/>
                <w:color w:val="auto"/>
              </w:rPr>
            </w:pPr>
            <w:r>
              <w:rPr>
                <w:rFonts w:ascii="Arial" w:cs="Arial" w:eastAsia="Arial" w:hAnsi="Arial"/>
                <w:sz w:val="16"/>
                <w:szCs w:val="16"/>
                <w:color w:val="auto"/>
              </w:rPr>
              <w:t>127,000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0.66%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 Moore,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4780" w:type="dxa"/>
            <w:vAlign w:val="bottom"/>
          </w:tcPr>
          <w:p>
            <w:pPr>
              <w:ind w:left="180"/>
              <w:spacing w:after="0"/>
              <w:rPr>
                <w:sz w:val="20"/>
                <w:szCs w:val="20"/>
                <w:color w:val="auto"/>
              </w:rPr>
            </w:pPr>
            <w:r>
              <w:rPr>
                <w:rFonts w:ascii="Arial" w:cs="Arial" w:eastAsia="Arial" w:hAnsi="Arial"/>
                <w:sz w:val="16"/>
                <w:szCs w:val="16"/>
                <w:color w:val="auto"/>
              </w:rPr>
              <w:t>Home Depot,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2,832,000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0.66%</w:t>
            </w:r>
          </w:p>
        </w:tc>
        <w:tc>
          <w:tcPr>
            <w:tcW w:w="980" w:type="dxa"/>
            <w:vAlign w:val="bottom"/>
          </w:tcPr>
          <w:p>
            <w:pPr>
              <w:jc w:val="right"/>
              <w:spacing w:after="0"/>
              <w:rPr>
                <w:sz w:val="20"/>
                <w:szCs w:val="20"/>
                <w:color w:val="auto"/>
              </w:rPr>
            </w:pPr>
            <w:r>
              <w:rPr>
                <w:rFonts w:ascii="Arial" w:cs="Arial" w:eastAsia="Arial" w:hAnsi="Arial"/>
                <w:sz w:val="16"/>
                <w:szCs w:val="16"/>
                <w:color w:val="auto"/>
              </w:rPr>
              <w:t>335,000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Wakefern Food Corporation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136,000</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84"/>
        </w:trPr>
        <w:tc>
          <w:tcPr>
            <w:tcW w:w="540" w:type="dxa"/>
            <w:vAlign w:val="bottom"/>
            <w:tcBorders>
              <w:bottom w:val="single" w:sz="8" w:color="CCEEFF"/>
            </w:tcBorders>
          </w:tcPr>
          <w:p>
            <w:pPr>
              <w:spacing w:after="0"/>
              <w:rPr>
                <w:sz w:val="24"/>
                <w:szCs w:val="24"/>
                <w:color w:val="auto"/>
              </w:rPr>
            </w:pPr>
          </w:p>
        </w:tc>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Totals - Top 25 Tenants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125,012,000</w:t>
            </w:r>
          </w:p>
        </w:tc>
        <w:tc>
          <w:tcPr>
            <w:tcW w:w="15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28.94%</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6,455,000</w:t>
            </w:r>
          </w:p>
        </w:tc>
        <w:tc>
          <w:tcPr>
            <w:tcW w:w="2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33.74%</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57"/>
        </w:trPr>
        <w:tc>
          <w:tcPr>
            <w:tcW w:w="540" w:type="dxa"/>
            <w:vAlign w:val="bottom"/>
            <w:shd w:val="clear" w:color="auto" w:fill="CCEEFF"/>
          </w:tcPr>
          <w:p>
            <w:pPr>
              <w:spacing w:after="0"/>
              <w:rPr>
                <w:sz w:val="22"/>
                <w:szCs w:val="22"/>
                <w:color w:val="auto"/>
              </w:rPr>
            </w:pPr>
          </w:p>
        </w:tc>
        <w:tc>
          <w:tcPr>
            <w:tcW w:w="4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Arial" w:cs="Arial" w:eastAsia="Arial" w:hAnsi="Arial"/>
                <w:sz w:val="16"/>
                <w:szCs w:val="16"/>
                <w:color w:val="auto"/>
              </w:rPr>
              <w:t>Total: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431,627,000</w:t>
            </w:r>
          </w:p>
        </w:tc>
        <w:tc>
          <w:tcPr>
            <w:tcW w:w="1560" w:type="dxa"/>
            <w:vAlign w:val="bottom"/>
          </w:tcPr>
          <w:p>
            <w:pPr>
              <w:jc w:val="right"/>
              <w:ind w:right="1220"/>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19,122,000</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1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2,484</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20" w:hanging="482"/>
        <w:spacing w:after="0"/>
        <w:tabs>
          <w:tab w:leader="none" w:pos="7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Does not include amounts related to leases these tenants have with our partnership with a discretionary fund created and advised by ING Clarion Partners.</w:t>
      </w:r>
    </w:p>
    <w:p>
      <w:pPr>
        <w:spacing w:after="0" w:line="97" w:lineRule="exact"/>
        <w:rPr>
          <w:rFonts w:ascii="Arial" w:cs="Arial" w:eastAsia="Arial" w:hAnsi="Arial"/>
          <w:sz w:val="15"/>
          <w:szCs w:val="15"/>
          <w:color w:val="auto"/>
        </w:rPr>
      </w:pPr>
    </w:p>
    <w:p>
      <w:pPr>
        <w:ind w:left="720" w:right="540" w:hanging="482"/>
        <w:spacing w:after="0" w:line="293" w:lineRule="auto"/>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aggregate, annualized in-place contractual (defined as cash-basis including adjustments for concessions) minimum rent for all occupied spaces as of September 30, 2012.</w:t>
      </w:r>
    </w:p>
    <w:p>
      <w:pPr>
        <w:spacing w:after="0" w:line="23" w:lineRule="exact"/>
        <w:rPr>
          <w:rFonts w:ascii="Arial" w:cs="Arial" w:eastAsia="Arial" w:hAnsi="Arial"/>
          <w:sz w:val="16"/>
          <w:szCs w:val="16"/>
          <w:color w:val="auto"/>
        </w:rPr>
      </w:pPr>
    </w:p>
    <w:p>
      <w:pPr>
        <w:ind w:left="720" w:hanging="482"/>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86" w:lineRule="exact"/>
        <w:rPr>
          <w:rFonts w:ascii="Arial" w:cs="Arial" w:eastAsia="Arial" w:hAnsi="Arial"/>
          <w:sz w:val="16"/>
          <w:szCs w:val="16"/>
          <w:color w:val="auto"/>
        </w:rPr>
      </w:pPr>
    </w:p>
    <w:p>
      <w:pPr>
        <w:ind w:left="720" w:hanging="482"/>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2" w:right="239" w:bottom="1440" w:gutter="0" w:footer="0" w:header="0"/>
        </w:sectPr>
      </w:pPr>
    </w:p>
    <w:bookmarkStart w:id="27" w:name="page28"/>
    <w:bookmarkEnd w:id="2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2012</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74"/>
              <w:spacing w:after="0"/>
              <w:rPr>
                <w:sz w:val="20"/>
                <w:szCs w:val="20"/>
                <w:color w:val="auto"/>
              </w:rPr>
            </w:pPr>
            <w:r>
              <w:rPr>
                <w:rFonts w:ascii="Arial" w:cs="Arial" w:eastAsia="Arial" w:hAnsi="Arial"/>
                <w:sz w:val="14"/>
                <w:szCs w:val="14"/>
                <w:b w:val="1"/>
                <w:bCs w:val="1"/>
                <w:color w:val="auto"/>
                <w:w w:val="91"/>
              </w:rPr>
              <w:t>2012 Guidance</w:t>
            </w:r>
          </w:p>
        </w:tc>
        <w:tc>
          <w:tcPr>
            <w:tcW w:w="500" w:type="dxa"/>
            <w:vAlign w:val="bottom"/>
            <w:tcBorders>
              <w:bottom w:val="single" w:sz="8" w:color="auto"/>
            </w:tcBorders>
          </w:tcPr>
          <w:p>
            <w:pPr>
              <w:spacing w:after="0"/>
              <w:rPr>
                <w:sz w:val="16"/>
                <w:szCs w:val="16"/>
                <w:color w:val="auto"/>
              </w:rPr>
            </w:pPr>
          </w:p>
        </w:tc>
      </w:tr>
      <w:tr>
        <w:trPr>
          <w:trHeight w:val="244"/>
        </w:trPr>
        <w:tc>
          <w:tcPr>
            <w:tcW w:w="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center"/>
              <w:ind w:left="74"/>
              <w:spacing w:after="0"/>
              <w:rPr>
                <w:sz w:val="20"/>
                <w:szCs w:val="20"/>
                <w:color w:val="auto"/>
              </w:rPr>
            </w:pPr>
            <w:r>
              <w:rPr>
                <w:rFonts w:ascii="Arial" w:cs="Arial" w:eastAsia="Arial" w:hAnsi="Arial"/>
                <w:sz w:val="14"/>
                <w:szCs w:val="14"/>
                <w:color w:val="auto"/>
                <w:w w:val="97"/>
              </w:rPr>
              <w:t>(Dollars in millions except</w:t>
            </w:r>
          </w:p>
        </w:tc>
        <w:tc>
          <w:tcPr>
            <w:tcW w:w="50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gridSpan w:val="3"/>
          </w:tcPr>
          <w:p>
            <w:pPr>
              <w:jc w:val="center"/>
              <w:ind w:left="114"/>
              <w:spacing w:after="0"/>
              <w:rPr>
                <w:sz w:val="20"/>
                <w:szCs w:val="20"/>
                <w:color w:val="auto"/>
              </w:rPr>
            </w:pPr>
            <w:r>
              <w:rPr>
                <w:rFonts w:ascii="Arial" w:cs="Arial" w:eastAsia="Arial" w:hAnsi="Arial"/>
                <w:sz w:val="14"/>
                <w:szCs w:val="14"/>
                <w:color w:val="auto"/>
                <w:w w:val="91"/>
              </w:rPr>
              <w:t>per share amounts) (1)</w:t>
            </w:r>
          </w:p>
        </w:tc>
        <w:tc>
          <w:tcPr>
            <w:tcW w:w="500" w:type="dxa"/>
            <w:vAlign w:val="bottom"/>
          </w:tcPr>
          <w:p>
            <w:pPr>
              <w:spacing w:after="0"/>
              <w:rPr>
                <w:sz w:val="23"/>
                <w:szCs w:val="23"/>
                <w:color w:val="auto"/>
              </w:rPr>
            </w:pPr>
          </w:p>
        </w:tc>
      </w:tr>
      <w:tr>
        <w:trPr>
          <w:trHeight w:val="215"/>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Funds from Operations available for common shareholders (FFO)</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4740" w:type="dxa"/>
            <w:vAlign w:val="bottom"/>
            <w:tcBorders>
              <w:top w:val="single" w:sz="8" w:color="auto"/>
            </w:tcBorders>
          </w:tcPr>
          <w:p>
            <w:pPr>
              <w:spacing w:after="0"/>
              <w:rPr>
                <w:sz w:val="4"/>
                <w:szCs w:val="4"/>
                <w:color w:val="auto"/>
              </w:rPr>
            </w:pPr>
          </w:p>
        </w:tc>
        <w:tc>
          <w:tcPr>
            <w:tcW w:w="3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on sale of real estate in real estate partnership</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37"/>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Funds from operations</w:t>
            </w: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277</w:t>
            </w:r>
          </w:p>
        </w:tc>
        <w:tc>
          <w:tcPr>
            <w:tcW w:w="2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87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FFO</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276</w:t>
            </w:r>
          </w:p>
        </w:tc>
        <w:tc>
          <w:tcPr>
            <w:tcW w:w="22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278</w:t>
            </w:r>
          </w:p>
        </w:tc>
      </w:tr>
      <w:tr>
        <w:trPr>
          <w:trHeight w:val="271"/>
        </w:trPr>
        <w:tc>
          <w:tcPr>
            <w:tcW w:w="40" w:type="dxa"/>
            <w:vAlign w:val="bottom"/>
            <w:shd w:val="clear" w:color="auto" w:fill="CCEEFF"/>
          </w:tcPr>
          <w:p>
            <w:pPr>
              <w:spacing w:after="0"/>
              <w:rPr>
                <w:sz w:val="23"/>
                <w:szCs w:val="23"/>
                <w:color w:val="auto"/>
              </w:rPr>
            </w:pPr>
          </w:p>
        </w:tc>
        <w:tc>
          <w:tcPr>
            <w:tcW w:w="4740" w:type="dxa"/>
            <w:vAlign w:val="bottom"/>
            <w:shd w:val="clear" w:color="auto" w:fill="CCEEFF"/>
          </w:tcPr>
          <w:p>
            <w:pPr>
              <w:spacing w:after="0"/>
              <w:rPr>
                <w:sz w:val="23"/>
                <w:szCs w:val="23"/>
                <w:color w:val="auto"/>
              </w:rPr>
            </w:pPr>
          </w:p>
        </w:tc>
        <w:tc>
          <w:tcPr>
            <w:tcW w:w="39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Weighted average number of common shares, diluted</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64.4</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64.4</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4740" w:type="dxa"/>
            <w:vAlign w:val="bottom"/>
            <w:shd w:val="clear" w:color="auto" w:fill="CCEEFF"/>
          </w:tcPr>
          <w:p>
            <w:pPr>
              <w:spacing w:after="0"/>
              <w:rPr>
                <w:sz w:val="24"/>
                <w:szCs w:val="24"/>
                <w:color w:val="auto"/>
              </w:rPr>
            </w:pPr>
          </w:p>
        </w:tc>
        <w:tc>
          <w:tcPr>
            <w:tcW w:w="3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264"/>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FFO per diluted share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4.29</w:t>
            </w:r>
          </w:p>
        </w:tc>
        <w:tc>
          <w:tcPr>
            <w:tcW w:w="220" w:type="dxa"/>
            <w:vAlign w:val="bottom"/>
          </w:tcPr>
          <w:p>
            <w:pPr>
              <w:spacing w:after="0"/>
              <w:rPr>
                <w:sz w:val="22"/>
                <w:szCs w:val="22"/>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4.31</w:t>
            </w: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ind w:left="74"/>
              <w:spacing w:after="0"/>
              <w:rPr>
                <w:sz w:val="20"/>
                <w:szCs w:val="20"/>
                <w:color w:val="auto"/>
              </w:rPr>
            </w:pPr>
            <w:r>
              <w:rPr>
                <w:rFonts w:ascii="Arial" w:cs="Arial" w:eastAsia="Arial" w:hAnsi="Arial"/>
                <w:sz w:val="14"/>
                <w:szCs w:val="14"/>
                <w:b w:val="1"/>
                <w:bCs w:val="1"/>
                <w:color w:val="auto"/>
                <w:w w:val="91"/>
              </w:rPr>
              <w:t>2013 Guidance</w:t>
            </w:r>
          </w:p>
        </w:tc>
        <w:tc>
          <w:tcPr>
            <w:tcW w:w="500" w:type="dxa"/>
            <w:vAlign w:val="bottom"/>
            <w:tcBorders>
              <w:bottom w:val="single" w:sz="8" w:color="auto"/>
            </w:tcBorders>
          </w:tcPr>
          <w:p>
            <w:pPr>
              <w:spacing w:after="0"/>
              <w:rPr>
                <w:sz w:val="24"/>
                <w:szCs w:val="24"/>
                <w:color w:val="auto"/>
              </w:rPr>
            </w:pPr>
          </w:p>
        </w:tc>
      </w:tr>
      <w:tr>
        <w:trPr>
          <w:trHeight w:val="244"/>
        </w:trPr>
        <w:tc>
          <w:tcPr>
            <w:tcW w:w="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center"/>
              <w:ind w:left="74"/>
              <w:spacing w:after="0"/>
              <w:rPr>
                <w:sz w:val="20"/>
                <w:szCs w:val="20"/>
                <w:color w:val="auto"/>
              </w:rPr>
            </w:pPr>
            <w:r>
              <w:rPr>
                <w:rFonts w:ascii="Arial" w:cs="Arial" w:eastAsia="Arial" w:hAnsi="Arial"/>
                <w:sz w:val="14"/>
                <w:szCs w:val="14"/>
                <w:color w:val="auto"/>
                <w:w w:val="97"/>
              </w:rPr>
              <w:t>(Dollars in millions except</w:t>
            </w:r>
          </w:p>
        </w:tc>
        <w:tc>
          <w:tcPr>
            <w:tcW w:w="50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gridSpan w:val="3"/>
          </w:tcPr>
          <w:p>
            <w:pPr>
              <w:jc w:val="center"/>
              <w:ind w:left="114"/>
              <w:spacing w:after="0"/>
              <w:rPr>
                <w:sz w:val="20"/>
                <w:szCs w:val="20"/>
                <w:color w:val="auto"/>
              </w:rPr>
            </w:pPr>
            <w:r>
              <w:rPr>
                <w:rFonts w:ascii="Arial" w:cs="Arial" w:eastAsia="Arial" w:hAnsi="Arial"/>
                <w:sz w:val="14"/>
                <w:szCs w:val="14"/>
                <w:color w:val="auto"/>
                <w:w w:val="91"/>
              </w:rPr>
              <w:t>per share amounts) (1)</w:t>
            </w:r>
          </w:p>
        </w:tc>
        <w:tc>
          <w:tcPr>
            <w:tcW w:w="500" w:type="dxa"/>
            <w:vAlign w:val="bottom"/>
          </w:tcPr>
          <w:p>
            <w:pPr>
              <w:spacing w:after="0"/>
              <w:rPr>
                <w:sz w:val="23"/>
                <w:szCs w:val="23"/>
                <w:color w:val="auto"/>
              </w:rPr>
            </w:pPr>
          </w:p>
        </w:tc>
      </w:tr>
      <w:tr>
        <w:trPr>
          <w:trHeight w:val="215"/>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Funds from Operations available for common shareholders (FFO)</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4740" w:type="dxa"/>
            <w:vAlign w:val="bottom"/>
            <w:tcBorders>
              <w:top w:val="single" w:sz="8" w:color="auto"/>
            </w:tcBorders>
          </w:tcPr>
          <w:p>
            <w:pPr>
              <w:spacing w:after="0"/>
              <w:rPr>
                <w:sz w:val="4"/>
                <w:szCs w:val="4"/>
                <w:color w:val="auto"/>
              </w:rPr>
            </w:pPr>
          </w:p>
        </w:tc>
        <w:tc>
          <w:tcPr>
            <w:tcW w:w="3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on sale of real estate in real estate partnership</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37"/>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Funds from operations</w:t>
            </w: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87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FFO</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297</w:t>
            </w:r>
          </w:p>
        </w:tc>
        <w:tc>
          <w:tcPr>
            <w:tcW w:w="22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300</w:t>
            </w:r>
          </w:p>
        </w:tc>
      </w:tr>
      <w:tr>
        <w:trPr>
          <w:trHeight w:val="271"/>
        </w:trPr>
        <w:tc>
          <w:tcPr>
            <w:tcW w:w="40" w:type="dxa"/>
            <w:vAlign w:val="bottom"/>
            <w:shd w:val="clear" w:color="auto" w:fill="CCEEFF"/>
          </w:tcPr>
          <w:p>
            <w:pPr>
              <w:spacing w:after="0"/>
              <w:rPr>
                <w:sz w:val="23"/>
                <w:szCs w:val="23"/>
                <w:color w:val="auto"/>
              </w:rPr>
            </w:pPr>
          </w:p>
        </w:tc>
        <w:tc>
          <w:tcPr>
            <w:tcW w:w="4740" w:type="dxa"/>
            <w:vAlign w:val="bottom"/>
            <w:shd w:val="clear" w:color="auto" w:fill="CCEEFF"/>
          </w:tcPr>
          <w:p>
            <w:pPr>
              <w:spacing w:after="0"/>
              <w:rPr>
                <w:sz w:val="23"/>
                <w:szCs w:val="23"/>
                <w:color w:val="auto"/>
              </w:rPr>
            </w:pPr>
          </w:p>
        </w:tc>
        <w:tc>
          <w:tcPr>
            <w:tcW w:w="39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Weighted average number of common shares, diluted</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65.9</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65.9</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4740" w:type="dxa"/>
            <w:vAlign w:val="bottom"/>
            <w:shd w:val="clear" w:color="auto" w:fill="CCEEFF"/>
          </w:tcPr>
          <w:p>
            <w:pPr>
              <w:spacing w:after="0"/>
              <w:rPr>
                <w:sz w:val="24"/>
                <w:szCs w:val="24"/>
                <w:color w:val="auto"/>
              </w:rPr>
            </w:pPr>
          </w:p>
        </w:tc>
        <w:tc>
          <w:tcPr>
            <w:tcW w:w="3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264"/>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FFO per diluted share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22"/>
                <w:szCs w:val="22"/>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4.56</w:t>
            </w: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 Individual items may not add up to total due to rounding.</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742" w:right="239" w:bottom="1440" w:gutter="0" w:footer="0" w:header="0"/>
          <w:type w:val="continuous"/>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Real Estate Status &amp; Debt Summary Report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2012</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58"/>
              <w:spacing w:after="0" w:line="135" w:lineRule="exact"/>
              <w:rPr>
                <w:sz w:val="20"/>
                <w:szCs w:val="20"/>
                <w:color w:val="auto"/>
              </w:rPr>
            </w:pPr>
            <w:r>
              <w:rPr>
                <w:rFonts w:ascii="Arial" w:cs="Arial" w:eastAsia="Arial" w:hAnsi="Arial"/>
                <w:sz w:val="13"/>
                <w:szCs w:val="13"/>
                <w:b w:val="1"/>
                <w:bCs w:val="1"/>
                <w:color w:val="auto"/>
                <w:w w:val="90"/>
              </w:rPr>
              <w:t>and/or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87"/>
              </w:rPr>
              <w:t>Real</w:t>
            </w:r>
          </w:p>
        </w:tc>
        <w:tc>
          <w:tcPr>
            <w:tcW w:w="100" w:type="dxa"/>
            <w:vAlign w:val="bottom"/>
          </w:tcPr>
          <w:p>
            <w:pPr>
              <w:spacing w:after="0"/>
              <w:rPr>
                <w:sz w:val="11"/>
                <w:szCs w:val="11"/>
                <w:color w:val="auto"/>
              </w:rPr>
            </w:pPr>
          </w:p>
        </w:tc>
        <w:tc>
          <w:tcPr>
            <w:tcW w:w="520" w:type="dxa"/>
            <w:vAlign w:val="bottom"/>
          </w:tcPr>
          <w:p>
            <w:pPr>
              <w:jc w:val="center"/>
              <w:ind w:right="58"/>
              <w:spacing w:after="0" w:line="135" w:lineRule="exact"/>
              <w:rPr>
                <w:sz w:val="20"/>
                <w:szCs w:val="20"/>
                <w:color w:val="auto"/>
              </w:rPr>
            </w:pPr>
            <w:r>
              <w:rPr>
                <w:rFonts w:ascii="Arial" w:cs="Arial" w:eastAsia="Arial" w:hAnsi="Arial"/>
                <w:sz w:val="13"/>
                <w:szCs w:val="13"/>
                <w:b w:val="1"/>
                <w:bCs w:val="1"/>
                <w:color w:val="auto"/>
                <w:w w:val="92"/>
              </w:rPr>
              <w:t>Capital</w:t>
            </w:r>
          </w:p>
        </w:tc>
        <w:tc>
          <w:tcPr>
            <w:tcW w:w="760" w:type="dxa"/>
            <w:vAlign w:val="bottom"/>
          </w:tcPr>
          <w:p>
            <w:pPr>
              <w:jc w:val="center"/>
              <w:ind w:right="217"/>
              <w:spacing w:after="0" w:line="135" w:lineRule="exact"/>
              <w:rPr>
                <w:sz w:val="20"/>
                <w:szCs w:val="20"/>
                <w:color w:val="auto"/>
              </w:rPr>
            </w:pPr>
            <w:r>
              <w:rPr>
                <w:rFonts w:ascii="Arial" w:cs="Arial" w:eastAsia="Arial" w:hAnsi="Arial"/>
                <w:sz w:val="13"/>
                <w:szCs w:val="13"/>
                <w:b w:val="1"/>
                <w:bCs w:val="1"/>
                <w:color w:val="auto"/>
                <w:w w:val="90"/>
              </w:rPr>
              <w:t>Stated</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6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00" w:type="dxa"/>
            <w:vAlign w:val="bottom"/>
          </w:tcPr>
          <w:p>
            <w:pPr>
              <w:ind w:left="200"/>
              <w:spacing w:after="0" w:line="135" w:lineRule="exact"/>
              <w:rPr>
                <w:sz w:val="20"/>
                <w:szCs w:val="20"/>
                <w:color w:val="auto"/>
              </w:rPr>
            </w:pPr>
            <w:r>
              <w:rPr>
                <w:rFonts w:ascii="Arial" w:cs="Arial" w:eastAsia="Arial" w:hAnsi="Arial"/>
                <w:sz w:val="13"/>
                <w:szCs w:val="13"/>
                <w:b w:val="1"/>
                <w:bCs w:val="1"/>
                <w:color w:val="auto"/>
              </w:rPr>
              <w:t>Year</w:t>
            </w:r>
          </w:p>
        </w:tc>
        <w:tc>
          <w:tcPr>
            <w:tcW w:w="6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100" w:type="dxa"/>
            <w:vAlign w:val="bottom"/>
          </w:tcPr>
          <w:p>
            <w:pPr>
              <w:spacing w:after="0"/>
              <w:rPr>
                <w:sz w:val="11"/>
                <w:szCs w:val="11"/>
                <w:color w:val="auto"/>
              </w:rPr>
            </w:pPr>
          </w:p>
        </w:tc>
        <w:tc>
          <w:tcPr>
            <w:tcW w:w="52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81"/>
              </w:rPr>
              <w:t>Lease</w:t>
            </w:r>
          </w:p>
        </w:tc>
        <w:tc>
          <w:tcPr>
            <w:tcW w:w="760" w:type="dxa"/>
            <w:vAlign w:val="bottom"/>
          </w:tcPr>
          <w:p>
            <w:pPr>
              <w:jc w:val="center"/>
              <w:ind w:right="217"/>
              <w:spacing w:after="0" w:line="135" w:lineRule="exact"/>
              <w:rPr>
                <w:sz w:val="20"/>
                <w:szCs w:val="20"/>
                <w:color w:val="auto"/>
              </w:rPr>
            </w:pPr>
            <w:r>
              <w:rPr>
                <w:rFonts w:ascii="Arial" w:cs="Arial" w:eastAsia="Arial" w:hAnsi="Arial"/>
                <w:sz w:val="13"/>
                <w:szCs w:val="13"/>
                <w:b w:val="1"/>
                <w:bCs w:val="1"/>
                <w:color w:val="auto"/>
                <w:w w:val="85"/>
              </w:rPr>
              <w:t>Interest</w:t>
            </w:r>
          </w:p>
        </w:tc>
        <w:tc>
          <w:tcPr>
            <w:tcW w:w="620" w:type="dxa"/>
            <w:vAlign w:val="bottom"/>
          </w:tcPr>
          <w:p>
            <w:pPr>
              <w:ind w:left="100"/>
              <w:spacing w:after="0" w:line="135" w:lineRule="exact"/>
              <w:rPr>
                <w:sz w:val="20"/>
                <w:szCs w:val="20"/>
                <w:color w:val="auto"/>
              </w:rPr>
            </w:pPr>
            <w:r>
              <w:rPr>
                <w:rFonts w:ascii="Arial" w:cs="Arial" w:eastAsia="Arial" w:hAnsi="Arial"/>
                <w:sz w:val="13"/>
                <w:szCs w:val="13"/>
                <w:b w:val="1"/>
                <w:bCs w:val="1"/>
                <w:color w:val="auto"/>
                <w:w w:val="98"/>
              </w:rPr>
              <w:t>Maturity</w:t>
            </w:r>
          </w:p>
        </w:tc>
        <w:tc>
          <w:tcPr>
            <w:tcW w:w="540" w:type="dxa"/>
            <w:vAlign w:val="bottom"/>
          </w:tcPr>
          <w:p>
            <w:pPr>
              <w:spacing w:after="0"/>
              <w:rPr>
                <w:sz w:val="11"/>
                <w:szCs w:val="11"/>
                <w:color w:val="auto"/>
              </w:rPr>
            </w:pPr>
          </w:p>
        </w:tc>
        <w:tc>
          <w:tcPr>
            <w:tcW w:w="5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86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080" w:type="dxa"/>
            <w:vAlign w:val="bottom"/>
          </w:tcPr>
          <w:p>
            <w:pPr>
              <w:spacing w:after="0"/>
              <w:rPr>
                <w:sz w:val="11"/>
                <w:szCs w:val="11"/>
                <w:color w:val="auto"/>
              </w:rPr>
            </w:pPr>
          </w:p>
        </w:tc>
      </w:tr>
      <w:tr>
        <w:trPr>
          <w:trHeight w:val="174"/>
        </w:trPr>
        <w:tc>
          <w:tcPr>
            <w:tcW w:w="15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Property Name</w:t>
            </w:r>
          </w:p>
        </w:tc>
        <w:tc>
          <w:tcPr>
            <w:tcW w:w="208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MSA Description</w:t>
            </w: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2"/>
              </w:rPr>
              <w:t>Acquired</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2"/>
              </w:rPr>
              <w:t>Cost</w:t>
            </w: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Obligation</w:t>
            </w:r>
          </w:p>
        </w:tc>
        <w:tc>
          <w:tcPr>
            <w:tcW w:w="760" w:type="dxa"/>
            <w:vAlign w:val="bottom"/>
            <w:tcBorders>
              <w:bottom w:val="single" w:sz="8" w:color="auto"/>
            </w:tcBorders>
          </w:tcPr>
          <w:p>
            <w:pPr>
              <w:jc w:val="center"/>
              <w:ind w:right="217"/>
              <w:spacing w:after="0"/>
              <w:rPr>
                <w:sz w:val="20"/>
                <w:szCs w:val="20"/>
                <w:color w:val="auto"/>
              </w:rPr>
            </w:pPr>
            <w:r>
              <w:rPr>
                <w:rFonts w:ascii="Arial" w:cs="Arial" w:eastAsia="Arial" w:hAnsi="Arial"/>
                <w:sz w:val="13"/>
                <w:szCs w:val="13"/>
                <w:b w:val="1"/>
                <w:bCs w:val="1"/>
                <w:color w:val="auto"/>
                <w:w w:val="85"/>
              </w:rPr>
              <w:t>Rate</w:t>
            </w:r>
          </w:p>
        </w:tc>
        <w:tc>
          <w:tcPr>
            <w:tcW w:w="62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Date</w:t>
            </w: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GLA</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GLA (1)</w:t>
            </w: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 (1)</w:t>
            </w:r>
          </w:p>
        </w:tc>
        <w:tc>
          <w:tcPr>
            <w:tcW w:w="20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38"/>
              <w:spacing w:after="0"/>
              <w:rPr>
                <w:sz w:val="20"/>
                <w:szCs w:val="20"/>
                <w:color w:val="auto"/>
              </w:rPr>
            </w:pPr>
            <w:r>
              <w:rPr>
                <w:rFonts w:ascii="Arial" w:cs="Arial" w:eastAsia="Arial" w:hAnsi="Arial"/>
                <w:sz w:val="11"/>
                <w:szCs w:val="11"/>
                <w:color w:val="auto"/>
                <w:w w:val="97"/>
              </w:rPr>
              <w:t>(in</w:t>
            </w:r>
          </w:p>
        </w:tc>
        <w:tc>
          <w:tcPr>
            <w:tcW w:w="100" w:type="dxa"/>
            <w:vAlign w:val="bottom"/>
          </w:tcPr>
          <w:p>
            <w:pPr>
              <w:spacing w:after="0"/>
              <w:rPr>
                <w:sz w:val="12"/>
                <w:szCs w:val="12"/>
                <w:color w:val="auto"/>
              </w:rPr>
            </w:pPr>
          </w:p>
        </w:tc>
        <w:tc>
          <w:tcPr>
            <w:tcW w:w="520" w:type="dxa"/>
            <w:vAlign w:val="bottom"/>
          </w:tcPr>
          <w:p>
            <w:pPr>
              <w:jc w:val="center"/>
              <w:ind w:right="18"/>
              <w:spacing w:after="0"/>
              <w:rPr>
                <w:sz w:val="20"/>
                <w:szCs w:val="20"/>
                <w:color w:val="auto"/>
              </w:rPr>
            </w:pPr>
            <w:r>
              <w:rPr>
                <w:rFonts w:ascii="Arial" w:cs="Arial" w:eastAsia="Arial" w:hAnsi="Arial"/>
                <w:sz w:val="11"/>
                <w:szCs w:val="11"/>
                <w:color w:val="auto"/>
                <w:w w:val="97"/>
              </w:rPr>
              <w:t>(in</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jc w:val="center"/>
              <w:spacing w:after="0"/>
              <w:rPr>
                <w:sz w:val="20"/>
                <w:szCs w:val="20"/>
                <w:color w:val="auto"/>
              </w:rPr>
            </w:pPr>
            <w:r>
              <w:rPr>
                <w:rFonts w:ascii="Arial" w:cs="Arial" w:eastAsia="Arial" w:hAnsi="Arial"/>
                <w:sz w:val="11"/>
                <w:szCs w:val="11"/>
                <w:color w:val="auto"/>
                <w:w w:val="88"/>
              </w:rPr>
              <w:t>thousands)</w:t>
            </w:r>
          </w:p>
        </w:tc>
        <w:tc>
          <w:tcPr>
            <w:tcW w:w="620" w:type="dxa"/>
            <w:vAlign w:val="bottom"/>
            <w:gridSpan w:val="2"/>
          </w:tcPr>
          <w:p>
            <w:pPr>
              <w:jc w:val="center"/>
              <w:spacing w:after="0"/>
              <w:rPr>
                <w:sz w:val="20"/>
                <w:szCs w:val="20"/>
                <w:color w:val="auto"/>
              </w:rPr>
            </w:pPr>
            <w:r>
              <w:rPr>
                <w:rFonts w:ascii="Arial" w:cs="Arial" w:eastAsia="Arial" w:hAnsi="Arial"/>
                <w:sz w:val="11"/>
                <w:szCs w:val="11"/>
                <w:color w:val="auto"/>
                <w:w w:val="84"/>
              </w:rPr>
              <w:t>thousands)</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54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Washington Metropolitan Area</w:t>
            </w: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r>
      <w:tr>
        <w:trPr>
          <w:trHeight w:val="148"/>
        </w:trPr>
        <w:tc>
          <w:tcPr>
            <w:tcW w:w="4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ind w:left="60"/>
              <w:spacing w:after="0" w:line="148" w:lineRule="exact"/>
              <w:rPr>
                <w:sz w:val="20"/>
                <w:szCs w:val="20"/>
                <w:color w:val="auto"/>
              </w:rPr>
            </w:pPr>
            <w:r>
              <w:rPr>
                <w:rFonts w:ascii="Arial" w:cs="Arial" w:eastAsia="Arial" w:hAnsi="Arial"/>
                <w:sz w:val="13"/>
                <w:szCs w:val="13"/>
                <w:color w:val="auto"/>
              </w:rPr>
              <w:t>2006-</w:t>
            </w:r>
          </w:p>
        </w:tc>
        <w:tc>
          <w:tcPr>
            <w:tcW w:w="10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jc w:val="right"/>
              <w:ind w:right="37"/>
              <w:spacing w:after="0" w:line="148" w:lineRule="exact"/>
              <w:rPr>
                <w:sz w:val="20"/>
                <w:szCs w:val="20"/>
                <w:color w:val="auto"/>
              </w:rPr>
            </w:pPr>
            <w:r>
              <w:rPr>
                <w:rFonts w:ascii="Arial" w:cs="Arial" w:eastAsia="Arial" w:hAnsi="Arial"/>
                <w:sz w:val="13"/>
                <w:szCs w:val="13"/>
                <w:color w:val="auto"/>
              </w:rPr>
              <w:t>(3)</w:t>
            </w:r>
          </w:p>
        </w:tc>
        <w:tc>
          <w:tcPr>
            <w:tcW w:w="62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2080" w:type="dxa"/>
            <w:vAlign w:val="bottom"/>
            <w:tcBorders>
              <w:top w:val="single" w:sz="8" w:color="CCEEFF"/>
            </w:tcBorders>
          </w:tcPr>
          <w:p>
            <w:pPr>
              <w:spacing w:after="0"/>
              <w:rPr>
                <w:sz w:val="12"/>
                <w:szCs w:val="12"/>
                <w:color w:val="auto"/>
              </w:rPr>
            </w:pPr>
          </w:p>
        </w:tc>
      </w:tr>
      <w:tr>
        <w:trPr>
          <w:trHeight w:val="168"/>
        </w:trPr>
        <w:tc>
          <w:tcPr>
            <w:tcW w:w="1500" w:type="dxa"/>
            <w:vAlign w:val="bottom"/>
            <w:gridSpan w:val="4"/>
          </w:tcPr>
          <w:p>
            <w:pPr>
              <w:ind w:left="40"/>
              <w:spacing w:after="0"/>
              <w:rPr>
                <w:sz w:val="20"/>
                <w:szCs w:val="20"/>
                <w:color w:val="auto"/>
              </w:rPr>
            </w:pPr>
            <w:r>
              <w:rPr>
                <w:rFonts w:ascii="Arial" w:cs="Arial" w:eastAsia="Arial" w:hAnsi="Arial"/>
                <w:sz w:val="13"/>
                <w:szCs w:val="13"/>
                <w:color w:val="auto"/>
              </w:rPr>
              <w:t>Barcroft Plaza</w:t>
            </w:r>
          </w:p>
        </w:tc>
        <w:tc>
          <w:tcPr>
            <w:tcW w:w="2080" w:type="dxa"/>
            <w:vAlign w:val="bottom"/>
            <w:gridSpan w:val="2"/>
          </w:tcPr>
          <w:p>
            <w:pPr>
              <w:ind w:left="160"/>
              <w:spacing w:after="0"/>
              <w:rPr>
                <w:sz w:val="20"/>
                <w:szCs w:val="20"/>
                <w:color w:val="auto"/>
              </w:rPr>
            </w:pPr>
            <w:r>
              <w:rPr>
                <w:rFonts w:ascii="Arial" w:cs="Arial" w:eastAsia="Arial" w:hAnsi="Arial"/>
                <w:sz w:val="13"/>
                <w:szCs w:val="13"/>
                <w:color w:val="auto"/>
              </w:rPr>
              <w:t>Washington, DC-MD-VA</w:t>
            </w:r>
          </w:p>
        </w:tc>
        <w:tc>
          <w:tcPr>
            <w:tcW w:w="600" w:type="dxa"/>
            <w:vAlign w:val="bottom"/>
          </w:tcPr>
          <w:p>
            <w:pPr>
              <w:ind w:left="60"/>
              <w:spacing w:after="0"/>
              <w:rPr>
                <w:sz w:val="20"/>
                <w:szCs w:val="20"/>
                <w:color w:val="auto"/>
              </w:rPr>
            </w:pPr>
            <w:r>
              <w:rPr>
                <w:rFonts w:ascii="Arial" w:cs="Arial" w:eastAsia="Arial" w:hAnsi="Arial"/>
                <w:sz w:val="13"/>
                <w:szCs w:val="13"/>
                <w:color w:val="auto"/>
              </w:rPr>
              <w:t>2007</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8"/>
              <w:spacing w:after="0"/>
              <w:rPr>
                <w:sz w:val="20"/>
                <w:szCs w:val="20"/>
                <w:color w:val="auto"/>
              </w:rPr>
            </w:pPr>
            <w:r>
              <w:rPr>
                <w:rFonts w:ascii="Arial" w:cs="Arial" w:eastAsia="Arial" w:hAnsi="Arial"/>
                <w:sz w:val="13"/>
                <w:szCs w:val="13"/>
                <w:color w:val="auto"/>
              </w:rPr>
              <w:t>34,444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center"/>
              <w:ind w:right="18"/>
              <w:spacing w:after="0"/>
              <w:rPr>
                <w:sz w:val="20"/>
                <w:szCs w:val="20"/>
                <w:color w:val="auto"/>
              </w:rPr>
            </w:pPr>
            <w:r>
              <w:rPr>
                <w:rFonts w:ascii="Arial" w:cs="Arial" w:eastAsia="Arial" w:hAnsi="Arial"/>
                <w:sz w:val="13"/>
                <w:szCs w:val="13"/>
                <w:color w:val="auto"/>
                <w:w w:val="90"/>
              </w:rPr>
              <w:t>20,785</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5.99% (4)</w:t>
            </w:r>
          </w:p>
        </w:tc>
        <w:tc>
          <w:tcPr>
            <w:tcW w:w="620" w:type="dxa"/>
            <w:vAlign w:val="bottom"/>
          </w:tcPr>
          <w:p>
            <w:pPr>
              <w:ind w:left="80"/>
              <w:spacing w:after="0"/>
              <w:rPr>
                <w:sz w:val="20"/>
                <w:szCs w:val="20"/>
                <w:color w:val="auto"/>
              </w:rPr>
            </w:pPr>
            <w:r>
              <w:rPr>
                <w:rFonts w:ascii="Arial" w:cs="Arial" w:eastAsia="Arial" w:hAnsi="Arial"/>
                <w:sz w:val="13"/>
                <w:szCs w:val="13"/>
                <w:color w:val="auto"/>
              </w:rPr>
              <w:t>7/1/2016</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w w:val="93"/>
              </w:rPr>
              <w:t>100,000</w:t>
            </w:r>
          </w:p>
        </w:tc>
        <w:tc>
          <w:tcPr>
            <w:tcW w:w="520" w:type="dxa"/>
            <w:vAlign w:val="bottom"/>
          </w:tcPr>
          <w:p>
            <w:pPr>
              <w:jc w:val="right"/>
              <w:spacing w:after="0"/>
              <w:rPr>
                <w:sz w:val="20"/>
                <w:szCs w:val="20"/>
                <w:color w:val="auto"/>
              </w:rPr>
            </w:pPr>
            <w:r>
              <w:rPr>
                <w:rFonts w:ascii="Arial" w:cs="Arial" w:eastAsia="Arial" w:hAnsi="Arial"/>
                <w:sz w:val="13"/>
                <w:szCs w:val="13"/>
                <w:color w:val="auto"/>
              </w:rPr>
              <w:t>89%</w:t>
            </w:r>
          </w:p>
        </w:tc>
        <w:tc>
          <w:tcPr>
            <w:tcW w:w="600" w:type="dxa"/>
            <w:vAlign w:val="bottom"/>
          </w:tcPr>
          <w:p>
            <w:pPr>
              <w:ind w:left="60"/>
              <w:spacing w:after="0"/>
              <w:rPr>
                <w:sz w:val="20"/>
                <w:szCs w:val="20"/>
                <w:color w:val="auto"/>
              </w:rPr>
            </w:pPr>
            <w:r>
              <w:rPr>
                <w:rFonts w:ascii="Arial" w:cs="Arial" w:eastAsia="Arial" w:hAnsi="Arial"/>
                <w:sz w:val="13"/>
                <w:szCs w:val="13"/>
                <w:color w:val="auto"/>
              </w:rPr>
              <w:t>46,000</w:t>
            </w:r>
          </w:p>
        </w:tc>
        <w:tc>
          <w:tcPr>
            <w:tcW w:w="860" w:type="dxa"/>
            <w:vAlign w:val="bottom"/>
          </w:tcPr>
          <w:p>
            <w:pPr>
              <w:ind w:left="80"/>
              <w:spacing w:after="0"/>
              <w:rPr>
                <w:sz w:val="20"/>
                <w:szCs w:val="20"/>
                <w:color w:val="auto"/>
              </w:rPr>
            </w:pPr>
            <w:r>
              <w:rPr>
                <w:rFonts w:ascii="Arial" w:cs="Arial" w:eastAsia="Arial" w:hAnsi="Arial"/>
                <w:sz w:val="13"/>
                <w:szCs w:val="13"/>
                <w:color w:val="auto"/>
              </w:rPr>
              <w:t>Harris Teeter</w:t>
            </w:r>
          </w:p>
        </w:tc>
        <w:tc>
          <w:tcPr>
            <w:tcW w:w="2080" w:type="dxa"/>
            <w:vAlign w:val="bottom"/>
          </w:tcPr>
          <w:p>
            <w:pPr>
              <w:ind w:left="120"/>
              <w:spacing w:after="0"/>
              <w:rPr>
                <w:sz w:val="20"/>
                <w:szCs w:val="20"/>
                <w:color w:val="auto"/>
              </w:rPr>
            </w:pPr>
            <w:r>
              <w:rPr>
                <w:rFonts w:ascii="Arial" w:cs="Arial" w:eastAsia="Arial" w:hAnsi="Arial"/>
                <w:sz w:val="13"/>
                <w:szCs w:val="13"/>
                <w:color w:val="auto"/>
              </w:rPr>
              <w:t>Bank of America</w:t>
            </w:r>
          </w:p>
        </w:tc>
      </w:tr>
      <w:tr>
        <w:trPr>
          <w:trHeight w:val="15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Free State Shopping</w:t>
            </w:r>
          </w:p>
        </w:tc>
        <w:tc>
          <w:tcPr>
            <w:tcW w:w="20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Washington, DC-MD-VA</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66,571</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279,000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73,000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TJ Maxx / Ross Dress For Less /</w:t>
            </w:r>
          </w:p>
        </w:tc>
      </w:tr>
      <w:tr>
        <w:trPr>
          <w:trHeight w:val="17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2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Office Depot</w:t>
            </w:r>
          </w:p>
        </w:tc>
      </w:tr>
      <w:tr>
        <w:trPr>
          <w:trHeight w:val="264"/>
        </w:trPr>
        <w:tc>
          <w:tcPr>
            <w:tcW w:w="1500" w:type="dxa"/>
            <w:vAlign w:val="bottom"/>
            <w:tcBorders>
              <w:bottom w:val="single" w:sz="8" w:color="CCEEFF"/>
            </w:tcBorders>
            <w:gridSpan w:val="4"/>
          </w:tcPr>
          <w:p>
            <w:pPr>
              <w:ind w:left="40"/>
              <w:spacing w:after="0"/>
              <w:rPr>
                <w:sz w:val="20"/>
                <w:szCs w:val="20"/>
                <w:color w:val="auto"/>
              </w:rPr>
            </w:pPr>
            <w:r>
              <w:rPr>
                <w:rFonts w:ascii="Arial" w:cs="Arial" w:eastAsia="Arial" w:hAnsi="Arial"/>
                <w:sz w:val="13"/>
                <w:szCs w:val="13"/>
                <w:color w:val="auto"/>
              </w:rPr>
              <w:t>Plaza del Mercado</w:t>
            </w:r>
          </w:p>
        </w:tc>
        <w:tc>
          <w:tcPr>
            <w:tcW w:w="208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Washington, DC-MD-VA</w:t>
            </w:r>
          </w:p>
        </w:tc>
        <w:tc>
          <w:tcPr>
            <w:tcW w:w="60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2004</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21,633</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jc w:val="center"/>
              <w:ind w:right="18"/>
              <w:spacing w:after="0"/>
              <w:rPr>
                <w:sz w:val="20"/>
                <w:szCs w:val="20"/>
                <w:color w:val="auto"/>
              </w:rPr>
            </w:pPr>
            <w:r>
              <w:rPr>
                <w:rFonts w:ascii="Arial" w:cs="Arial" w:eastAsia="Arial" w:hAnsi="Arial"/>
                <w:sz w:val="13"/>
                <w:szCs w:val="13"/>
                <w:color w:val="auto"/>
                <w:w w:val="90"/>
              </w:rPr>
              <w:t>12,327</w:t>
            </w:r>
          </w:p>
        </w:tc>
        <w:tc>
          <w:tcPr>
            <w:tcW w:w="76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color w:val="auto"/>
              </w:rPr>
              <w:t>5.77% (2)</w:t>
            </w:r>
          </w:p>
        </w:tc>
        <w:tc>
          <w:tcPr>
            <w:tcW w:w="6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7/5/2014</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96,000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60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20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CVS</w:t>
            </w:r>
          </w:p>
        </w:tc>
      </w:tr>
      <w:tr>
        <w:trPr>
          <w:trHeight w:val="257"/>
        </w:trPr>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w w:val="91"/>
              </w:rPr>
              <w:t>Total Washington Metropolitan Area</w:t>
            </w: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w w:val="85"/>
              </w:rPr>
              <w:t>122,648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475,000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6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r>
      <w:tr>
        <w:trPr>
          <w:trHeight w:val="230"/>
        </w:trPr>
        <w:tc>
          <w:tcPr>
            <w:tcW w:w="40" w:type="dxa"/>
            <w:vAlign w:val="bottom"/>
          </w:tcPr>
          <w:p>
            <w:pPr>
              <w:spacing w:after="0"/>
              <w:rPr>
                <w:sz w:val="19"/>
                <w:szCs w:val="19"/>
                <w:color w:val="auto"/>
              </w:rPr>
            </w:pPr>
          </w:p>
        </w:tc>
        <w:tc>
          <w:tcPr>
            <w:tcW w:w="1460" w:type="dxa"/>
            <w:vAlign w:val="bottom"/>
            <w:gridSpan w:val="3"/>
          </w:tcPr>
          <w:p>
            <w:pPr>
              <w:ind w:left="60"/>
              <w:spacing w:after="0"/>
              <w:rPr>
                <w:sz w:val="20"/>
                <w:szCs w:val="20"/>
                <w:color w:val="auto"/>
              </w:rPr>
            </w:pPr>
            <w:r>
              <w:rPr>
                <w:rFonts w:ascii="Arial" w:cs="Arial" w:eastAsia="Arial" w:hAnsi="Arial"/>
                <w:sz w:val="13"/>
                <w:szCs w:val="13"/>
                <w:b w:val="1"/>
                <w:bCs w:val="1"/>
                <w:color w:val="auto"/>
                <w:w w:val="97"/>
              </w:rPr>
              <w:t>New York / New Jersey</w:t>
            </w: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64"/>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Greenlawn Plaza</w:t>
            </w:r>
          </w:p>
        </w:tc>
        <w:tc>
          <w:tcPr>
            <w:tcW w:w="20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Nassau-Suffolk, NY</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2006</w:t>
            </w:r>
          </w:p>
        </w:tc>
        <w:tc>
          <w:tcPr>
            <w:tcW w:w="1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20,587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center"/>
              <w:ind w:right="18"/>
              <w:spacing w:after="0"/>
              <w:rPr>
                <w:sz w:val="20"/>
                <w:szCs w:val="20"/>
                <w:color w:val="auto"/>
              </w:rPr>
            </w:pPr>
            <w:r>
              <w:rPr>
                <w:rFonts w:ascii="Arial" w:cs="Arial" w:eastAsia="Arial" w:hAnsi="Arial"/>
                <w:sz w:val="13"/>
                <w:szCs w:val="13"/>
                <w:color w:val="auto"/>
                <w:w w:val="90"/>
              </w:rPr>
              <w:t>13,600</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5.90% (3)</w:t>
            </w:r>
          </w:p>
        </w:tc>
        <w:tc>
          <w:tcPr>
            <w:tcW w:w="620" w:type="dxa"/>
            <w:vAlign w:val="bottom"/>
            <w:shd w:val="clear" w:color="auto" w:fill="CCEEFF"/>
          </w:tcPr>
          <w:p>
            <w:pPr>
              <w:ind w:left="80"/>
              <w:spacing w:after="0"/>
              <w:rPr>
                <w:sz w:val="20"/>
                <w:szCs w:val="20"/>
                <w:color w:val="auto"/>
              </w:rPr>
            </w:pPr>
            <w:r>
              <w:rPr>
                <w:rFonts w:ascii="Arial" w:cs="Arial" w:eastAsia="Arial" w:hAnsi="Arial"/>
                <w:sz w:val="13"/>
                <w:szCs w:val="13"/>
                <w:color w:val="auto"/>
              </w:rPr>
              <w:t>7/1/2016</w:t>
            </w:r>
          </w:p>
        </w:tc>
        <w:tc>
          <w:tcPr>
            <w:tcW w:w="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3"/>
              </w:rPr>
              <w:t>106,000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46,000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Waldbaum's</w:t>
            </w:r>
          </w:p>
        </w:tc>
        <w:tc>
          <w:tcPr>
            <w:tcW w:w="2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Tuesday Morning</w:t>
            </w:r>
          </w:p>
        </w:tc>
      </w:tr>
      <w:tr>
        <w:trPr>
          <w:trHeight w:val="249"/>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gridSpan w:val="2"/>
          </w:tcPr>
          <w:p>
            <w:pPr>
              <w:ind w:left="160"/>
              <w:spacing w:after="0"/>
              <w:rPr>
                <w:sz w:val="20"/>
                <w:szCs w:val="20"/>
                <w:color w:val="auto"/>
              </w:rPr>
            </w:pPr>
            <w:r>
              <w:rPr>
                <w:rFonts w:ascii="Arial" w:cs="Arial" w:eastAsia="Arial" w:hAnsi="Arial"/>
                <w:sz w:val="13"/>
                <w:szCs w:val="13"/>
                <w:color w:val="auto"/>
              </w:rPr>
              <w:t>Total New York / New Jersey</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ind w:right="58"/>
              <w:spacing w:after="0"/>
              <w:rPr>
                <w:sz w:val="20"/>
                <w:szCs w:val="20"/>
                <w:color w:val="auto"/>
              </w:rPr>
            </w:pPr>
            <w:r>
              <w:rPr>
                <w:rFonts w:ascii="Arial" w:cs="Arial" w:eastAsia="Arial" w:hAnsi="Arial"/>
                <w:sz w:val="13"/>
                <w:szCs w:val="13"/>
                <w:color w:val="auto"/>
              </w:rPr>
              <w:t>20,587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w w:val="93"/>
              </w:rPr>
              <w:t>106,000</w:t>
            </w:r>
          </w:p>
        </w:tc>
        <w:tc>
          <w:tcPr>
            <w:tcW w:w="52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58"/>
        </w:trPr>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88"/>
              </w:rPr>
              <w:t>New England</w:t>
            </w:r>
          </w:p>
        </w:tc>
        <w:tc>
          <w:tcPr>
            <w:tcW w:w="700" w:type="dxa"/>
            <w:vAlign w:val="bottom"/>
            <w:tcBorders>
              <w:bottom w:val="single" w:sz="8" w:color="CCEEFF"/>
            </w:tcBorders>
            <w:gridSpan w:val="2"/>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spacing w:after="0"/>
              <w:rPr>
                <w:sz w:val="22"/>
                <w:szCs w:val="22"/>
                <w:color w:val="auto"/>
              </w:rPr>
            </w:pP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Atlantic Plaza</w:t>
            </w:r>
          </w:p>
        </w:tc>
        <w:tc>
          <w:tcPr>
            <w:tcW w:w="2080" w:type="dxa"/>
            <w:vAlign w:val="bottom"/>
            <w:gridSpan w:val="2"/>
          </w:tcPr>
          <w:p>
            <w:pPr>
              <w:ind w:left="160"/>
              <w:spacing w:after="0" w:line="148" w:lineRule="exact"/>
              <w:rPr>
                <w:sz w:val="20"/>
                <w:szCs w:val="20"/>
                <w:color w:val="auto"/>
              </w:rPr>
            </w:pPr>
            <w:r>
              <w:rPr>
                <w:rFonts w:ascii="Arial" w:cs="Arial" w:eastAsia="Arial" w:hAnsi="Arial"/>
                <w:sz w:val="13"/>
                <w:szCs w:val="13"/>
                <w:color w:val="auto"/>
                <w:w w:val="90"/>
              </w:rPr>
              <w:t>Boston-Worcester-Lawrence-Lowell-</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2004</w:t>
            </w:r>
          </w:p>
        </w:tc>
        <w:tc>
          <w:tcPr>
            <w:tcW w:w="100" w:type="dxa"/>
            <w:vAlign w:val="bottom"/>
          </w:tcPr>
          <w:p>
            <w:pPr>
              <w:spacing w:after="0"/>
              <w:rPr>
                <w:sz w:val="12"/>
                <w:szCs w:val="12"/>
                <w:color w:val="auto"/>
              </w:rPr>
            </w:pPr>
          </w:p>
        </w:tc>
        <w:tc>
          <w:tcPr>
            <w:tcW w:w="54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19,122</w:t>
            </w:r>
          </w:p>
        </w:tc>
        <w:tc>
          <w:tcPr>
            <w:tcW w:w="100" w:type="dxa"/>
            <w:vAlign w:val="bottom"/>
          </w:tcPr>
          <w:p>
            <w:pPr>
              <w:spacing w:after="0"/>
              <w:rPr>
                <w:sz w:val="12"/>
                <w:szCs w:val="12"/>
                <w:color w:val="auto"/>
              </w:rPr>
            </w:pPr>
          </w:p>
        </w:tc>
        <w:tc>
          <w:tcPr>
            <w:tcW w:w="520" w:type="dxa"/>
            <w:vAlign w:val="bottom"/>
          </w:tcPr>
          <w:p>
            <w:pPr>
              <w:jc w:val="center"/>
              <w:ind w:right="18"/>
              <w:spacing w:after="0" w:line="148" w:lineRule="exact"/>
              <w:rPr>
                <w:sz w:val="20"/>
                <w:szCs w:val="20"/>
                <w:color w:val="auto"/>
              </w:rPr>
            </w:pPr>
            <w:r>
              <w:rPr>
                <w:rFonts w:ascii="Arial" w:cs="Arial" w:eastAsia="Arial" w:hAnsi="Arial"/>
                <w:sz w:val="13"/>
                <w:szCs w:val="13"/>
                <w:color w:val="auto"/>
                <w:w w:val="90"/>
              </w:rPr>
              <w:t>10,500</w:t>
            </w:r>
          </w:p>
        </w:tc>
        <w:tc>
          <w:tcPr>
            <w:tcW w:w="7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5.12% (3)</w:t>
            </w:r>
          </w:p>
        </w:tc>
        <w:tc>
          <w:tcPr>
            <w:tcW w:w="620" w:type="dxa"/>
            <w:vAlign w:val="bottom"/>
          </w:tcPr>
          <w:p>
            <w:pPr>
              <w:ind w:left="80"/>
              <w:spacing w:after="0" w:line="148" w:lineRule="exact"/>
              <w:rPr>
                <w:sz w:val="20"/>
                <w:szCs w:val="20"/>
                <w:color w:val="auto"/>
              </w:rPr>
            </w:pPr>
            <w:r>
              <w:rPr>
                <w:rFonts w:ascii="Arial" w:cs="Arial" w:eastAsia="Arial" w:hAnsi="Arial"/>
                <w:sz w:val="13"/>
                <w:szCs w:val="13"/>
                <w:color w:val="auto"/>
                <w:w w:val="89"/>
              </w:rPr>
              <w:t>12/1/2014</w:t>
            </w: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w w:val="93"/>
              </w:rPr>
              <w:t>123,000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64,000</w:t>
            </w:r>
          </w:p>
        </w:tc>
        <w:tc>
          <w:tcPr>
            <w:tcW w:w="860" w:type="dxa"/>
            <w:vAlign w:val="bottom"/>
          </w:tcPr>
          <w:p>
            <w:pPr>
              <w:ind w:left="80"/>
              <w:spacing w:after="0" w:line="148" w:lineRule="exact"/>
              <w:rPr>
                <w:sz w:val="20"/>
                <w:szCs w:val="20"/>
                <w:color w:val="auto"/>
              </w:rPr>
            </w:pPr>
            <w:r>
              <w:rPr>
                <w:rFonts w:ascii="Arial" w:cs="Arial" w:eastAsia="Arial" w:hAnsi="Arial"/>
                <w:sz w:val="13"/>
                <w:szCs w:val="13"/>
                <w:color w:val="auto"/>
              </w:rPr>
              <w:t>Stop &amp; Shop</w:t>
            </w:r>
          </w:p>
        </w:tc>
        <w:tc>
          <w:tcPr>
            <w:tcW w:w="2080" w:type="dxa"/>
            <w:vAlign w:val="bottom"/>
          </w:tcPr>
          <w:p>
            <w:pPr>
              <w:ind w:left="120"/>
              <w:spacing w:after="0" w:line="148" w:lineRule="exact"/>
              <w:rPr>
                <w:sz w:val="20"/>
                <w:szCs w:val="20"/>
                <w:color w:val="auto"/>
              </w:rPr>
            </w:pPr>
            <w:r>
              <w:rPr>
                <w:rFonts w:ascii="Arial" w:cs="Arial" w:eastAsia="Arial" w:hAnsi="Arial"/>
                <w:sz w:val="13"/>
                <w:szCs w:val="13"/>
                <w:color w:val="auto"/>
              </w:rPr>
              <w:t>Sears</w:t>
            </w:r>
          </w:p>
        </w:tc>
      </w:tr>
      <w:tr>
        <w:trPr>
          <w:trHeight w:val="168"/>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2"/>
          </w:tcPr>
          <w:p>
            <w:pPr>
              <w:ind w:left="160"/>
              <w:spacing w:after="0"/>
              <w:rPr>
                <w:sz w:val="20"/>
                <w:szCs w:val="20"/>
                <w:color w:val="auto"/>
              </w:rPr>
            </w:pPr>
            <w:r>
              <w:rPr>
                <w:rFonts w:ascii="Arial" w:cs="Arial" w:eastAsia="Arial" w:hAnsi="Arial"/>
                <w:sz w:val="13"/>
                <w:szCs w:val="13"/>
                <w:color w:val="auto"/>
              </w:rPr>
              <w:t>Brockton, MA</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5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Campus Plaza</w:t>
            </w:r>
          </w:p>
        </w:tc>
        <w:tc>
          <w:tcPr>
            <w:tcW w:w="20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w w:val="90"/>
              </w:rPr>
              <w:t>Boston-Worcester-Lawrence-Lowell-</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22,649</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117,000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46,000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2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Burlington Coat Factory</w:t>
            </w:r>
          </w:p>
        </w:tc>
      </w:tr>
      <w:tr>
        <w:trPr>
          <w:trHeight w:val="176"/>
        </w:trPr>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Brockton, MA</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Pleasant Shops</w:t>
            </w:r>
          </w:p>
        </w:tc>
        <w:tc>
          <w:tcPr>
            <w:tcW w:w="2080" w:type="dxa"/>
            <w:vAlign w:val="bottom"/>
            <w:gridSpan w:val="2"/>
          </w:tcPr>
          <w:p>
            <w:pPr>
              <w:ind w:left="160"/>
              <w:spacing w:after="0" w:line="148" w:lineRule="exact"/>
              <w:rPr>
                <w:sz w:val="20"/>
                <w:szCs w:val="20"/>
                <w:color w:val="auto"/>
              </w:rPr>
            </w:pPr>
            <w:r>
              <w:rPr>
                <w:rFonts w:ascii="Arial" w:cs="Arial" w:eastAsia="Arial" w:hAnsi="Arial"/>
                <w:sz w:val="13"/>
                <w:szCs w:val="13"/>
                <w:color w:val="auto"/>
                <w:w w:val="90"/>
              </w:rPr>
              <w:t>Boston-Worcester-Lawrence-Lowell-</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2004</w:t>
            </w:r>
          </w:p>
        </w:tc>
        <w:tc>
          <w:tcPr>
            <w:tcW w:w="100" w:type="dxa"/>
            <w:vAlign w:val="bottom"/>
          </w:tcPr>
          <w:p>
            <w:pPr>
              <w:spacing w:after="0"/>
              <w:rPr>
                <w:sz w:val="12"/>
                <w:szCs w:val="12"/>
                <w:color w:val="auto"/>
              </w:rPr>
            </w:pPr>
          </w:p>
        </w:tc>
        <w:tc>
          <w:tcPr>
            <w:tcW w:w="54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23,576</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w w:val="93"/>
              </w:rPr>
              <w:t>130,000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38,000</w:t>
            </w:r>
          </w:p>
        </w:tc>
        <w:tc>
          <w:tcPr>
            <w:tcW w:w="860" w:type="dxa"/>
            <w:vAlign w:val="bottom"/>
          </w:tcPr>
          <w:p>
            <w:pPr>
              <w:ind w:left="80"/>
              <w:spacing w:after="0" w:line="148" w:lineRule="exact"/>
              <w:rPr>
                <w:sz w:val="20"/>
                <w:szCs w:val="20"/>
                <w:color w:val="auto"/>
              </w:rPr>
            </w:pPr>
            <w:r>
              <w:rPr>
                <w:rFonts w:ascii="Arial" w:cs="Arial" w:eastAsia="Arial" w:hAnsi="Arial"/>
                <w:sz w:val="13"/>
                <w:szCs w:val="13"/>
                <w:color w:val="auto"/>
              </w:rPr>
              <w:t>Foodmaster</w:t>
            </w:r>
          </w:p>
        </w:tc>
        <w:tc>
          <w:tcPr>
            <w:tcW w:w="2080" w:type="dxa"/>
            <w:vAlign w:val="bottom"/>
          </w:tcPr>
          <w:p>
            <w:pPr>
              <w:ind w:left="120"/>
              <w:spacing w:after="0" w:line="148" w:lineRule="exact"/>
              <w:rPr>
                <w:sz w:val="20"/>
                <w:szCs w:val="20"/>
                <w:color w:val="auto"/>
              </w:rPr>
            </w:pPr>
            <w:r>
              <w:rPr>
                <w:rFonts w:ascii="Arial" w:cs="Arial" w:eastAsia="Arial" w:hAnsi="Arial"/>
                <w:sz w:val="13"/>
                <w:szCs w:val="13"/>
                <w:color w:val="auto"/>
              </w:rPr>
              <w:t>Marshalls</w:t>
            </w:r>
          </w:p>
        </w:tc>
      </w:tr>
      <w:tr>
        <w:trPr>
          <w:trHeight w:val="170"/>
        </w:trPr>
        <w:tc>
          <w:tcPr>
            <w:tcW w:w="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8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Brockton, MA</w:t>
            </w: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2080" w:type="dxa"/>
            <w:vAlign w:val="bottom"/>
            <w:tcBorders>
              <w:bottom w:val="single" w:sz="8" w:color="CCEEFF"/>
            </w:tcBorders>
          </w:tcPr>
          <w:p>
            <w:pPr>
              <w:spacing w:after="0"/>
              <w:rPr>
                <w:sz w:val="14"/>
                <w:szCs w:val="14"/>
                <w:color w:val="auto"/>
              </w:rPr>
            </w:pPr>
          </w:p>
        </w:tc>
      </w:tr>
      <w:tr>
        <w:trPr>
          <w:trHeight w:val="250"/>
        </w:trPr>
        <w:tc>
          <w:tcPr>
            <w:tcW w:w="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08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3"/>
                <w:szCs w:val="13"/>
                <w:color w:val="auto"/>
              </w:rPr>
              <w:t>Total New England</w:t>
            </w:r>
          </w:p>
        </w:tc>
        <w:tc>
          <w:tcPr>
            <w:tcW w:w="6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65,347</w:t>
            </w:r>
          </w:p>
        </w:tc>
        <w:tc>
          <w:tcPr>
            <w:tcW w:w="1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3"/>
              </w:rPr>
              <w:t>370,000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080" w:type="dxa"/>
            <w:vAlign w:val="bottom"/>
            <w:tcBorders>
              <w:bottom w:val="single" w:sz="8" w:color="auto"/>
            </w:tcBorders>
            <w:shd w:val="clear" w:color="auto" w:fill="CCEEFF"/>
          </w:tcPr>
          <w:p>
            <w:pPr>
              <w:spacing w:after="0"/>
              <w:rPr>
                <w:sz w:val="21"/>
                <w:szCs w:val="21"/>
                <w:color w:val="auto"/>
              </w:rPr>
            </w:pPr>
          </w:p>
        </w:tc>
      </w:tr>
      <w:tr>
        <w:trPr>
          <w:trHeight w:val="264"/>
        </w:trPr>
        <w:tc>
          <w:tcPr>
            <w:tcW w:w="15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Grand Totals</w:t>
            </w: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w w:val="85"/>
              </w:rPr>
              <w:t>208,582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90"/>
              </w:rPr>
              <w:t>57,212</w:t>
            </w:r>
          </w:p>
        </w:tc>
        <w:tc>
          <w:tcPr>
            <w:tcW w:w="7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3"/>
              </w:rPr>
              <w:t>951,000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89%</w:t>
            </w:r>
          </w:p>
        </w:tc>
        <w:tc>
          <w:tcPr>
            <w:tcW w:w="6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auto"/>
        </w:rPr>
        <w:t>Note:</w:t>
      </w:r>
    </w:p>
    <w:p>
      <w:pPr>
        <w:spacing w:after="0" w:line="121" w:lineRule="exact"/>
        <w:rPr>
          <w:sz w:val="20"/>
          <w:szCs w:val="20"/>
          <w:color w:val="auto"/>
        </w:rPr>
      </w:pPr>
    </w:p>
    <w:p>
      <w:pPr>
        <w:ind w:left="220" w:hanging="185"/>
        <w:spacing w:after="0"/>
        <w:tabs>
          <w:tab w:leader="none" w:pos="2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Grocery anchor is defined as a grocery tenant leasing 15,000 square feet or more.</w:t>
      </w:r>
    </w:p>
    <w:p>
      <w:pPr>
        <w:spacing w:after="0" w:line="120" w:lineRule="exact"/>
        <w:rPr>
          <w:rFonts w:ascii="Arial" w:cs="Arial" w:eastAsia="Arial" w:hAnsi="Arial"/>
          <w:sz w:val="13"/>
          <w:szCs w:val="13"/>
          <w:color w:val="auto"/>
        </w:rPr>
      </w:pPr>
    </w:p>
    <w:p>
      <w:pPr>
        <w:ind w:left="220" w:hanging="185"/>
        <w:spacing w:after="0"/>
        <w:tabs>
          <w:tab w:leader="none" w:pos="2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Effective July 5, 2007, principal and interest payments are due based on a 30-year amortization schedule.</w:t>
      </w:r>
    </w:p>
    <w:p>
      <w:pPr>
        <w:spacing w:after="0" w:line="120" w:lineRule="exact"/>
        <w:rPr>
          <w:rFonts w:ascii="Arial" w:cs="Arial" w:eastAsia="Arial" w:hAnsi="Arial"/>
          <w:sz w:val="13"/>
          <w:szCs w:val="13"/>
          <w:color w:val="auto"/>
        </w:rPr>
      </w:pPr>
    </w:p>
    <w:p>
      <w:pPr>
        <w:ind w:left="220" w:hanging="185"/>
        <w:spacing w:after="0"/>
        <w:tabs>
          <w:tab w:leader="none" w:pos="2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Interest only until maturity.</w:t>
      </w:r>
    </w:p>
    <w:p>
      <w:pPr>
        <w:spacing w:after="0" w:line="39" w:lineRule="exact"/>
        <w:rPr>
          <w:rFonts w:ascii="Arial" w:cs="Arial" w:eastAsia="Arial" w:hAnsi="Arial"/>
          <w:sz w:val="13"/>
          <w:szCs w:val="13"/>
          <w:color w:val="auto"/>
        </w:rPr>
      </w:pPr>
    </w:p>
    <w:p>
      <w:pPr>
        <w:ind w:left="40" w:right="3320" w:hanging="5"/>
        <w:spacing w:after="0" w:line="237" w:lineRule="auto"/>
        <w:tabs>
          <w:tab w:leader="none" w:pos="218"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stated interest rate represents the weighted average interest rate for two mortgage loans secured by this property. The loan balance represents the note of $16.6 million at a stated rate of 6.06% and a note of $4.2 million at a stated rate of 5.71%.</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958"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Adjusted EBITDA is a non-GAAP measure that means net income or loss plus depreciation and amortization, net interest expense,</w:t>
      </w:r>
      <w:r>
        <w:rPr>
          <w:rFonts w:ascii="Arial" w:cs="Arial" w:eastAsia="Arial" w:hAnsi="Arial"/>
          <w:sz w:val="17"/>
          <w:szCs w:val="17"/>
          <w:b w:val="1"/>
          <w:bCs w:val="1"/>
          <w:color w:val="auto"/>
        </w:rPr>
        <w:t xml:space="preserve"> </w:t>
      </w:r>
      <w:r>
        <w:rPr>
          <w:rFonts w:ascii="Arial" w:cs="Arial" w:eastAsia="Arial" w:hAnsi="Arial"/>
          <w:sz w:val="17"/>
          <w:szCs w:val="17"/>
          <w:color w:val="auto"/>
        </w:rPr>
        <w:t>income taxes, gain or loss on sale of real estate, gain or loss on deconsolidation of variable interest entity (“VIE”)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and nine months ended September 30, 2012 and 2011 is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238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39,656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48,302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117,374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117,157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34,932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32,083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106,702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94,715</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85,744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72,744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EBITDA</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102,545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104,044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309,240</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284,149</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deconsolidation of VIE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(14,800)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in real estate partnership</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562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102,545</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89,287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297,380</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267,323</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Funds From Operations (FFO): </w:t>
      </w:r>
      <w:r>
        <w:rPr>
          <w:rFonts w:ascii="Arial" w:cs="Arial" w:eastAsia="Arial" w:hAnsi="Arial"/>
          <w:sz w:val="17"/>
          <w:szCs w:val="17"/>
          <w:color w:val="auto"/>
        </w:rPr>
        <w:t>FFO is a supplemental measure of real estate companies' operating performances. The National Association of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Trusts (“NAREIT”) defines FFO as follows: net income, computed in accordance with GAAP plus real estate related depreciation and amortization and excluding extraordinary items,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7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7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Tenant Improvements and Incentives: </w:t>
      </w:r>
      <w:r>
        <w:rPr>
          <w:rFonts w:ascii="Arial" w:cs="Arial" w:eastAsia="Arial" w:hAnsi="Arial"/>
          <w:sz w:val="18"/>
          <w:szCs w:val="18"/>
          <w:color w:val="auto"/>
        </w:rPr>
        <w:t>Represents not only the total dollars committed for the improvement (fit-out) of a space as it relates to a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lease but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3"/>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4"/>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2019-12-09T06:44:28Z</dcterms:created>
  <dcterms:modified xsi:type="dcterms:W3CDTF">2019-12-09T06:44:28Z</dcterms:modified>
</cp:coreProperties>
</file>