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September 30, 2015</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22"/>
          <w:szCs w:val="22"/>
          <w:color w:val="auto"/>
        </w:rPr>
        <w:t>On November 4, 2015, Federal Realty Investment Trust issued supplemental data pertaining to its operations, as well as a press release, to report its financial results for the quarter ended September 30, 2015.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2015 (including press release dated November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November 4, 2015</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2015</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 2015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2015 Significant Acquisitions &amp;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2015,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2015.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2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Brittany Schmelz</w:t>
            </w:r>
          </w:p>
        </w:tc>
        <w:tc>
          <w:tcPr>
            <w:tcW w:w="2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20" w:type="dxa"/>
            <w:vAlign w:val="bottom"/>
          </w:tcPr>
          <w:p>
            <w:pPr>
              <w:spacing w:after="0"/>
              <w:rPr>
                <w:sz w:val="22"/>
                <w:szCs w:val="22"/>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4100" w:type="dxa"/>
            <w:vAlign w:val="bottom"/>
            <w:gridSpan w:val="3"/>
          </w:tcPr>
          <w:p>
            <w:pPr>
              <w:ind w:left="1780"/>
              <w:spacing w:after="0"/>
              <w:rPr>
                <w:sz w:val="20"/>
                <w:szCs w:val="20"/>
                <w:color w:val="auto"/>
              </w:rPr>
            </w:pPr>
            <w:r>
              <w:rPr>
                <w:rFonts w:ascii="Arial" w:cs="Arial" w:eastAsia="Arial" w:hAnsi="Arial"/>
                <w:sz w:val="18"/>
                <w:szCs w:val="18"/>
                <w:color w:val="auto"/>
              </w:rPr>
              <w:t>Director, Marketing</w:t>
            </w:r>
          </w:p>
        </w:tc>
      </w:tr>
      <w:tr>
        <w:trPr>
          <w:trHeight w:val="257"/>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301/998-8265</w:t>
            </w:r>
          </w:p>
        </w:tc>
        <w:tc>
          <w:tcPr>
            <w:tcW w:w="2720" w:type="dxa"/>
            <w:vAlign w:val="bottom"/>
          </w:tcPr>
          <w:p>
            <w:pPr>
              <w:spacing w:after="0"/>
              <w:rPr>
                <w:sz w:val="22"/>
                <w:szCs w:val="22"/>
                <w:color w:val="auto"/>
              </w:rPr>
            </w:pPr>
          </w:p>
        </w:tc>
        <w:tc>
          <w:tcPr>
            <w:tcW w:w="3000" w:type="dxa"/>
            <w:vAlign w:val="bottom"/>
            <w:gridSpan w:val="2"/>
          </w:tcPr>
          <w:p>
            <w:pPr>
              <w:ind w:left="1780"/>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bschmelz@federalrealty.com</w:t>
            </w:r>
          </w:p>
        </w:tc>
        <w:tc>
          <w:tcPr>
            <w:tcW w:w="4100" w:type="dxa"/>
            <w:vAlign w:val="bottom"/>
            <w:gridSpan w:val="3"/>
          </w:tcPr>
          <w:p>
            <w:pPr>
              <w:ind w:left="1780"/>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THIRD QUARTER 2015 OPERATING RESULTS</w:t>
      </w:r>
    </w:p>
    <w:p>
      <w:pPr>
        <w:spacing w:after="0" w:line="279" w:lineRule="exact"/>
        <w:rPr>
          <w:sz w:val="20"/>
          <w:szCs w:val="20"/>
          <w:color w:val="auto"/>
        </w:rPr>
      </w:pPr>
    </w:p>
    <w:p>
      <w:pPr>
        <w:ind w:right="20"/>
        <w:spacing w:after="0" w:line="397" w:lineRule="auto"/>
        <w:rPr>
          <w:sz w:val="20"/>
          <w:szCs w:val="20"/>
          <w:color w:val="auto"/>
        </w:rPr>
      </w:pPr>
      <w:r>
        <w:rPr>
          <w:rFonts w:ascii="Arial" w:cs="Arial" w:eastAsia="Arial" w:hAnsi="Arial"/>
          <w:sz w:val="18"/>
          <w:szCs w:val="18"/>
          <w:b w:val="1"/>
          <w:bCs w:val="1"/>
          <w:color w:val="auto"/>
        </w:rPr>
        <w:t xml:space="preserve">ROCKVILLE, Md. (November 4, 2015) - </w:t>
      </w:r>
      <w:r>
        <w:rPr>
          <w:rFonts w:ascii="Arial" w:cs="Arial" w:eastAsia="Arial" w:hAnsi="Arial"/>
          <w:sz w:val="18"/>
          <w:szCs w:val="18"/>
          <w:color w:val="auto"/>
        </w:rPr>
        <w:t>Federal Realty Investment Trust (NYSE:FRT) today reported operating results for its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2015. Highlights of the quarter and recent activity include:</w:t>
      </w:r>
    </w:p>
    <w:p>
      <w:pPr>
        <w:spacing w:after="0" w:line="26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of $1.36 per diluted share for the quarter, an increase of 10.6% over third quarter 2014.</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478,411 sf of comparable space and achieved cash basis rollover growth on comparable spaces of 19%.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4.2% (or 2.0% when properties under redevelopment are excluded).</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leasing of the first phase of Assembly Row and commenced leasing of Pallas, the 319 unit high rise residential building at Pike &amp; Rose.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preleased 500 Santana Row, a 234,500 sf office building scheduled to deliver in late 2016.</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Subsequent to quarter end, acquired an 85% interest in the Shops at Sunset Place in South Miami based on a total value of $110.2 million.</w:t>
      </w: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Subsequent to quarter end, received bankruptcy court approval to acquire three of our A&amp;P leases totaling 184,000 sf with an average in-place minimum rent of $11.64 psf.</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FFO per diluted share guidance for 2015 to a range of $5.30 to $5.33.</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Provided initial 2016 FFO per diluted share guidance of $5.65 to $5.71.</w:t>
      </w:r>
    </w:p>
    <w:p>
      <w:pPr>
        <w:spacing w:after="0" w:line="200" w:lineRule="exact"/>
        <w:rPr>
          <w:sz w:val="20"/>
          <w:szCs w:val="20"/>
          <w:color w:val="auto"/>
        </w:rPr>
      </w:pPr>
    </w:p>
    <w:p>
      <w:pPr>
        <w:spacing w:after="0" w:line="21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“We are pleased to deliver another record quarter of bottom line results while we continue to invest in the future” commented Donald C. Wood, President and Chief Executive Officer of Federal Realty. “With the value creation we are delivering in our mixed-use developments and the redevelopments of our existing assets, the continued strong leasing rollover in our core portfolio and the acquisitions of leases and assets that present compelling value creation opportunities, we are well under way to achieving our long term plan.”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In the third quarter 2015, Federal Realty generated funds from operations available for common shareholders (FFO) of $95.2 million, or $1.36 per diluted share. This compares to FFO of $84.5 million, or $1.23 per diluted share, in third quarter 2014. For the nine months ended September 30, 2015, FFO was $256.4 million, or $3.68 per diluted share, compared to $249.9 million, or $3.66 per diluted share for the same nine month period in 2014. Excluding early extinguishment of debt, for the nine months ended September 30, 2015, Federal Realty reported FFO of $275.4 million, or $3.95 per diluted share.</w:t>
      </w:r>
    </w:p>
    <w:p>
      <w:pPr>
        <w:spacing w:after="0" w:line="29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$52.3 million and earnings per diluted share was $0.75 for third quarter 2015, versus $46.9 million and $0.69, respectively, for third quarter 2014. Year-to-date, Federal Realty reported net income available for common shareholders of $141.9 million and earnings per diluted share of $2.05. This compares to net income available for common shareholders of $129.0 million and earnings per diluted share of $1.91 for the nine months ended September 30, 2014.</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third quarter 2015, same-center property operating income increased 4.2% over the prior year when including properties that are being redeveloped and 2.0% when excluding those properties.</w:t>
      </w:r>
    </w:p>
    <w:p>
      <w:pPr>
        <w:spacing w:after="0" w:line="292"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95.5% leased as of September 30, 2015, compared to 95.7% on June 30, 2015 and 95.6% on September 30, 2014. Federal Realty’s same center portfolio was 96.0% leased on September 30, 2015, compared to 96.2% leased on June 30, 2015 and 96.3% on September 30, 2014.</w:t>
      </w:r>
    </w:p>
    <w:p>
      <w:pPr>
        <w:spacing w:after="0" w:line="298"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During third quarter 2015, Federal Realty signed 95 leases for 560,884 square feet of retail space. On a comparable space basis (i.e., spaces for which there was a former tenant), Federal Realty leased 478,411 square feet at an average cash basis contractual rent increase per square foot (i.e., excluding the impact of straight-line rents) of 19%. The average contractual rent on this comparable space for the first year of the new leases is $26.98 per square foot compared to the average contractual rent of $22.69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33% for third quarter 2015. As of September 30, 2015, Federal Realty’s average contractual, cash basis minimum rent for retail and commercial space in its portfolio was $26.01 per square foot.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5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$0.94 per share, resulting in an indicated annual rate of $3.76 per share. The regular common dividend will be payable on January 15, 2016 to common shareholders of record as of January 4,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August 3, 2015 - Federal Realty repaid at par $147 million of mortgage loans due November 2015, with an average interest rate of 7.9%.</w:t>
      </w:r>
    </w:p>
    <w:p>
      <w:pPr>
        <w:jc w:val="both"/>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September 8, 2015 - Federal Realty announced that Splunk Inc. (NASDAQ: SPLK) executed a long-term lease for 100% of the Trust's 500 Santana Row, a 234,500 square foot, Class-A office building under construction at Santana Row on Winchester Boulevard and Olsen Drive.</w:t>
      </w:r>
    </w:p>
    <w:p>
      <w:pPr>
        <w:ind w:left="66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September 28, 2015 - Federal Realty closed on the public offering of $250 million aggregate principal amount of 2.55% senior unsecured notes due January 15, 2021. The notes were offered at 99.771% of the principal amount with a yield to maturity of 2.597%.</w:t>
      </w:r>
    </w:p>
    <w:p>
      <w:pPr>
        <w:jc w:val="both"/>
        <w:ind w:left="660" w:hanging="328"/>
        <w:spacing w:after="0" w:line="36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October 1, 2015 - Federal Realty acquired an 85% interest in The Shops at Sunset Place, a 515,000-square-foot mixed-use center in South Miami, Florida, based on a gross value of $110.2 million. The transaction includes the assumption of an existing $70.8 million mortgage with an interest rate of 5.6 percent and maturity date of September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increased its guidance for 2015 FFO per diluted share excluding early extinguishment of debt to a range of $5.30 to $5.33 and 2015 earnings per diluted share guidance to a range of $2.79 to $2.82. In addition, Federal Realty provided initial 2016 FFO per diluted share guidance of $5.65 to $5.71 and 2016 earnings per diluted share guidance of $3.12 to $3.18.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third quarter 2015 earnings conference call, which is scheduled for November 5, 2015, at 11 a.m. Eastern Standard Time. To participate, please call (877) 445-3230 five to ten minutes prior to the call start time and use the passcode 63994089 (required). Federal Realty will also provide an online webcast on the Company’s web site, </w:t>
      </w:r>
      <w:r>
        <w:rPr>
          <w:rFonts w:ascii="Arial" w:cs="Arial" w:eastAsia="Arial" w:hAnsi="Arial"/>
          <w:sz w:val="18"/>
          <w:szCs w:val="18"/>
          <w:u w:val="single" w:color="auto"/>
          <w:color w:val="0000FF"/>
        </w:rPr>
        <w:t>http://www.federalrealty.com</w:t>
      </w:r>
      <w:r>
        <w:rPr>
          <w:rFonts w:ascii="Arial" w:cs="Arial" w:eastAsia="Arial" w:hAnsi="Arial"/>
          <w:sz w:val="18"/>
          <w:szCs w:val="18"/>
          <w:color w:val="auto"/>
        </w:rPr>
        <w:t>, which will remain available for 30 days following the call. A telephone recording of the call will also be available through November 12, 2015, by dialing (855) 859-2056 and using the passcode 63994089.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ind w:right="80"/>
        <w:spacing w:after="0" w:line="365"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74"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90 properties include over 2,700 tenants, in approximately 21 million square feet, and over 1500 residential units.</w:t>
      </w:r>
    </w:p>
    <w:p>
      <w:pPr>
        <w:spacing w:after="0" w:line="29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 xml:space="preserve">Federal Realty has paid quarterly dividends to its shareholders continuously since its founding in 1962, and has increased its dividend rate for 48 consecutive years, the longest record in the REIT industry. Federal Realty shares are traded on the NYSE under the symbol FRT. For additional information about Federal Realty and its properties, visit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2015, and include the following:</w:t>
      </w:r>
    </w:p>
    <w:p>
      <w:pPr>
        <w:spacing w:after="0" w:line="125" w:lineRule="exact"/>
        <w:rPr>
          <w:sz w:val="20"/>
          <w:szCs w:val="20"/>
          <w:color w:val="auto"/>
        </w:rPr>
      </w:pPr>
    </w:p>
    <w:p>
      <w:pPr>
        <w:ind w:left="660" w:hanging="328"/>
        <w:spacing w:after="0" w:line="252"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660" w:right="2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ind w:left="66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jc w:val="both"/>
        <w:ind w:left="66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color w:val="auto"/>
        </w:rPr>
      </w:pPr>
    </w:p>
    <w:p>
      <w:pPr>
        <w:jc w:val="both"/>
        <w:ind w:left="660" w:right="2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4"/>
          <w:szCs w:val="14"/>
          <w:color w:val="auto"/>
        </w:rPr>
      </w:pPr>
    </w:p>
    <w:p>
      <w:pPr>
        <w:jc w:val="both"/>
        <w:ind w:left="660" w:right="20" w:hanging="328"/>
        <w:spacing w:after="0" w:line="250"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62"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44"/>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6"/>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181,562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166,112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538,612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494,688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3,678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170,938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551,505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509,713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108,501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100,443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21,804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20,374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62,865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58,238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43,718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42,660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128,373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127,403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103,316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327,265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310,286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75,917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67,622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224,240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199,427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(69,346)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(69,772)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909</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136,917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130,609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11,509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4,401</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148,426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135,010</w:t>
            </w: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142,265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52,311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46,939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141,859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128,967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r>
      <w:tr>
        <w:trPr>
          <w:trHeight w:val="237"/>
        </w:trPr>
        <w:tc>
          <w:tcPr>
            <w:tcW w:w="6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w:t>
            </w: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170"/>
        </w:trPr>
        <w:tc>
          <w:tcPr>
            <w:tcW w:w="6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30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69,006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67,559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68,637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67,095</w:t>
            </w:r>
          </w:p>
        </w:tc>
      </w:tr>
      <w:tr>
        <w:trPr>
          <w:trHeight w:val="257"/>
        </w:trPr>
        <w:tc>
          <w:tcPr>
            <w:tcW w:w="6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0.07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69,181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67,732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68,821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67,261</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$365,318 and $282,303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5,423,981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5,128,757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492,865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480,241</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5,916,846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$32,566 and $26,618 of consolidated variable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(1,546,176)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4,370,670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4,141,948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112,267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41,329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4,783,803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$178,811 and $187,632 of consolidated variable interest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498,498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635,345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290,519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1,744,120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1,483,813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352,231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325,584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2,885,056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2,735,261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Preferred shares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1,655,707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1,594,404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1,665,704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1,604,401</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111,871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88,155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1,777,575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1,692,556</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4,783,803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thousands, except per share data)</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20" w:type="dxa"/>
            <w:vAlign w:val="bottom"/>
            <w:shd w:val="clear" w:color="auto" w:fill="CCEEFF"/>
          </w:tcPr>
          <w:p>
            <w:pPr>
              <w:spacing w:after="0"/>
              <w:rPr>
                <w:sz w:val="22"/>
                <w:szCs w:val="22"/>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54,550</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49,049</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148,426</w:t>
            </w: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w w:val="89"/>
              </w:rPr>
              <w:t>135,010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(5,637)</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(11,509)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(4,401)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112,595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114,012</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10,805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8,971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1,202</w:t>
            </w:r>
          </w:p>
        </w:tc>
      </w:tr>
      <w:tr>
        <w:trPr>
          <w:trHeight w:val="237"/>
        </w:trPr>
        <w:tc>
          <w:tcPr>
            <w:tcW w:w="20" w:type="dxa"/>
            <w:vAlign w:val="bottom"/>
          </w:tcPr>
          <w:p>
            <w:pPr>
              <w:spacing w:after="0"/>
              <w:rPr>
                <w:sz w:val="20"/>
                <w:szCs w:val="20"/>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94,739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84,183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255,174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89"/>
              </w:rPr>
              <w:t>249,157</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(406)</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2,229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(1,128)</w:t>
            </w:r>
          </w:p>
        </w:tc>
      </w:tr>
      <w:tr>
        <w:trPr>
          <w:trHeight w:val="237"/>
        </w:trPr>
        <w:tc>
          <w:tcPr>
            <w:tcW w:w="20" w:type="dxa"/>
            <w:vAlign w:val="bottom"/>
          </w:tcPr>
          <w:p>
            <w:pPr>
              <w:spacing w:after="0"/>
              <w:rPr>
                <w:sz w:val="20"/>
                <w:szCs w:val="20"/>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95,157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84,467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256,389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89"/>
              </w:rPr>
              <w:t>249,852</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19,006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97"/>
        </w:trPr>
        <w:tc>
          <w:tcPr>
            <w:tcW w:w="62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FFO excluding early extinguishment of debt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95,157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84,467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275,395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89"/>
              </w:rPr>
              <w:t>249,852</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70,115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68,649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69,761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68,179</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3.66</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6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FFO excluding early extinguishment of debt, per diluted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3.66</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378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51,847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180,475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222,558</w:t>
            </w:r>
          </w:p>
        </w:tc>
      </w:tr>
      <w:tr>
        <w:trPr>
          <w:trHeight w:val="243"/>
        </w:trPr>
        <w:tc>
          <w:tcPr>
            <w:tcW w:w="20" w:type="dxa"/>
            <w:vAlign w:val="bottom"/>
          </w:tcPr>
          <w:p>
            <w:pPr>
              <w:spacing w:after="0"/>
              <w:rPr>
                <w:sz w:val="21"/>
                <w:szCs w:val="21"/>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7,353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15,729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21,576</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196,204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244,134</w:t>
            </w:r>
          </w:p>
        </w:tc>
      </w:tr>
      <w:tr>
        <w:trPr>
          <w:trHeight w:val="243"/>
        </w:trPr>
        <w:tc>
          <w:tcPr>
            <w:tcW w:w="20" w:type="dxa"/>
            <w:vAlign w:val="bottom"/>
          </w:tcPr>
          <w:p>
            <w:pPr>
              <w:spacing w:after="0"/>
              <w:rPr>
                <w:sz w:val="21"/>
                <w:szCs w:val="21"/>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9,309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9,527</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61,010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81,995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205,513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89"/>
              </w:rPr>
              <w:t>253,661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414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65,276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59,268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185,071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w w:val="89"/>
              </w:rPr>
              <w:t>164,506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2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7"/>
              </w:rPr>
              <w:t>Dividend payout ratio as a percentage of FFO excluding early extinguishment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2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70,383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69,046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136.45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118.46</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9,603,760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8,179,189</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9,613,760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8,189,189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2,532,825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2,364,936</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12,146,585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0"/>
              </w:rPr>
              <w:t>10,554,125</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6"/>
                <w:szCs w:val="16"/>
                <w:color w:val="auto"/>
              </w:rPr>
              <w:t>&lt;1%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934,405 and 917,255 operating partnership units outstanding at September 30, 2015 and 2014,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360" w:hanging="652"/>
        <w:spacing w:after="0" w:line="286"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$10.3 million at September 30, 2015 and 2014, which is the Trust's 30% share of the total mortgages payable of $34.4 million at September 30, 2015 and 2014 of the partnership with a discretionary fund created and advised by ING Clarion Partners.</w:t>
      </w:r>
    </w:p>
    <w:p>
      <w:pPr>
        <w:spacing w:after="0" w:line="4" w:lineRule="exact"/>
        <w:rPr>
          <w:rFonts w:ascii="Arial" w:cs="Arial" w:eastAsia="Arial" w:hAnsi="Arial"/>
          <w:sz w:val="15"/>
          <w:szCs w:val="15"/>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18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127,564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118,412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377,565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351,317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36,272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32,842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110,694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102,459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8,387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181,562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166,112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538,612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494,688</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2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$1.9 million and $1.3 million for the three months ended September 30, 2015 and 2014, respectively, and $5.0 million and $3.5 million for the nine months ended September 30, 2015 and 2014, respectively, to recognize minimum rents on a straight-line basis. In addition, minimum rents include $0.6 million for both the three months ended September 30, 2015 and 2014, respectively, and $1.9 million and $1.8 million for the nine months ended September 30, 2015 and 2014,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As of September 30, 2015</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Stated interest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3"/>
              </w:rPr>
              <w:t>Balance</w:t>
            </w:r>
          </w:p>
        </w:tc>
        <w:tc>
          <w:tcPr>
            <w:tcW w:w="34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60" w:type="dxa"/>
            <w:vAlign w:val="bottom"/>
            <w:tcBorders>
              <w:bottom w:val="single" w:sz="8" w:color="CCEEFF"/>
            </w:tcBorders>
            <w:gridSpan w:val="3"/>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San Antonio Center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Plaza El Segundo</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8/5/2017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43,802</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The Grove at Shrewsbury (West)</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3/1/2018</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11,080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21,823</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29th Place</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4,801</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74,720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Chelsea</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6,920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420,512</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6,359</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426,871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4.50%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Term loan (3)</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5,807</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Escondido (Municipal bonds) (4)</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Revolving credit facility (5)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290,207</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2.95%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Senior notes and debentures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5.90%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2.55%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3.00%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3.95%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6.82% medium term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1,744,200</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Net unamortized discount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1,744,120</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3.98%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Capital lease obligations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71,627</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2,532,825</w:t>
            </w:r>
          </w:p>
        </w:tc>
        <w:tc>
          <w:tcPr>
            <w:tcW w:w="3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2,523,425</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4.07%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variable rate debt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&lt;1%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1.32%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44"/>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2,532,825</w:t>
            </w:r>
          </w:p>
        </w:tc>
        <w:tc>
          <w:tcPr>
            <w:tcW w:w="3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4.06%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100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7" w:right="239" w:bottom="1000" w:gutter="0" w:footer="0" w:header="0"/>
          <w:type w:val="continuous"/>
        </w:sectPr>
      </w:pPr>
    </w:p>
    <w:bookmarkStart w:id="15" w:name="page16"/>
    <w:bookmarkEnd w:id="15"/>
    <w:p>
      <w:pPr>
        <w:jc w:val="center"/>
        <w:ind w:left="794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1183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9" w:lineRule="exact"/>
        <w:rPr>
          <w:sz w:val="20"/>
          <w:szCs w:val="20"/>
          <w:color w:val="auto"/>
        </w:rPr>
      </w:pPr>
    </w:p>
    <w:p>
      <w:pPr>
        <w:ind w:left="8000"/>
        <w:spacing w:after="0"/>
        <w:tabs>
          <w:tab w:leader="none" w:pos="89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3"/>
          <w:szCs w:val="13"/>
          <w:b w:val="1"/>
          <w:bCs w:val="1"/>
          <w:color w:val="auto"/>
        </w:rPr>
        <w:t>Nine Months Ended</w:t>
      </w:r>
    </w:p>
    <w:p>
      <w:pPr>
        <w:spacing w:after="0" w:line="12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23495</wp:posOffset>
            </wp:positionV>
            <wp:extent cx="1132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9"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5" w:lineRule="exact"/>
        <w:rPr>
          <w:sz w:val="20"/>
          <w:szCs w:val="20"/>
          <w:color w:val="auto"/>
        </w:rPr>
      </w:pPr>
    </w:p>
    <w:p>
      <w:pPr>
        <w:sectPr>
          <w:pgSz w:w="11900" w:h="16838" w:orient="portrait"/>
          <w:cols w:equalWidth="0" w:num="2">
            <w:col w:w="9260" w:space="660"/>
            <w:col w:w="1500"/>
          </w:cols>
          <w:pgMar w:left="240" w:top="806" w:right="239" w:bottom="1440" w:gutter="0" w:footer="0" w:header="0"/>
        </w:sectPr>
      </w:pPr>
    </w:p>
    <w:tbl>
      <w:tblPr>
        <w:tblLayout w:type="fixed"/>
        <w:tblInd w:w="20" w:type="dxa"/>
        <w:tblCellMar>
          <w:top w:w="0" w:type="dxa"/>
          <w:left w:w="0" w:type="dxa"/>
          <w:bottom w:w="0" w:type="dxa"/>
          <w:right w:w="0" w:type="dxa"/>
        </w:tblCellMar>
      </w:tblPr>
      <w:tr>
        <w:trPr>
          <w:trHeight w:val="256"/>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62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37"/>
        </w:trPr>
        <w:tc>
          <w:tcPr>
            <w:tcW w:w="7640" w:type="dxa"/>
            <w:vAlign w:val="bottom"/>
            <w:gridSpan w:val="3"/>
          </w:tcPr>
          <w:p>
            <w:pPr>
              <w:ind w:left="20"/>
              <w:spacing w:after="0"/>
              <w:rPr>
                <w:sz w:val="20"/>
                <w:szCs w:val="20"/>
                <w:color w:val="auto"/>
              </w:rPr>
            </w:pPr>
            <w:r>
              <w:rPr>
                <w:rFonts w:ascii="Arial" w:cs="Arial" w:eastAsia="Arial" w:hAnsi="Arial"/>
                <w:sz w:val="16"/>
                <w:szCs w:val="16"/>
                <w:color w:val="auto"/>
              </w:rPr>
              <w:t>Excluding early extinguishment of debt:</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(8)(9)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237"/>
        </w:trPr>
        <w:tc>
          <w:tcPr>
            <w:tcW w:w="20" w:type="dxa"/>
            <w:vAlign w:val="bottom"/>
          </w:tcPr>
          <w:p>
            <w:pPr>
              <w:spacing w:after="0"/>
              <w:rPr>
                <w:sz w:val="20"/>
                <w:szCs w:val="20"/>
                <w:color w:val="auto"/>
              </w:rPr>
            </w:pPr>
          </w:p>
        </w:tc>
        <w:tc>
          <w:tcPr>
            <w:tcW w:w="7620" w:type="dxa"/>
            <w:vAlign w:val="bottom"/>
            <w:gridSpan w:val="2"/>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(8)(9)</w:t>
            </w:r>
          </w:p>
        </w:tc>
        <w:tc>
          <w:tcPr>
            <w:tcW w:w="660" w:type="dxa"/>
            <w:vAlign w:val="bottom"/>
          </w:tcPr>
          <w:p>
            <w:pPr>
              <w:jc w:val="right"/>
              <w:spacing w:after="0"/>
              <w:rPr>
                <w:sz w:val="20"/>
                <w:szCs w:val="20"/>
                <w:color w:val="auto"/>
              </w:rPr>
            </w:pPr>
            <w:r>
              <w:rPr>
                <w:rFonts w:ascii="Arial" w:cs="Arial" w:eastAsia="Arial" w:hAnsi="Arial"/>
                <w:sz w:val="16"/>
                <w:szCs w:val="16"/>
                <w:color w:val="auto"/>
              </w:rPr>
              <w:t>4.51</w:t>
            </w:r>
          </w:p>
        </w:tc>
        <w:tc>
          <w:tcPr>
            <w:tcW w:w="360" w:type="dxa"/>
            <w:vAlign w:val="bottom"/>
          </w:tcPr>
          <w:p>
            <w:pPr>
              <w:ind w:left="6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3.86</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4.18</w:t>
            </w:r>
          </w:p>
        </w:tc>
        <w:tc>
          <w:tcPr>
            <w:tcW w:w="340" w:type="dxa"/>
            <w:vAlign w:val="bottom"/>
          </w:tcPr>
          <w:p>
            <w:pPr>
              <w:ind w:left="8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3.78</w:t>
            </w:r>
          </w:p>
        </w:tc>
        <w:tc>
          <w:tcPr>
            <w:tcW w:w="26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Including early extinguishment of debt:</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620" w:type="dxa"/>
            <w:vAlign w:val="bottom"/>
            <w:gridSpan w:val="2"/>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(8)</w:t>
            </w:r>
          </w:p>
        </w:tc>
        <w:tc>
          <w:tcPr>
            <w:tcW w:w="660" w:type="dxa"/>
            <w:vAlign w:val="bottom"/>
          </w:tcPr>
          <w:p>
            <w:pPr>
              <w:jc w:val="right"/>
              <w:spacing w:after="0"/>
              <w:rPr>
                <w:sz w:val="20"/>
                <w:szCs w:val="20"/>
                <w:color w:val="auto"/>
              </w:rPr>
            </w:pPr>
            <w:r>
              <w:rPr>
                <w:rFonts w:ascii="Arial" w:cs="Arial" w:eastAsia="Arial" w:hAnsi="Arial"/>
                <w:sz w:val="16"/>
                <w:szCs w:val="16"/>
                <w:color w:val="auto"/>
              </w:rPr>
              <w:t>4.51</w:t>
            </w:r>
          </w:p>
        </w:tc>
        <w:tc>
          <w:tcPr>
            <w:tcW w:w="360" w:type="dxa"/>
            <w:vAlign w:val="bottom"/>
          </w:tcPr>
          <w:p>
            <w:pPr>
              <w:ind w:left="6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4.02</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3.52</w:t>
            </w:r>
          </w:p>
        </w:tc>
        <w:tc>
          <w:tcPr>
            <w:tcW w:w="340" w:type="dxa"/>
            <w:vAlign w:val="bottom"/>
          </w:tcPr>
          <w:p>
            <w:pPr>
              <w:ind w:left="8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3.83</w:t>
            </w:r>
          </w:p>
        </w:tc>
        <w:tc>
          <w:tcPr>
            <w:tcW w:w="26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Mortgages payable do not include our 30% share ($10.3 million) of the $34.4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November 2, 2015, this mortgage loan was repaid at par.</w:t>
      </w:r>
    </w:p>
    <w:p>
      <w:pPr>
        <w:spacing w:after="0" w:line="55" w:lineRule="exact"/>
        <w:rPr>
          <w:rFonts w:ascii="Arial" w:cs="Arial" w:eastAsia="Arial" w:hAnsi="Arial"/>
          <w:sz w:val="14"/>
          <w:szCs w:val="14"/>
          <w:color w:val="auto"/>
        </w:rPr>
      </w:pPr>
    </w:p>
    <w:p>
      <w:pPr>
        <w:ind w:left="660" w:right="1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1" w:lineRule="exact"/>
        <w:rPr>
          <w:rFonts w:ascii="Arial" w:cs="Arial" w:eastAsia="Arial" w:hAnsi="Arial"/>
          <w:sz w:val="14"/>
          <w:szCs w:val="14"/>
          <w:color w:val="auto"/>
        </w:rPr>
      </w:pPr>
    </w:p>
    <w:p>
      <w:pPr>
        <w:ind w:left="660" w:right="18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and nine months ended September 30, 2015 was $324.0 million, and the weighted average interest rate on borrowings under our revolving credit facility, before amortization of debt fees, was 1.1% for the three and nine months ended September 30, 2015.</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7.</w:t>
      </w:r>
    </w:p>
    <w:p>
      <w:pPr>
        <w:spacing w:after="0" w:line="55" w:lineRule="exact"/>
        <w:rPr>
          <w:rFonts w:ascii="Arial" w:cs="Arial" w:eastAsia="Arial" w:hAnsi="Arial"/>
          <w:sz w:val="14"/>
          <w:szCs w:val="14"/>
          <w:color w:val="auto"/>
        </w:rPr>
      </w:pPr>
    </w:p>
    <w:p>
      <w:pPr>
        <w:jc w:val="both"/>
        <w:ind w:left="660" w:right="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September 30, 2015. In addition, the weighted average effective interest rate is calculated using the fixed rate on our term loan of 2.62% as the result of the interest rate swap agreements discussed in Note 3. The term loan is included in fixed rate debt.</w:t>
      </w:r>
    </w:p>
    <w:p>
      <w:pPr>
        <w:spacing w:after="0" w:line="23" w:lineRule="exact"/>
        <w:rPr>
          <w:rFonts w:ascii="Arial" w:cs="Arial" w:eastAsia="Arial" w:hAnsi="Arial"/>
          <w:sz w:val="14"/>
          <w:szCs w:val="14"/>
          <w:color w:val="auto"/>
        </w:rPr>
      </w:pPr>
    </w:p>
    <w:p>
      <w:pPr>
        <w:jc w:val="both"/>
        <w:ind w:left="660" w:right="240" w:hanging="652"/>
        <w:spacing w:after="0" w:line="286"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Fixed charges consist of interest on borrowed funds (including capitalized interest), amortization of debt discount/premium and debt costs, costs related to the early extinguishment of debt, and the portion of rent expense representing an interest factor. EBITDA includes a gain on sale of real estate of $11.5 million for the nine months ended September 30, 2015, and $4.4 million for the three and nine months ended September 30, 2014. Adjusted EBITDA is reconciled to net income in the Glossary of Terms.</w:t>
      </w:r>
    </w:p>
    <w:p>
      <w:pPr>
        <w:spacing w:after="0" w:line="5" w:lineRule="exact"/>
        <w:rPr>
          <w:rFonts w:ascii="Arial" w:cs="Arial" w:eastAsia="Arial" w:hAnsi="Arial"/>
          <w:sz w:val="13"/>
          <w:szCs w:val="13"/>
          <w:color w:val="auto"/>
        </w:rPr>
      </w:pPr>
    </w:p>
    <w:p>
      <w:pPr>
        <w:ind w:left="660" w:right="1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for the nine months ended September 30, 2015 exclude the $19.2 million early extinguishment of debt charge related to the make-whole premium paid as part of the early redemption of the 6.20% senior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18,096</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19,110</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4,210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9,400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13,610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4,191</w:t>
            </w: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216,732</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220,923</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3,361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285,502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288,863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21.4%</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3,168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153,168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28.4%</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253,625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256,716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366,323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367,539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53.2%</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2023</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330,010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2024</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301,052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78.2%</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20,253</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530,700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550,953</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45,998</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2,480,548</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2,526,546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2015 maturities include a mortgage loan which was repaid at par on November 2, 2015, prior to its original maturity date.</w:t>
      </w:r>
    </w:p>
    <w:p>
      <w:pPr>
        <w:spacing w:after="0" w:line="59"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September 30, 2015, there was no balance outstanding on our revolving credit facility.</w:t>
      </w:r>
    </w:p>
    <w:p>
      <w:pPr>
        <w:spacing w:after="0" w:line="10"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 or discount on certain mortgage loans and senior notes as of September 30, 2015.</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2015</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6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Property</w:t>
            </w:r>
          </w:p>
        </w:tc>
        <w:tc>
          <w:tcPr>
            <w:tcW w:w="14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Location</w:t>
            </w:r>
          </w:p>
        </w:tc>
        <w:tc>
          <w:tcPr>
            <w:tcW w:w="48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6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2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1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 Lot 11</w:t>
            </w:r>
          </w:p>
        </w:tc>
        <w:tc>
          <w:tcPr>
            <w:tcW w:w="1440" w:type="dxa"/>
            <w:vAlign w:val="bottom"/>
            <w:shd w:val="clear" w:color="auto" w:fill="CCEEFF"/>
          </w:tcPr>
          <w:p>
            <w:pPr>
              <w:ind w:left="340"/>
              <w:spacing w:after="0" w:line="157" w:lineRule="exact"/>
              <w:rPr>
                <w:sz w:val="20"/>
                <w:szCs w:val="20"/>
                <w:color w:val="auto"/>
              </w:rPr>
            </w:pPr>
            <w:r>
              <w:rPr>
                <w:rFonts w:ascii="Arial" w:cs="Arial" w:eastAsia="Arial" w:hAnsi="Arial"/>
                <w:sz w:val="14"/>
                <w:szCs w:val="14"/>
                <w:color w:val="auto"/>
              </w:rPr>
              <w:t>San Jose, CA</w:t>
            </w:r>
          </w:p>
        </w:tc>
        <w:tc>
          <w:tcPr>
            <w:tcW w:w="48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Addition of 6-story building with 234,500 square feet of office space and 670</w:t>
            </w:r>
          </w:p>
        </w:tc>
        <w:tc>
          <w:tcPr>
            <w:tcW w:w="86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8% - 8.5%</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$110 -</w:t>
            </w:r>
          </w:p>
        </w:tc>
        <w:tc>
          <w:tcPr>
            <w:tcW w:w="82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$37</w:t>
            </w:r>
          </w:p>
        </w:tc>
        <w:tc>
          <w:tcPr>
            <w:tcW w:w="9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parking spaces</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40" w:type="dxa"/>
            <w:vAlign w:val="bottom"/>
          </w:tcPr>
          <w:p>
            <w:pPr>
              <w:ind w:left="40"/>
              <w:spacing w:after="0"/>
              <w:rPr>
                <w:sz w:val="20"/>
                <w:szCs w:val="20"/>
                <w:color w:val="auto"/>
              </w:rPr>
            </w:pPr>
            <w:r>
              <w:rPr>
                <w:rFonts w:ascii="Arial" w:cs="Arial" w:eastAsia="Arial" w:hAnsi="Arial"/>
                <w:sz w:val="14"/>
                <w:szCs w:val="14"/>
                <w:color w:val="auto"/>
              </w:rPr>
              <w:t>The Point</w:t>
            </w:r>
          </w:p>
        </w:tc>
        <w:tc>
          <w:tcPr>
            <w:tcW w:w="1440" w:type="dxa"/>
            <w:vAlign w:val="bottom"/>
          </w:tcPr>
          <w:p>
            <w:pPr>
              <w:ind w:left="340"/>
              <w:spacing w:after="0"/>
              <w:rPr>
                <w:sz w:val="20"/>
                <w:szCs w:val="20"/>
                <w:color w:val="auto"/>
              </w:rPr>
            </w:pPr>
            <w:r>
              <w:rPr>
                <w:rFonts w:ascii="Arial" w:cs="Arial" w:eastAsia="Arial" w:hAnsi="Arial"/>
                <w:sz w:val="14"/>
                <w:szCs w:val="14"/>
                <w:color w:val="auto"/>
              </w:rPr>
              <w:t>El Segundo, CA</w:t>
            </w:r>
          </w:p>
        </w:tc>
        <w:tc>
          <w:tcPr>
            <w:tcW w:w="4880" w:type="dxa"/>
            <w:vAlign w:val="bottom"/>
          </w:tcPr>
          <w:p>
            <w:pPr>
              <w:ind w:left="40"/>
              <w:spacing w:after="0"/>
              <w:rPr>
                <w:sz w:val="20"/>
                <w:szCs w:val="20"/>
                <w:color w:val="auto"/>
              </w:rPr>
            </w:pPr>
            <w:r>
              <w:rPr>
                <w:rFonts w:ascii="Arial" w:cs="Arial" w:eastAsia="Arial" w:hAnsi="Arial"/>
                <w:sz w:val="14"/>
                <w:szCs w:val="14"/>
                <w:color w:val="auto"/>
              </w:rPr>
              <w:t>Addition of 90,000 square feet of retail and 25,000 square feet of office space</w:t>
            </w: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6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Center</w:t>
            </w:r>
          </w:p>
        </w:tc>
        <w:tc>
          <w:tcPr>
            <w:tcW w:w="1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San Jose, CA</w:t>
            </w:r>
          </w:p>
        </w:tc>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80"/>
        </w:trPr>
        <w:tc>
          <w:tcPr>
            <w:tcW w:w="16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40" w:type="dxa"/>
            <w:vAlign w:val="bottom"/>
          </w:tcPr>
          <w:p>
            <w:pPr>
              <w:ind w:left="40"/>
              <w:spacing w:after="0"/>
              <w:rPr>
                <w:sz w:val="20"/>
                <w:szCs w:val="20"/>
                <w:color w:val="auto"/>
              </w:rPr>
            </w:pPr>
            <w:r>
              <w:rPr>
                <w:rFonts w:ascii="Arial" w:cs="Arial" w:eastAsia="Arial" w:hAnsi="Arial"/>
                <w:sz w:val="14"/>
                <w:szCs w:val="14"/>
                <w:color w:val="auto"/>
              </w:rPr>
              <w:t>Tower Shops</w:t>
            </w:r>
          </w:p>
        </w:tc>
        <w:tc>
          <w:tcPr>
            <w:tcW w:w="1440" w:type="dxa"/>
            <w:vAlign w:val="bottom"/>
          </w:tcPr>
          <w:p>
            <w:pPr>
              <w:ind w:left="340"/>
              <w:spacing w:after="0"/>
              <w:rPr>
                <w:sz w:val="20"/>
                <w:szCs w:val="20"/>
                <w:color w:val="auto"/>
              </w:rPr>
            </w:pPr>
            <w:r>
              <w:rPr>
                <w:rFonts w:ascii="Arial" w:cs="Arial" w:eastAsia="Arial" w:hAnsi="Arial"/>
                <w:sz w:val="14"/>
                <w:szCs w:val="14"/>
                <w:color w:val="auto"/>
              </w:rPr>
              <w:t>Davie, FL</w:t>
            </w:r>
          </w:p>
        </w:tc>
        <w:tc>
          <w:tcPr>
            <w:tcW w:w="4880" w:type="dxa"/>
            <w:vAlign w:val="bottom"/>
          </w:tcPr>
          <w:p>
            <w:pPr>
              <w:ind w:left="40"/>
              <w:spacing w:after="0"/>
              <w:rPr>
                <w:sz w:val="20"/>
                <w:szCs w:val="20"/>
                <w:color w:val="auto"/>
              </w:rPr>
            </w:pPr>
            <w:r>
              <w:rPr>
                <w:rFonts w:ascii="Arial" w:cs="Arial" w:eastAsia="Arial" w:hAnsi="Arial"/>
                <w:sz w:val="14"/>
                <w:szCs w:val="14"/>
                <w:color w:val="auto"/>
              </w:rPr>
              <w:t>Addition of 50,000 square foot pad building</w:t>
            </w: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6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Congressional Plaza</w:t>
            </w:r>
          </w:p>
        </w:tc>
        <w:tc>
          <w:tcPr>
            <w:tcW w:w="14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Rockville, MD</w:t>
            </w:r>
          </w:p>
        </w:tc>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48 unit rental apartment building</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6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640" w:type="dxa"/>
            <w:vAlign w:val="bottom"/>
          </w:tcPr>
          <w:p>
            <w:pPr>
              <w:ind w:left="40"/>
              <w:spacing w:after="0" w:line="157" w:lineRule="exact"/>
              <w:rPr>
                <w:sz w:val="20"/>
                <w:szCs w:val="20"/>
                <w:color w:val="auto"/>
              </w:rPr>
            </w:pPr>
            <w:r>
              <w:rPr>
                <w:rFonts w:ascii="Arial" w:cs="Arial" w:eastAsia="Arial" w:hAnsi="Arial"/>
                <w:sz w:val="14"/>
                <w:szCs w:val="14"/>
                <w:color w:val="auto"/>
              </w:rPr>
              <w:t>Willow Lawn</w:t>
            </w:r>
          </w:p>
        </w:tc>
        <w:tc>
          <w:tcPr>
            <w:tcW w:w="1440" w:type="dxa"/>
            <w:vAlign w:val="bottom"/>
          </w:tcPr>
          <w:p>
            <w:pPr>
              <w:ind w:left="340"/>
              <w:spacing w:after="0" w:line="157" w:lineRule="exact"/>
              <w:rPr>
                <w:sz w:val="20"/>
                <w:szCs w:val="20"/>
                <w:color w:val="auto"/>
              </w:rPr>
            </w:pPr>
            <w:r>
              <w:rPr>
                <w:rFonts w:ascii="Arial" w:cs="Arial" w:eastAsia="Arial" w:hAnsi="Arial"/>
                <w:sz w:val="14"/>
                <w:szCs w:val="14"/>
                <w:color w:val="auto"/>
              </w:rPr>
              <w:t>Richmond, VA</w:t>
            </w:r>
          </w:p>
        </w:tc>
        <w:tc>
          <w:tcPr>
            <w:tcW w:w="4880" w:type="dxa"/>
            <w:vAlign w:val="bottom"/>
          </w:tcPr>
          <w:p>
            <w:pPr>
              <w:ind w:left="40"/>
              <w:spacing w:after="0" w:line="157" w:lineRule="exact"/>
              <w:rPr>
                <w:sz w:val="20"/>
                <w:szCs w:val="20"/>
                <w:color w:val="auto"/>
              </w:rPr>
            </w:pPr>
            <w:r>
              <w:rPr>
                <w:rFonts w:ascii="Arial" w:cs="Arial" w:eastAsia="Arial" w:hAnsi="Arial"/>
                <w:sz w:val="14"/>
                <w:szCs w:val="14"/>
                <w:color w:val="auto"/>
                <w:w w:val="99"/>
              </w:rPr>
              <w:t>Demo interior mall, relocate mall tenants, construct new exterior GLA, and gas</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w:t>
            </w:r>
          </w:p>
        </w:tc>
        <w:tc>
          <w:tcPr>
            <w:tcW w:w="8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$13</w:t>
            </w: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80" w:type="dxa"/>
            <w:vAlign w:val="bottom"/>
          </w:tcPr>
          <w:p>
            <w:pPr>
              <w:ind w:left="40"/>
              <w:spacing w:after="0"/>
              <w:rPr>
                <w:sz w:val="20"/>
                <w:szCs w:val="20"/>
                <w:color w:val="auto"/>
              </w:rPr>
            </w:pPr>
            <w:r>
              <w:rPr>
                <w:rFonts w:ascii="Arial" w:cs="Arial" w:eastAsia="Arial" w:hAnsi="Arial"/>
                <w:sz w:val="14"/>
                <w:szCs w:val="14"/>
                <w:color w:val="auto"/>
              </w:rPr>
              <w:t>station</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4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8"/>
              </w:rPr>
              <w:t>Lawrenceville, NJ</w:t>
            </w:r>
          </w:p>
        </w:tc>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Addition of 27,000 square feet of space including new in-line space, addition of</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bank pad and reconfiguration of existing pad site and anchor box</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40" w:type="dxa"/>
            <w:vAlign w:val="bottom"/>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1440" w:type="dxa"/>
            <w:vAlign w:val="bottom"/>
          </w:tcPr>
          <w:p>
            <w:pPr>
              <w:ind w:left="340"/>
              <w:spacing w:after="0" w:line="157" w:lineRule="exact"/>
              <w:rPr>
                <w:sz w:val="20"/>
                <w:szCs w:val="20"/>
                <w:color w:val="auto"/>
              </w:rPr>
            </w:pPr>
            <w:r>
              <w:rPr>
                <w:rFonts w:ascii="Arial" w:cs="Arial" w:eastAsia="Arial" w:hAnsi="Arial"/>
                <w:sz w:val="14"/>
                <w:szCs w:val="14"/>
                <w:color w:val="auto"/>
              </w:rPr>
              <w:t>Rockville, MD</w:t>
            </w:r>
          </w:p>
        </w:tc>
        <w:tc>
          <w:tcPr>
            <w:tcW w:w="4880" w:type="dxa"/>
            <w:vAlign w:val="bottom"/>
          </w:tcPr>
          <w:p>
            <w:pPr>
              <w:ind w:left="40"/>
              <w:spacing w:after="0" w:line="157" w:lineRule="exact"/>
              <w:rPr>
                <w:sz w:val="20"/>
                <w:szCs w:val="20"/>
                <w:color w:val="auto"/>
              </w:rPr>
            </w:pPr>
            <w:r>
              <w:rPr>
                <w:rFonts w:ascii="Arial" w:cs="Arial" w:eastAsia="Arial" w:hAnsi="Arial"/>
                <w:sz w:val="14"/>
                <w:szCs w:val="14"/>
                <w:color w:val="auto"/>
              </w:rPr>
              <w:t>Conversion of office space into 39,000 square feet of retail anchor space to</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w:t>
            </w:r>
          </w:p>
        </w:tc>
        <w:tc>
          <w:tcPr>
            <w:tcW w:w="8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80" w:type="dxa"/>
            <w:vAlign w:val="bottom"/>
          </w:tcPr>
          <w:p>
            <w:pPr>
              <w:ind w:left="40"/>
              <w:spacing w:after="0"/>
              <w:rPr>
                <w:sz w:val="20"/>
                <w:szCs w:val="20"/>
                <w:color w:val="auto"/>
              </w:rPr>
            </w:pPr>
            <w:r>
              <w:rPr>
                <w:rFonts w:ascii="Arial" w:cs="Arial" w:eastAsia="Arial" w:hAnsi="Arial"/>
                <w:sz w:val="14"/>
                <w:szCs w:val="14"/>
                <w:color w:val="auto"/>
              </w:rPr>
              <w:t>accommodate new tenant</w:t>
            </w: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Quince Orchard</w:t>
            </w:r>
          </w:p>
        </w:tc>
        <w:tc>
          <w:tcPr>
            <w:tcW w:w="14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7"/>
              </w:rPr>
              <w:t>Gaithersburg, MD</w:t>
            </w:r>
          </w:p>
        </w:tc>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Property repositioning through demo of non-functional small shop space, creation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7"/>
              </w:rPr>
              <w:t>of new anchor box, rightsizing of national office products tenant, and creation of</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visible small shop space</w:t>
            </w:r>
          </w:p>
        </w:tc>
        <w:tc>
          <w:tcPr>
            <w:tcW w:w="8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640" w:type="dxa"/>
            <w:vAlign w:val="bottom"/>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1440" w:type="dxa"/>
            <w:vAlign w:val="bottom"/>
          </w:tcPr>
          <w:p>
            <w:pPr>
              <w:ind w:left="340"/>
              <w:spacing w:after="0" w:line="157" w:lineRule="exact"/>
              <w:rPr>
                <w:sz w:val="20"/>
                <w:szCs w:val="20"/>
                <w:color w:val="auto"/>
              </w:rPr>
            </w:pPr>
            <w:r>
              <w:rPr>
                <w:rFonts w:ascii="Arial" w:cs="Arial" w:eastAsia="Arial" w:hAnsi="Arial"/>
                <w:sz w:val="14"/>
                <w:szCs w:val="14"/>
                <w:color w:val="auto"/>
              </w:rPr>
              <w:t>Emeryville, CA</w:t>
            </w:r>
          </w:p>
        </w:tc>
        <w:tc>
          <w:tcPr>
            <w:tcW w:w="4880" w:type="dxa"/>
            <w:vAlign w:val="bottom"/>
          </w:tcPr>
          <w:p>
            <w:pPr>
              <w:ind w:left="40"/>
              <w:spacing w:after="0" w:line="157" w:lineRule="exact"/>
              <w:rPr>
                <w:sz w:val="20"/>
                <w:szCs w:val="20"/>
                <w:color w:val="auto"/>
              </w:rPr>
            </w:pPr>
            <w:r>
              <w:rPr>
                <w:rFonts w:ascii="Arial" w:cs="Arial" w:eastAsia="Arial" w:hAnsi="Arial"/>
                <w:sz w:val="14"/>
                <w:szCs w:val="14"/>
                <w:color w:val="auto"/>
                <w:w w:val="94"/>
              </w:rPr>
              <w:t>Reconfigure two existing spaces consisting of 48,000 square feet to accommodate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$5</w:t>
            </w:r>
          </w:p>
        </w:tc>
        <w:tc>
          <w:tcPr>
            <w:tcW w:w="8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$4</w:t>
            </w: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Arial" w:cs="Arial" w:eastAsia="Arial" w:hAnsi="Arial"/>
                <w:sz w:val="14"/>
                <w:szCs w:val="14"/>
                <w:color w:val="auto"/>
              </w:rPr>
              <w:t>two new tenants, add two new restaurant tenants, and courtyard renovations</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977" w:right="239" w:bottom="1440" w:gutter="0" w:footer="0" w:header="0"/>
        </w:sectPr>
      </w:pP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Willow Lawn</w:t>
            </w:r>
          </w:p>
        </w:tc>
        <w:tc>
          <w:tcPr>
            <w:tcW w:w="1200" w:type="dxa"/>
            <w:vAlign w:val="bottom"/>
          </w:tcPr>
          <w:p>
            <w:pPr>
              <w:ind w:left="100"/>
              <w:spacing w:after="0"/>
              <w:rPr>
                <w:sz w:val="20"/>
                <w:szCs w:val="20"/>
                <w:color w:val="auto"/>
              </w:rPr>
            </w:pPr>
            <w:r>
              <w:rPr>
                <w:rFonts w:ascii="Arial" w:cs="Arial" w:eastAsia="Arial" w:hAnsi="Arial"/>
                <w:sz w:val="14"/>
                <w:szCs w:val="14"/>
                <w:color w:val="auto"/>
              </w:rPr>
              <w:t>Richmond, VA</w:t>
            </w:r>
          </w:p>
        </w:tc>
        <w:tc>
          <w:tcPr>
            <w:tcW w:w="4860" w:type="dxa"/>
            <w:vAlign w:val="bottom"/>
          </w:tcPr>
          <w:p>
            <w:pPr>
              <w:ind w:left="40"/>
              <w:spacing w:after="0"/>
              <w:rPr>
                <w:sz w:val="20"/>
                <w:szCs w:val="20"/>
                <w:color w:val="auto"/>
              </w:rPr>
            </w:pPr>
            <w:r>
              <w:rPr>
                <w:rFonts w:ascii="Arial" w:cs="Arial" w:eastAsia="Arial" w:hAnsi="Arial"/>
                <w:sz w:val="14"/>
                <w:szCs w:val="14"/>
                <w:color w:val="auto"/>
              </w:rPr>
              <w:t>Construction of two new in-line retail spaces totaling 17,400 square feet</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4"/>
                <w:szCs w:val="14"/>
                <w:color w:val="auto"/>
              </w:rPr>
              <w:t>Santana Row</w:t>
            </w:r>
          </w:p>
        </w:tc>
        <w:tc>
          <w:tcPr>
            <w:tcW w:w="1200" w:type="dxa"/>
            <w:vAlign w:val="bottom"/>
          </w:tcPr>
          <w:p>
            <w:pPr>
              <w:ind w:left="100"/>
              <w:spacing w:after="0"/>
              <w:rPr>
                <w:sz w:val="20"/>
                <w:szCs w:val="20"/>
                <w:color w:val="auto"/>
              </w:rPr>
            </w:pPr>
            <w:r>
              <w:rPr>
                <w:rFonts w:ascii="Arial" w:cs="Arial" w:eastAsia="Arial" w:hAnsi="Arial"/>
                <w:sz w:val="14"/>
                <w:szCs w:val="14"/>
                <w:color w:val="auto"/>
              </w:rPr>
              <w:t>San Jose, CA</w:t>
            </w:r>
          </w:p>
        </w:tc>
        <w:tc>
          <w:tcPr>
            <w:tcW w:w="4860" w:type="dxa"/>
            <w:vAlign w:val="bottom"/>
            <w:vMerge w:val="restart"/>
          </w:tcPr>
          <w:p>
            <w:pPr>
              <w:ind w:left="40"/>
              <w:spacing w:after="0"/>
              <w:rPr>
                <w:sz w:val="20"/>
                <w:szCs w:val="20"/>
                <w:color w:val="auto"/>
              </w:rPr>
            </w:pPr>
            <w:r>
              <w:rPr>
                <w:rFonts w:ascii="Arial" w:cs="Arial" w:eastAsia="Arial" w:hAnsi="Arial"/>
                <w:sz w:val="14"/>
                <w:szCs w:val="14"/>
                <w:color w:val="auto"/>
              </w:rPr>
              <w:t>Addition of two retail kiosks and open air plaza upgrades</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20"/>
                <w:szCs w:val="20"/>
                <w:color w:val="auto"/>
              </w:rPr>
            </w:pPr>
            <w:r>
              <w:rPr>
                <w:rFonts w:ascii="Arial" w:cs="Arial" w:eastAsia="Arial" w:hAnsi="Arial"/>
                <w:sz w:val="14"/>
                <w:szCs w:val="14"/>
                <w:color w:val="auto"/>
              </w:rPr>
              <w:t>Flourtown</w:t>
            </w:r>
          </w:p>
        </w:tc>
        <w:tc>
          <w:tcPr>
            <w:tcW w:w="1200" w:type="dxa"/>
            <w:vAlign w:val="bottom"/>
          </w:tcPr>
          <w:p>
            <w:pPr>
              <w:ind w:left="100"/>
              <w:spacing w:after="0"/>
              <w:rPr>
                <w:sz w:val="20"/>
                <w:szCs w:val="20"/>
                <w:color w:val="auto"/>
              </w:rPr>
            </w:pPr>
            <w:r>
              <w:rPr>
                <w:rFonts w:ascii="Arial" w:cs="Arial" w:eastAsia="Arial" w:hAnsi="Arial"/>
                <w:sz w:val="14"/>
                <w:szCs w:val="14"/>
                <w:color w:val="auto"/>
              </w:rPr>
              <w:t>Flourtown, PA</w:t>
            </w:r>
          </w:p>
        </w:tc>
        <w:tc>
          <w:tcPr>
            <w:tcW w:w="4860" w:type="dxa"/>
            <w:vAlign w:val="bottom"/>
            <w:vMerge w:val="restart"/>
          </w:tcPr>
          <w:p>
            <w:pPr>
              <w:ind w:left="40"/>
              <w:spacing w:after="0"/>
              <w:rPr>
                <w:sz w:val="20"/>
                <w:szCs w:val="20"/>
                <w:color w:val="auto"/>
              </w:rPr>
            </w:pPr>
            <w:r>
              <w:rPr>
                <w:rFonts w:ascii="Arial" w:cs="Arial" w:eastAsia="Arial" w:hAnsi="Arial"/>
                <w:sz w:val="14"/>
                <w:szCs w:val="14"/>
                <w:color w:val="auto"/>
              </w:rPr>
              <w:t>New 75,000 square foot grocer and new 38,000 square foot movie theater</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20"/>
                <w:szCs w:val="20"/>
                <w:color w:val="auto"/>
              </w:rPr>
            </w:pPr>
            <w:r>
              <w:rPr>
                <w:rFonts w:ascii="Arial" w:cs="Arial" w:eastAsia="Arial" w:hAnsi="Arial"/>
                <w:sz w:val="14"/>
                <w:szCs w:val="14"/>
                <w:color w:val="auto"/>
              </w:rPr>
              <w:t>Eastgate</w:t>
            </w:r>
          </w:p>
        </w:tc>
        <w:tc>
          <w:tcPr>
            <w:tcW w:w="1200" w:type="dxa"/>
            <w:vAlign w:val="bottom"/>
          </w:tcPr>
          <w:p>
            <w:pPr>
              <w:ind w:left="100"/>
              <w:spacing w:after="0"/>
              <w:rPr>
                <w:sz w:val="20"/>
                <w:szCs w:val="20"/>
                <w:color w:val="auto"/>
              </w:rPr>
            </w:pPr>
            <w:r>
              <w:rPr>
                <w:rFonts w:ascii="Arial" w:cs="Arial" w:eastAsia="Arial" w:hAnsi="Arial"/>
                <w:sz w:val="14"/>
                <w:szCs w:val="14"/>
                <w:color w:val="auto"/>
              </w:rPr>
              <w:t>Chapel Hill, NC</w:t>
            </w:r>
          </w:p>
        </w:tc>
        <w:tc>
          <w:tcPr>
            <w:tcW w:w="4860" w:type="dxa"/>
            <w:vAlign w:val="bottom"/>
          </w:tcPr>
          <w:p>
            <w:pPr>
              <w:ind w:left="40"/>
              <w:spacing w:after="0"/>
              <w:rPr>
                <w:sz w:val="20"/>
                <w:szCs w:val="20"/>
                <w:color w:val="auto"/>
              </w:rPr>
            </w:pPr>
            <w:r>
              <w:rPr>
                <w:rFonts w:ascii="Arial" w:cs="Arial" w:eastAsia="Arial" w:hAnsi="Arial"/>
                <w:sz w:val="14"/>
                <w:szCs w:val="14"/>
                <w:color w:val="auto"/>
                <w:w w:val="99"/>
              </w:rPr>
              <w:t>New 7,400 square foot multi-tenant pad building on site of existing gas station</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4"/>
                <w:szCs w:val="14"/>
                <w:color w:val="auto"/>
                <w:w w:val="99"/>
              </w:rPr>
              <w:t>The AVENUE at White Marsh</w:t>
            </w:r>
          </w:p>
        </w:tc>
        <w:tc>
          <w:tcPr>
            <w:tcW w:w="1200" w:type="dxa"/>
            <w:vAlign w:val="bottom"/>
          </w:tcPr>
          <w:p>
            <w:pPr>
              <w:ind w:left="100"/>
              <w:spacing w:after="0"/>
              <w:rPr>
                <w:sz w:val="20"/>
                <w:szCs w:val="20"/>
                <w:color w:val="auto"/>
              </w:rPr>
            </w:pPr>
            <w:r>
              <w:rPr>
                <w:rFonts w:ascii="Arial" w:cs="Arial" w:eastAsia="Arial" w:hAnsi="Arial"/>
                <w:sz w:val="14"/>
                <w:szCs w:val="14"/>
                <w:color w:val="auto"/>
                <w:w w:val="99"/>
              </w:rPr>
              <w:t>White Marsh, MD</w:t>
            </w:r>
          </w:p>
        </w:tc>
        <w:tc>
          <w:tcPr>
            <w:tcW w:w="4860" w:type="dxa"/>
            <w:vAlign w:val="bottom"/>
          </w:tcPr>
          <w:p>
            <w:pPr>
              <w:ind w:left="40"/>
              <w:spacing w:after="0"/>
              <w:rPr>
                <w:sz w:val="20"/>
                <w:szCs w:val="20"/>
                <w:color w:val="auto"/>
              </w:rPr>
            </w:pPr>
            <w:r>
              <w:rPr>
                <w:rFonts w:ascii="Arial" w:cs="Arial" w:eastAsia="Arial" w:hAnsi="Arial"/>
                <w:sz w:val="14"/>
                <w:szCs w:val="14"/>
                <w:color w:val="auto"/>
              </w:rPr>
              <w:t>Addition of two new pad sites totaling 13,000 square feet and a drive up ATM</w:t>
            </w: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r>
              <w:rPr>
                <w:rFonts w:ascii="Arial" w:cs="Arial" w:eastAsia="Arial" w:hAnsi="Arial"/>
                <w:sz w:val="14"/>
                <w:szCs w:val="14"/>
                <w:color w:val="auto"/>
              </w:rPr>
              <w:t>Mercer Mall</w:t>
            </w:r>
          </w:p>
        </w:tc>
        <w:tc>
          <w:tcPr>
            <w:tcW w:w="1200" w:type="dxa"/>
            <w:vAlign w:val="bottom"/>
          </w:tcPr>
          <w:p>
            <w:pPr>
              <w:ind w:left="100"/>
              <w:spacing w:after="0"/>
              <w:rPr>
                <w:sz w:val="20"/>
                <w:szCs w:val="20"/>
                <w:color w:val="auto"/>
              </w:rPr>
            </w:pPr>
            <w:r>
              <w:rPr>
                <w:rFonts w:ascii="Arial" w:cs="Arial" w:eastAsia="Arial" w:hAnsi="Arial"/>
                <w:sz w:val="14"/>
                <w:szCs w:val="14"/>
                <w:color w:val="auto"/>
                <w:w w:val="98"/>
              </w:rPr>
              <w:t>Lawrenceville, NJ</w:t>
            </w:r>
          </w:p>
        </w:tc>
        <w:tc>
          <w:tcPr>
            <w:tcW w:w="4860" w:type="dxa"/>
            <w:vAlign w:val="bottom"/>
          </w:tcPr>
          <w:p>
            <w:pPr>
              <w:ind w:left="40"/>
              <w:spacing w:after="0"/>
              <w:rPr>
                <w:sz w:val="20"/>
                <w:szCs w:val="20"/>
                <w:color w:val="auto"/>
              </w:rPr>
            </w:pPr>
            <w:r>
              <w:rPr>
                <w:rFonts w:ascii="Arial" w:cs="Arial" w:eastAsia="Arial" w:hAnsi="Arial"/>
                <w:sz w:val="14"/>
                <w:szCs w:val="14"/>
                <w:color w:val="auto"/>
                <w:w w:val="95"/>
              </w:rPr>
              <w:t>Demolition of existing 3,000 square foot pad building to allow for construction of a</w:t>
            </w: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Arial" w:cs="Arial" w:eastAsia="Arial" w:hAnsi="Arial"/>
                <w:sz w:val="14"/>
                <w:szCs w:val="14"/>
                <w:color w:val="auto"/>
              </w:rPr>
              <w:t>multi-restaurant pad building totaling 5,600 square feet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800" w:val="left"/>
          <w:tab w:leader="none" w:pos="1580" w:val="left"/>
          <w:tab w:leader="none" w:pos="22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2016</w:t>
      </w:r>
    </w:p>
    <w:p>
      <w:pPr>
        <w:spacing w:after="0" w:line="109" w:lineRule="exact"/>
        <w:rPr>
          <w:sz w:val="20"/>
          <w:szCs w:val="20"/>
          <w:color w:val="auto"/>
        </w:rPr>
      </w:pPr>
    </w:p>
    <w:p>
      <w:pPr>
        <w:ind w:left="60"/>
        <w:spacing w:after="0"/>
        <w:tabs>
          <w:tab w:leader="none" w:pos="800" w:val="left"/>
          <w:tab w:leader="none" w:pos="1580" w:val="left"/>
          <w:tab w:leader="none" w:pos="22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$0</w:t>
      </w:r>
      <w:r>
        <w:rPr>
          <w:sz w:val="20"/>
          <w:szCs w:val="20"/>
          <w:color w:val="auto"/>
        </w:rPr>
        <w:tab/>
      </w:r>
      <w:r>
        <w:rPr>
          <w:rFonts w:ascii="Arial" w:cs="Arial" w:eastAsia="Arial" w:hAnsi="Arial"/>
          <w:sz w:val="13"/>
          <w:szCs w:val="13"/>
          <w:color w:val="auto"/>
        </w:rPr>
        <w:t>2017</w:t>
      </w:r>
    </w:p>
    <w:p>
      <w:pPr>
        <w:spacing w:after="0" w:line="109" w:lineRule="exact"/>
        <w:rPr>
          <w:sz w:val="20"/>
          <w:szCs w:val="20"/>
          <w:color w:val="auto"/>
        </w:rPr>
      </w:pPr>
    </w:p>
    <w:p>
      <w:pPr>
        <w:spacing w:after="0"/>
        <w:tabs>
          <w:tab w:leader="none" w:pos="800" w:val="left"/>
          <w:tab w:leader="none" w:pos="1580" w:val="left"/>
          <w:tab w:leader="none" w:pos="206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3"/>
          <w:szCs w:val="13"/>
          <w:color w:val="auto"/>
        </w:rPr>
        <w:t>Stabilized</w:t>
      </w:r>
    </w:p>
    <w:p>
      <w:pPr>
        <w:spacing w:after="0" w:line="109" w:lineRule="exact"/>
        <w:rPr>
          <w:sz w:val="20"/>
          <w:szCs w:val="20"/>
          <w:color w:val="auto"/>
        </w:rPr>
      </w:pPr>
    </w:p>
    <w:p>
      <w:pPr>
        <w:ind w:left="60"/>
        <w:spacing w:after="0"/>
        <w:tabs>
          <w:tab w:leader="none" w:pos="800" w:val="left"/>
          <w:tab w:leader="none" w:pos="1580" w:val="left"/>
          <w:tab w:leader="none" w:pos="22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$0</w:t>
      </w:r>
      <w:r>
        <w:rPr>
          <w:sz w:val="20"/>
          <w:szCs w:val="20"/>
          <w:color w:val="auto"/>
        </w:rPr>
        <w:tab/>
      </w:r>
      <w:r>
        <w:rPr>
          <w:rFonts w:ascii="Arial" w:cs="Arial" w:eastAsia="Arial" w:hAnsi="Arial"/>
          <w:sz w:val="13"/>
          <w:szCs w:val="13"/>
          <w:color w:val="auto"/>
        </w:rPr>
        <w:t>2017</w:t>
      </w:r>
    </w:p>
    <w:p>
      <w:pPr>
        <w:spacing w:after="0" w:line="109" w:lineRule="exact"/>
        <w:rPr>
          <w:sz w:val="20"/>
          <w:szCs w:val="20"/>
          <w:color w:val="auto"/>
        </w:rPr>
      </w:pPr>
    </w:p>
    <w:p>
      <w:pPr>
        <w:spacing w:after="0"/>
        <w:tabs>
          <w:tab w:leader="none" w:pos="800" w:val="left"/>
          <w:tab w:leader="none" w:pos="1580" w:val="left"/>
          <w:tab w:leader="none" w:pos="22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3"/>
          <w:szCs w:val="13"/>
          <w:color w:val="auto"/>
        </w:rPr>
        <w:t>2016</w:t>
      </w:r>
    </w:p>
    <w:p>
      <w:pPr>
        <w:spacing w:after="0" w:line="109" w:lineRule="exact"/>
        <w:rPr>
          <w:sz w:val="20"/>
          <w:szCs w:val="20"/>
          <w:color w:val="auto"/>
        </w:rPr>
      </w:pPr>
    </w:p>
    <w:p>
      <w:pPr>
        <w:spacing w:after="0"/>
        <w:tabs>
          <w:tab w:leader="none" w:pos="800" w:val="left"/>
          <w:tab w:leader="none" w:pos="1580" w:val="left"/>
          <w:tab w:leader="none" w:pos="220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$0</w:t>
      </w:r>
      <w:r>
        <w:rPr>
          <w:sz w:val="20"/>
          <w:szCs w:val="20"/>
          <w:color w:val="auto"/>
        </w:rPr>
        <w:tab/>
      </w:r>
      <w:r>
        <w:rPr>
          <w:rFonts w:ascii="Arial" w:cs="Arial" w:eastAsia="Arial" w:hAnsi="Arial"/>
          <w:sz w:val="13"/>
          <w:szCs w:val="13"/>
          <w:color w:val="auto"/>
        </w:rPr>
        <w:t>2016</w:t>
      </w:r>
    </w:p>
    <w:p>
      <w:pPr>
        <w:spacing w:after="0" w:line="189" w:lineRule="exact"/>
        <w:rPr>
          <w:sz w:val="20"/>
          <w:szCs w:val="20"/>
          <w:color w:val="auto"/>
        </w:rPr>
      </w:pPr>
    </w:p>
    <w:p>
      <w:pPr>
        <w:sectPr>
          <w:pgSz w:w="11900" w:h="16838" w:orient="portrait"/>
          <w:cols w:equalWidth="0" w:num="2">
            <w:col w:w="7940" w:space="600"/>
            <w:col w:w="2880"/>
          </w:cols>
          <w:pgMar w:left="240" w:top="977"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Pentagon Row</w:t>
            </w:r>
          </w:p>
        </w:tc>
        <w:tc>
          <w:tcPr>
            <w:tcW w:w="1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Arlington, VA</w:t>
            </w:r>
          </w:p>
        </w:tc>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Ice rink expansion and 1,500 square feet of new retail space</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78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$2</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Wynnewood</w:t>
            </w:r>
          </w:p>
        </w:tc>
        <w:tc>
          <w:tcPr>
            <w:tcW w:w="1380" w:type="dxa"/>
            <w:vAlign w:val="bottom"/>
          </w:tcPr>
          <w:p>
            <w:pPr>
              <w:ind w:left="280"/>
              <w:spacing w:after="0"/>
              <w:rPr>
                <w:sz w:val="20"/>
                <w:szCs w:val="20"/>
                <w:color w:val="auto"/>
              </w:rPr>
            </w:pPr>
            <w:r>
              <w:rPr>
                <w:rFonts w:ascii="Arial" w:cs="Arial" w:eastAsia="Arial" w:hAnsi="Arial"/>
                <w:sz w:val="14"/>
                <w:szCs w:val="14"/>
                <w:color w:val="auto"/>
              </w:rPr>
              <w:t>Wynnewood, PA</w:t>
            </w:r>
          </w:p>
        </w:tc>
        <w:tc>
          <w:tcPr>
            <w:tcW w:w="4920" w:type="dxa"/>
            <w:vAlign w:val="bottom"/>
          </w:tcPr>
          <w:p>
            <w:pPr>
              <w:ind w:left="40"/>
              <w:spacing w:after="0"/>
              <w:rPr>
                <w:sz w:val="20"/>
                <w:szCs w:val="20"/>
                <w:color w:val="auto"/>
              </w:rPr>
            </w:pPr>
            <w:r>
              <w:rPr>
                <w:rFonts w:ascii="Arial" w:cs="Arial" w:eastAsia="Arial" w:hAnsi="Arial"/>
                <w:sz w:val="14"/>
                <w:szCs w:val="14"/>
                <w:color w:val="auto"/>
              </w:rPr>
              <w:t>Conversion of obsolete 2nd floor office space to residential</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r>
      <w:tr>
        <w:trPr>
          <w:trHeight w:val="80"/>
        </w:trPr>
        <w:tc>
          <w:tcPr>
            <w:tcW w:w="17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38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w w:val="95"/>
              </w:rPr>
              <w:t>Santa Monica, CA</w:t>
            </w:r>
          </w:p>
        </w:tc>
        <w:tc>
          <w:tcPr>
            <w:tcW w:w="49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5"/>
              </w:rPr>
              <w:t>Building modified to convert second floor space to office to accommodate new first</w:t>
            </w:r>
          </w:p>
        </w:tc>
        <w:tc>
          <w:tcPr>
            <w:tcW w:w="96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25%</w:t>
            </w:r>
          </w:p>
        </w:tc>
        <w:tc>
          <w:tcPr>
            <w:tcW w:w="78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r>
      <w:tr>
        <w:trPr>
          <w:trHeight w:val="194"/>
        </w:trPr>
        <w:tc>
          <w:tcPr>
            <w:tcW w:w="1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floor retail and second floor office tenants</w:t>
            </w:r>
          </w:p>
        </w:tc>
        <w:tc>
          <w:tcPr>
            <w:tcW w:w="9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Troy</w:t>
            </w:r>
          </w:p>
        </w:tc>
        <w:tc>
          <w:tcPr>
            <w:tcW w:w="1380" w:type="dxa"/>
            <w:vAlign w:val="bottom"/>
          </w:tcPr>
          <w:p>
            <w:pPr>
              <w:ind w:left="280"/>
              <w:spacing w:after="0"/>
              <w:rPr>
                <w:sz w:val="20"/>
                <w:szCs w:val="20"/>
                <w:color w:val="auto"/>
              </w:rPr>
            </w:pPr>
            <w:r>
              <w:rPr>
                <w:rFonts w:ascii="Arial" w:cs="Arial" w:eastAsia="Arial" w:hAnsi="Arial"/>
                <w:sz w:val="14"/>
                <w:szCs w:val="14"/>
                <w:color w:val="auto"/>
              </w:rPr>
              <w:t>Parsippany, NJ</w:t>
            </w:r>
          </w:p>
        </w:tc>
        <w:tc>
          <w:tcPr>
            <w:tcW w:w="4920" w:type="dxa"/>
            <w:vAlign w:val="bottom"/>
          </w:tcPr>
          <w:p>
            <w:pPr>
              <w:ind w:left="40"/>
              <w:spacing w:after="0"/>
              <w:rPr>
                <w:sz w:val="20"/>
                <w:szCs w:val="20"/>
                <w:color w:val="auto"/>
              </w:rPr>
            </w:pPr>
            <w:r>
              <w:rPr>
                <w:rFonts w:ascii="Arial" w:cs="Arial" w:eastAsia="Arial" w:hAnsi="Arial"/>
                <w:sz w:val="14"/>
                <w:szCs w:val="14"/>
                <w:color w:val="auto"/>
              </w:rPr>
              <w:t>New 4,000 square foot pad building</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r>
      <w:tr>
        <w:trPr>
          <w:trHeight w:val="80"/>
        </w:trPr>
        <w:tc>
          <w:tcPr>
            <w:tcW w:w="17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91"/>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 Plaza</w:t>
            </w:r>
          </w:p>
        </w:tc>
        <w:tc>
          <w:tcPr>
            <w:tcW w:w="1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Brick, NJ</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restaurant pad building</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r>
      <w:tr>
        <w:trPr>
          <w:trHeight w:val="80"/>
        </w:trPr>
        <w:tc>
          <w:tcPr>
            <w:tcW w:w="17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157"/>
        </w:trPr>
        <w:tc>
          <w:tcPr>
            <w:tcW w:w="1700" w:type="dxa"/>
            <w:vAlign w:val="bottom"/>
          </w:tcPr>
          <w:p>
            <w:pPr>
              <w:ind w:left="40"/>
              <w:spacing w:after="0" w:line="157" w:lineRule="exact"/>
              <w:rPr>
                <w:sz w:val="20"/>
                <w:szCs w:val="20"/>
                <w:color w:val="auto"/>
              </w:rPr>
            </w:pPr>
            <w:r>
              <w:rPr>
                <w:rFonts w:ascii="Arial" w:cs="Arial" w:eastAsia="Arial" w:hAnsi="Arial"/>
                <w:sz w:val="14"/>
                <w:szCs w:val="14"/>
                <w:color w:val="auto"/>
              </w:rPr>
              <w:t>Finley Square</w:t>
            </w:r>
          </w:p>
        </w:tc>
        <w:tc>
          <w:tcPr>
            <w:tcW w:w="1380" w:type="dxa"/>
            <w:vAlign w:val="bottom"/>
          </w:tcPr>
          <w:p>
            <w:pPr>
              <w:ind w:left="280"/>
              <w:spacing w:after="0" w:line="157" w:lineRule="exact"/>
              <w:rPr>
                <w:sz w:val="20"/>
                <w:szCs w:val="20"/>
                <w:color w:val="auto"/>
              </w:rPr>
            </w:pPr>
            <w:r>
              <w:rPr>
                <w:rFonts w:ascii="Arial" w:cs="Arial" w:eastAsia="Arial" w:hAnsi="Arial"/>
                <w:sz w:val="14"/>
                <w:szCs w:val="14"/>
                <w:color w:val="auto"/>
              </w:rPr>
              <w:t>Downers Grove,</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New 2,000 square foot pad building</w:t>
            </w:r>
          </w:p>
        </w:tc>
        <w:tc>
          <w:tcPr>
            <w:tcW w:w="960" w:type="dxa"/>
            <w:vAlign w:val="bottom"/>
          </w:tcPr>
          <w:p>
            <w:pPr>
              <w:jc w:val="right"/>
              <w:ind w:right="88"/>
              <w:spacing w:after="0" w:line="157" w:lineRule="exact"/>
              <w:rPr>
                <w:sz w:val="20"/>
                <w:szCs w:val="20"/>
                <w:color w:val="auto"/>
              </w:rPr>
            </w:pPr>
            <w:r>
              <w:rPr>
                <w:rFonts w:ascii="Arial" w:cs="Arial" w:eastAsia="Arial" w:hAnsi="Arial"/>
                <w:sz w:val="14"/>
                <w:szCs w:val="14"/>
                <w:color w:val="auto"/>
              </w:rPr>
              <w:t>18%</w:t>
            </w:r>
          </w:p>
        </w:tc>
        <w:tc>
          <w:tcPr>
            <w:tcW w:w="78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$1</w:t>
            </w:r>
          </w:p>
        </w:tc>
        <w:tc>
          <w:tcPr>
            <w:tcW w:w="6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r>
      <w:tr>
        <w:trPr>
          <w:trHeight w:val="188"/>
        </w:trPr>
        <w:tc>
          <w:tcPr>
            <w:tcW w:w="17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IL</w:t>
            </w:r>
          </w:p>
        </w:tc>
        <w:tc>
          <w:tcPr>
            <w:tcW w:w="49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r>
      <w:tr>
        <w:trPr>
          <w:trHeight w:val="156"/>
        </w:trPr>
        <w:tc>
          <w:tcPr>
            <w:tcW w:w="30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b w:val="1"/>
                <w:bCs w:val="1"/>
                <w:color w:val="auto"/>
              </w:rPr>
              <w:t>Total Active Redevelopment projects (4)</w:t>
            </w:r>
          </w:p>
        </w:tc>
        <w:tc>
          <w:tcPr>
            <w:tcW w:w="49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9%</w:t>
            </w:r>
          </w:p>
        </w:tc>
        <w:tc>
          <w:tcPr>
            <w:tcW w:w="78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color w:val="auto"/>
              </w:rPr>
              <w:t>$319 -</w:t>
            </w:r>
          </w:p>
        </w:tc>
        <w:tc>
          <w:tcPr>
            <w:tcW w:w="6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$202</w:t>
            </w:r>
          </w:p>
        </w:tc>
        <w:tc>
          <w:tcPr>
            <w:tcW w:w="1020" w:type="dxa"/>
            <w:vAlign w:val="bottom"/>
            <w:shd w:val="clear" w:color="auto" w:fill="CCEEFF"/>
          </w:tcPr>
          <w:p>
            <w:pPr>
              <w:spacing w:after="0"/>
              <w:rPr>
                <w:sz w:val="13"/>
                <w:szCs w:val="13"/>
                <w:color w:val="auto"/>
              </w:rPr>
            </w:pPr>
          </w:p>
        </w:tc>
      </w:tr>
      <w:tr>
        <w:trPr>
          <w:trHeight w:val="188"/>
        </w:trPr>
        <w:tc>
          <w:tcPr>
            <w:tcW w:w="17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$329</w:t>
            </w: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20"/>
        </w:trPr>
        <w:tc>
          <w:tcPr>
            <w:tcW w:w="1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7" w:right="2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2015</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Property (1)</w:t>
            </w: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Location</w:t>
            </w:r>
          </w:p>
        </w:tc>
        <w:tc>
          <w:tcPr>
            <w:tcW w:w="2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Opportunity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12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Cost (3)</w:t>
            </w: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Costs to</w:t>
            </w:r>
          </w:p>
        </w:tc>
        <w:tc>
          <w:tcPr>
            <w:tcW w:w="3240" w:type="dxa"/>
            <w:vAlign w:val="bottom"/>
          </w:tcPr>
          <w:p>
            <w:pPr>
              <w:ind w:left="180"/>
              <w:spacing w:after="0"/>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ROI (2)</w:t>
            </w:r>
          </w:p>
        </w:tc>
        <w:tc>
          <w:tcPr>
            <w:tcW w:w="1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Date</w:t>
            </w:r>
          </w:p>
        </w:tc>
        <w:tc>
          <w:tcPr>
            <w:tcW w:w="3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Stabilization Expected Opening Timeframe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tcPr>
          <w:p>
            <w:pPr>
              <w:ind w:left="200"/>
              <w:spacing w:after="0"/>
              <w:rPr>
                <w:sz w:val="20"/>
                <w:szCs w:val="20"/>
                <w:color w:val="auto"/>
              </w:rPr>
            </w:pPr>
            <w:r>
              <w:rPr>
                <w:rFonts w:ascii="Arial" w:cs="Arial" w:eastAsia="Arial" w:hAnsi="Arial"/>
                <w:sz w:val="14"/>
                <w:szCs w:val="14"/>
                <w:color w:val="auto"/>
              </w:rPr>
              <w:t>(in millions)</w:t>
            </w:r>
          </w:p>
        </w:tc>
        <w:tc>
          <w:tcPr>
            <w:tcW w:w="900" w:type="dxa"/>
            <w:vAlign w:val="bottom"/>
          </w:tcPr>
          <w:p>
            <w:pPr>
              <w:jc w:val="center"/>
              <w:ind w:right="28"/>
              <w:spacing w:after="0"/>
              <w:rPr>
                <w:sz w:val="20"/>
                <w:szCs w:val="20"/>
                <w:color w:val="auto"/>
              </w:rPr>
            </w:pPr>
            <w:r>
              <w:rPr>
                <w:rFonts w:ascii="Arial" w:cs="Arial" w:eastAsia="Arial" w:hAnsi="Arial"/>
                <w:sz w:val="14"/>
                <w:szCs w:val="14"/>
                <w:color w:val="auto"/>
              </w:rPr>
              <w:t>(in millions)</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Phases delivered or delivering in 2015</w:t>
            </w:r>
          </w:p>
        </w:tc>
        <w:tc>
          <w:tcPr>
            <w:tcW w:w="2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w w:val="99"/>
              </w:rPr>
              <w:t>Pike &amp; Rose - Phase I</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North Bethesda,</w:t>
            </w:r>
          </w:p>
        </w:tc>
        <w:tc>
          <w:tcPr>
            <w:tcW w:w="2580" w:type="dxa"/>
            <w:vAlign w:val="bottom"/>
          </w:tcPr>
          <w:p>
            <w:pPr>
              <w:ind w:left="160"/>
              <w:spacing w:after="0"/>
              <w:rPr>
                <w:sz w:val="20"/>
                <w:szCs w:val="20"/>
                <w:color w:val="auto"/>
              </w:rPr>
            </w:pPr>
            <w:r>
              <w:rPr>
                <w:rFonts w:ascii="Arial" w:cs="Arial" w:eastAsia="Arial" w:hAnsi="Arial"/>
                <w:sz w:val="14"/>
                <w:szCs w:val="14"/>
                <w:color w:val="auto"/>
                <w:w w:val="96"/>
              </w:rPr>
              <w:t>Phase I consists of 493 residential units,</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w w:val="98"/>
              </w:rPr>
              <w:t>7%</w:t>
            </w:r>
          </w:p>
        </w:tc>
        <w:tc>
          <w:tcPr>
            <w:tcW w:w="1240" w:type="dxa"/>
            <w:vAlign w:val="bottom"/>
          </w:tcPr>
          <w:p>
            <w:pPr>
              <w:ind w:left="220"/>
              <w:spacing w:after="0"/>
              <w:rPr>
                <w:sz w:val="20"/>
                <w:szCs w:val="20"/>
                <w:color w:val="auto"/>
              </w:rPr>
            </w:pPr>
            <w:r>
              <w:rPr>
                <w:rFonts w:ascii="Arial" w:cs="Arial" w:eastAsia="Arial" w:hAnsi="Arial"/>
                <w:sz w:val="14"/>
                <w:szCs w:val="14"/>
                <w:color w:val="auto"/>
              </w:rPr>
              <w:t xml:space="preserve">$265 - $270  </w:t>
            </w:r>
            <w:r>
              <w:rPr>
                <w:rFonts w:ascii="Arial" w:cs="Arial" w:eastAsia="Arial" w:hAnsi="Arial"/>
                <w:sz w:val="14"/>
                <w:szCs w:val="14"/>
                <w:b w:val="1"/>
                <w:bCs w:val="1"/>
                <w:color w:val="auto"/>
              </w:rPr>
              <w:t>(4)</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$253</w:t>
            </w:r>
          </w:p>
        </w:tc>
        <w:tc>
          <w:tcPr>
            <w:tcW w:w="3240" w:type="dxa"/>
            <w:vAlign w:val="bottom"/>
          </w:tcPr>
          <w:p>
            <w:pPr>
              <w:ind w:left="240"/>
              <w:spacing w:after="0"/>
              <w:rPr>
                <w:sz w:val="20"/>
                <w:szCs w:val="20"/>
                <w:color w:val="auto"/>
              </w:rPr>
            </w:pPr>
            <w:r>
              <w:rPr>
                <w:rFonts w:ascii="Arial" w:cs="Arial" w:eastAsia="Arial" w:hAnsi="Arial"/>
                <w:sz w:val="14"/>
                <w:szCs w:val="14"/>
                <w:color w:val="auto"/>
                <w:w w:val="99"/>
              </w:rPr>
              <w:t>2015/2016  •174 unit residential building opened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MD</w:t>
            </w:r>
          </w:p>
        </w:tc>
        <w:tc>
          <w:tcPr>
            <w:tcW w:w="2580" w:type="dxa"/>
            <w:vAlign w:val="bottom"/>
          </w:tcPr>
          <w:p>
            <w:pPr>
              <w:ind w:left="160"/>
              <w:spacing w:after="0" w:line="149" w:lineRule="exact"/>
              <w:rPr>
                <w:sz w:val="20"/>
                <w:szCs w:val="20"/>
                <w:color w:val="auto"/>
              </w:rPr>
            </w:pPr>
            <w:r>
              <w:rPr>
                <w:rFonts w:ascii="Arial" w:cs="Arial" w:eastAsia="Arial" w:hAnsi="Arial"/>
                <w:sz w:val="14"/>
                <w:szCs w:val="14"/>
                <w:color w:val="auto"/>
                <w:w w:val="95"/>
              </w:rPr>
              <w:t>157,000 square feet of retail, and 79,000</w:t>
            </w: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40" w:type="dxa"/>
            <w:vAlign w:val="bottom"/>
          </w:tcPr>
          <w:p>
            <w:pPr>
              <w:ind w:left="980"/>
              <w:spacing w:after="0" w:line="149" w:lineRule="exact"/>
              <w:rPr>
                <w:sz w:val="20"/>
                <w:szCs w:val="20"/>
                <w:color w:val="auto"/>
              </w:rPr>
            </w:pPr>
            <w:r>
              <w:rPr>
                <w:rFonts w:ascii="Arial" w:cs="Arial" w:eastAsia="Arial" w:hAnsi="Arial"/>
                <w:sz w:val="14"/>
                <w:szCs w:val="14"/>
                <w:color w:val="auto"/>
              </w:rPr>
              <w:t>in late June 2014 and achieved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tcPr>
          <w:p>
            <w:pPr>
              <w:ind w:left="160"/>
              <w:spacing w:after="0" w:line="149" w:lineRule="exact"/>
              <w:rPr>
                <w:sz w:val="20"/>
                <w:szCs w:val="20"/>
                <w:color w:val="auto"/>
              </w:rPr>
            </w:pPr>
            <w:r>
              <w:rPr>
                <w:rFonts w:ascii="Arial" w:cs="Arial" w:eastAsia="Arial" w:hAnsi="Arial"/>
                <w:sz w:val="14"/>
                <w:szCs w:val="14"/>
                <w:color w:val="auto"/>
              </w:rPr>
              <w:t>square feet of office space.</w:t>
            </w: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40" w:type="dxa"/>
            <w:vAlign w:val="bottom"/>
          </w:tcPr>
          <w:p>
            <w:pPr>
              <w:ind w:left="980"/>
              <w:spacing w:after="0" w:line="149" w:lineRule="exact"/>
              <w:rPr>
                <w:sz w:val="20"/>
                <w:szCs w:val="20"/>
                <w:color w:val="auto"/>
              </w:rPr>
            </w:pPr>
            <w:r>
              <w:rPr>
                <w:rFonts w:ascii="Arial" w:cs="Arial" w:eastAsia="Arial" w:hAnsi="Arial"/>
                <w:sz w:val="14"/>
                <w:szCs w:val="14"/>
                <w:color w:val="auto"/>
              </w:rPr>
              <w:t>stabilized occupancy in Q1 2015</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40" w:type="dxa"/>
            <w:vAlign w:val="bottom"/>
          </w:tcPr>
          <w:p>
            <w:pPr>
              <w:ind w:left="980"/>
              <w:spacing w:after="0" w:line="149" w:lineRule="exact"/>
              <w:rPr>
                <w:sz w:val="20"/>
                <w:szCs w:val="20"/>
                <w:color w:val="auto"/>
              </w:rPr>
            </w:pPr>
            <w:r>
              <w:rPr>
                <w:rFonts w:ascii="Arial" w:cs="Arial" w:eastAsia="Arial" w:hAnsi="Arial"/>
                <w:sz w:val="14"/>
                <w:szCs w:val="14"/>
                <w:color w:val="auto"/>
              </w:rPr>
              <w:t>•137,000 sf of retail open as of</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40" w:type="dxa"/>
            <w:vAlign w:val="bottom"/>
          </w:tcPr>
          <w:p>
            <w:pPr>
              <w:ind w:left="980"/>
              <w:spacing w:after="0"/>
              <w:rPr>
                <w:sz w:val="20"/>
                <w:szCs w:val="20"/>
                <w:color w:val="auto"/>
              </w:rPr>
            </w:pPr>
            <w:r>
              <w:rPr>
                <w:rFonts w:ascii="Arial" w:cs="Arial" w:eastAsia="Arial" w:hAnsi="Arial"/>
                <w:sz w:val="14"/>
                <w:szCs w:val="14"/>
                <w:color w:val="auto"/>
              </w:rPr>
              <w:t>9/30/15; retail 100% 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7246620" cy="1543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9160"/>
        <w:spacing w:after="0"/>
        <w:rPr>
          <w:sz w:val="20"/>
          <w:szCs w:val="20"/>
          <w:color w:val="auto"/>
        </w:rPr>
      </w:pPr>
      <w:r>
        <w:rPr>
          <w:rFonts w:ascii="Arial" w:cs="Arial" w:eastAsia="Arial" w:hAnsi="Arial"/>
          <w:sz w:val="13"/>
          <w:szCs w:val="13"/>
          <w:color w:val="auto"/>
        </w:rPr>
        <w:t>Remaining retail to open in Q4 2015/</w:t>
      </w:r>
    </w:p>
    <w:p>
      <w:pPr>
        <w:ind w:left="9160"/>
        <w:spacing w:after="0" w:line="221" w:lineRule="auto"/>
        <w:rPr>
          <w:sz w:val="20"/>
          <w:szCs w:val="20"/>
          <w:color w:val="auto"/>
        </w:rPr>
      </w:pPr>
      <w:r>
        <w:rPr>
          <w:rFonts w:ascii="Arial" w:cs="Arial" w:eastAsia="Arial" w:hAnsi="Arial"/>
          <w:sz w:val="14"/>
          <w:szCs w:val="14"/>
          <w:color w:val="auto"/>
        </w:rPr>
        <w:t>Q1 2016.</w:t>
      </w:r>
    </w:p>
    <w:p>
      <w:pPr>
        <w:ind w:left="9160"/>
        <w:spacing w:after="0"/>
        <w:rPr>
          <w:sz w:val="20"/>
          <w:szCs w:val="20"/>
          <w:color w:val="auto"/>
        </w:rPr>
      </w:pPr>
      <w:r>
        <w:rPr>
          <w:rFonts w:ascii="Arial" w:cs="Arial" w:eastAsia="Arial" w:hAnsi="Arial"/>
          <w:sz w:val="13"/>
          <w:szCs w:val="13"/>
          <w:color w:val="auto"/>
        </w:rPr>
        <w:t>•40,000 sf of office space delivered as</w:t>
      </w:r>
    </w:p>
    <w:p>
      <w:pPr>
        <w:ind w:left="9160"/>
        <w:spacing w:after="0" w:line="221" w:lineRule="auto"/>
        <w:rPr>
          <w:sz w:val="20"/>
          <w:szCs w:val="20"/>
          <w:color w:val="auto"/>
        </w:rPr>
      </w:pPr>
      <w:r>
        <w:rPr>
          <w:rFonts w:ascii="Arial" w:cs="Arial" w:eastAsia="Arial" w:hAnsi="Arial"/>
          <w:sz w:val="14"/>
          <w:szCs w:val="14"/>
          <w:color w:val="auto"/>
        </w:rPr>
        <w:t>of 9/30/15; 70% leased; 100%</w:t>
      </w:r>
    </w:p>
    <w:p>
      <w:pPr>
        <w:ind w:left="9160"/>
        <w:spacing w:after="0" w:line="221" w:lineRule="auto"/>
        <w:rPr>
          <w:sz w:val="20"/>
          <w:szCs w:val="20"/>
          <w:color w:val="auto"/>
        </w:rPr>
      </w:pPr>
      <w:r>
        <w:rPr>
          <w:rFonts w:ascii="Arial" w:cs="Arial" w:eastAsia="Arial" w:hAnsi="Arial"/>
          <w:sz w:val="14"/>
          <w:szCs w:val="14"/>
          <w:color w:val="auto"/>
        </w:rPr>
        <w:t>leased/under LOI</w:t>
      </w:r>
    </w:p>
    <w:p>
      <w:pPr>
        <w:ind w:left="9160"/>
        <w:spacing w:after="0" w:line="222" w:lineRule="auto"/>
        <w:rPr>
          <w:sz w:val="20"/>
          <w:szCs w:val="20"/>
          <w:color w:val="auto"/>
        </w:rPr>
      </w:pPr>
      <w:r>
        <w:rPr>
          <w:rFonts w:ascii="Arial" w:cs="Arial" w:eastAsia="Arial" w:hAnsi="Arial"/>
          <w:sz w:val="14"/>
          <w:szCs w:val="14"/>
          <w:color w:val="auto"/>
        </w:rPr>
        <w:t>•319 unit residential building initially</w:t>
      </w:r>
    </w:p>
    <w:p>
      <w:pPr>
        <w:ind w:left="9160"/>
        <w:spacing w:after="0" w:line="221" w:lineRule="auto"/>
        <w:rPr>
          <w:sz w:val="20"/>
          <w:szCs w:val="20"/>
          <w:color w:val="auto"/>
        </w:rPr>
      </w:pPr>
      <w:r>
        <w:rPr>
          <w:rFonts w:ascii="Arial" w:cs="Arial" w:eastAsia="Arial" w:hAnsi="Arial"/>
          <w:sz w:val="14"/>
          <w:szCs w:val="14"/>
          <w:color w:val="auto"/>
        </w:rPr>
        <w:t>opened in July 2015 with delivery of</w:t>
      </w:r>
    </w:p>
    <w:p>
      <w:pPr>
        <w:ind w:left="9160"/>
        <w:spacing w:after="0" w:line="222" w:lineRule="auto"/>
        <w:rPr>
          <w:sz w:val="20"/>
          <w:szCs w:val="20"/>
          <w:color w:val="auto"/>
        </w:rPr>
      </w:pPr>
      <w:r>
        <w:rPr>
          <w:rFonts w:ascii="Arial" w:cs="Arial" w:eastAsia="Arial" w:hAnsi="Arial"/>
          <w:sz w:val="14"/>
          <w:szCs w:val="14"/>
          <w:color w:val="auto"/>
        </w:rPr>
        <w:t>units through Q2 2016. Expected to</w:t>
      </w:r>
    </w:p>
    <w:p>
      <w:pPr>
        <w:ind w:left="9160"/>
        <w:spacing w:after="0" w:line="221" w:lineRule="auto"/>
        <w:rPr>
          <w:sz w:val="20"/>
          <w:szCs w:val="20"/>
          <w:color w:val="auto"/>
        </w:rPr>
      </w:pPr>
      <w:r>
        <w:rPr>
          <w:rFonts w:ascii="Arial" w:cs="Arial" w:eastAsia="Arial" w:hAnsi="Arial"/>
          <w:sz w:val="14"/>
          <w:szCs w:val="14"/>
          <w:color w:val="auto"/>
        </w:rPr>
        <w:t>achieve stabilized occupancy in Q4</w:t>
      </w:r>
    </w:p>
    <w:p>
      <w:pPr>
        <w:spacing w:after="0" w:line="1" w:lineRule="exact"/>
        <w:rPr>
          <w:sz w:val="20"/>
          <w:szCs w:val="20"/>
          <w:color w:val="auto"/>
        </w:rPr>
      </w:pPr>
    </w:p>
    <w:p>
      <w:pPr>
        <w:ind w:left="9160"/>
        <w:spacing w:after="0"/>
        <w:rPr>
          <w:sz w:val="20"/>
          <w:szCs w:val="20"/>
          <w:color w:val="auto"/>
        </w:rPr>
      </w:pPr>
      <w:r>
        <w:rPr>
          <w:rFonts w:ascii="Arial" w:cs="Arial" w:eastAsia="Arial" w:hAnsi="Arial"/>
          <w:sz w:val="14"/>
          <w:szCs w:val="14"/>
          <w:color w:val="auto"/>
        </w:rPr>
        <w:t>2016.</w:t>
      </w:r>
    </w:p>
    <w:p>
      <w:pPr>
        <w:sectPr>
          <w:pgSz w:w="11900" w:h="16838" w:orient="portrait"/>
          <w:cols w:equalWidth="0" w:num="1">
            <w:col w:w="11420"/>
          </w:cols>
          <w:pgMar w:left="240" w:top="760" w:right="239" w:bottom="1440" w:gutter="0" w:footer="0" w:header="0"/>
        </w:sectPr>
      </w:pPr>
    </w:p>
    <w:p>
      <w:pPr>
        <w:spacing w:after="0" w:line="178" w:lineRule="exact"/>
        <w:rPr>
          <w:sz w:val="20"/>
          <w:szCs w:val="20"/>
          <w:color w:val="auto"/>
        </w:rPr>
      </w:pPr>
    </w:p>
    <w:p>
      <w:pPr>
        <w:ind w:left="40"/>
        <w:spacing w:after="0"/>
        <w:tabs>
          <w:tab w:leader="none" w:pos="2760" w:val="left"/>
        </w:tabs>
        <w:rPr>
          <w:sz w:val="20"/>
          <w:szCs w:val="20"/>
          <w:color w:val="auto"/>
        </w:rPr>
      </w:pPr>
      <w:r>
        <w:rPr>
          <w:rFonts w:ascii="Arial" w:cs="Arial" w:eastAsia="Arial" w:hAnsi="Arial"/>
          <w:sz w:val="14"/>
          <w:szCs w:val="14"/>
          <w:color w:val="auto"/>
        </w:rPr>
        <w:t>Assembly Row - Phase I Somerville, MA</w:t>
      </w:r>
      <w:r>
        <w:rPr>
          <w:sz w:val="20"/>
          <w:szCs w:val="20"/>
          <w:color w:val="auto"/>
        </w:rPr>
        <w:tab/>
      </w:r>
      <w:r>
        <w:rPr>
          <w:rFonts w:ascii="Arial" w:cs="Arial" w:eastAsia="Arial" w:hAnsi="Arial"/>
          <w:sz w:val="13"/>
          <w:szCs w:val="13"/>
          <w:color w:val="auto"/>
        </w:rPr>
        <w:t>Initial phase consists of 445 residential</w:t>
      </w:r>
    </w:p>
    <w:p>
      <w:pPr>
        <w:ind w:left="2780"/>
        <w:spacing w:after="0" w:line="221" w:lineRule="auto"/>
        <w:rPr>
          <w:sz w:val="20"/>
          <w:szCs w:val="20"/>
          <w:color w:val="auto"/>
        </w:rPr>
      </w:pPr>
      <w:r>
        <w:rPr>
          <w:rFonts w:ascii="Arial" w:cs="Arial" w:eastAsia="Arial" w:hAnsi="Arial"/>
          <w:sz w:val="14"/>
          <w:szCs w:val="14"/>
          <w:color w:val="auto"/>
        </w:rPr>
        <w:t>units (by AvalonBay), in addition to</w:t>
      </w:r>
    </w:p>
    <w:p>
      <w:pPr>
        <w:ind w:left="2780"/>
        <w:spacing w:after="0" w:line="221" w:lineRule="auto"/>
        <w:rPr>
          <w:sz w:val="20"/>
          <w:szCs w:val="20"/>
          <w:color w:val="auto"/>
        </w:rPr>
      </w:pPr>
      <w:r>
        <w:rPr>
          <w:rFonts w:ascii="Arial" w:cs="Arial" w:eastAsia="Arial" w:hAnsi="Arial"/>
          <w:sz w:val="14"/>
          <w:szCs w:val="14"/>
          <w:color w:val="auto"/>
        </w:rPr>
        <w:t>98,000 square feet of office space and</w:t>
      </w:r>
    </w:p>
    <w:p>
      <w:pPr>
        <w:ind w:left="2780"/>
        <w:spacing w:after="0" w:line="222" w:lineRule="auto"/>
        <w:rPr>
          <w:sz w:val="20"/>
          <w:szCs w:val="20"/>
          <w:color w:val="auto"/>
        </w:rPr>
      </w:pPr>
      <w:r>
        <w:rPr>
          <w:rFonts w:ascii="Arial" w:cs="Arial" w:eastAsia="Arial" w:hAnsi="Arial"/>
          <w:sz w:val="14"/>
          <w:szCs w:val="14"/>
          <w:color w:val="auto"/>
        </w:rPr>
        <w:t>approximately 331,000 square feet of</w:t>
      </w:r>
    </w:p>
    <w:p>
      <w:pPr>
        <w:ind w:left="2780"/>
        <w:spacing w:after="0" w:line="221" w:lineRule="auto"/>
        <w:rPr>
          <w:sz w:val="20"/>
          <w:szCs w:val="20"/>
          <w:color w:val="auto"/>
        </w:rPr>
      </w:pPr>
      <w:r>
        <w:rPr>
          <w:rFonts w:ascii="Arial" w:cs="Arial" w:eastAsia="Arial" w:hAnsi="Arial"/>
          <w:sz w:val="14"/>
          <w:szCs w:val="14"/>
          <w:color w:val="auto"/>
        </w:rPr>
        <w:t>retail space (including a restaurant pad</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2"/>
          <w:szCs w:val="12"/>
          <w:color w:val="auto"/>
        </w:rPr>
        <w:t>site). A new Orange Line T-Stop has been</w:t>
      </w:r>
    </w:p>
    <w:p>
      <w:pPr>
        <w:spacing w:after="0" w:line="11" w:lineRule="exact"/>
        <w:rPr>
          <w:sz w:val="20"/>
          <w:szCs w:val="20"/>
          <w:color w:val="auto"/>
        </w:rPr>
      </w:pPr>
    </w:p>
    <w:p>
      <w:pPr>
        <w:ind w:left="2780"/>
        <w:spacing w:after="0"/>
        <w:rPr>
          <w:sz w:val="20"/>
          <w:szCs w:val="20"/>
          <w:color w:val="auto"/>
        </w:rPr>
      </w:pPr>
      <w:r>
        <w:rPr>
          <w:rFonts w:ascii="Arial" w:cs="Arial" w:eastAsia="Arial" w:hAnsi="Arial"/>
          <w:sz w:val="12"/>
          <w:szCs w:val="12"/>
          <w:color w:val="auto"/>
        </w:rPr>
        <w:t>constructed by Massachusetts Bay Transit</w:t>
      </w:r>
    </w:p>
    <w:p>
      <w:pPr>
        <w:spacing w:after="0" w:line="11"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Authority, as part of Phase I.</w:t>
      </w:r>
    </w:p>
    <w:p>
      <w:pPr>
        <w:spacing w:after="0" w:line="26" w:lineRule="exact"/>
        <w:rPr>
          <w:sz w:val="20"/>
          <w:szCs w:val="20"/>
          <w:color w:val="auto"/>
        </w:rPr>
      </w:pPr>
    </w:p>
    <w:p>
      <w:pPr>
        <w:ind w:left="2780"/>
        <w:spacing w:after="0"/>
        <w:rPr>
          <w:sz w:val="20"/>
          <w:szCs w:val="20"/>
          <w:color w:val="auto"/>
        </w:rPr>
      </w:pPr>
      <w:r>
        <w:rPr>
          <w:rFonts w:ascii="Arial" w:cs="Arial" w:eastAsia="Arial" w:hAnsi="Arial"/>
          <w:sz w:val="13"/>
          <w:szCs w:val="13"/>
          <w:b w:val="1"/>
          <w:bCs w:val="1"/>
          <w:color w:val="auto"/>
        </w:rPr>
        <w:t>Total Phases delivered or delivering in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640" w:type="dxa"/>
            <w:vAlign w:val="bottom"/>
          </w:tcPr>
          <w:p>
            <w:pPr>
              <w:ind w:left="20"/>
              <w:spacing w:after="0"/>
              <w:rPr>
                <w:sz w:val="20"/>
                <w:szCs w:val="20"/>
                <w:color w:val="auto"/>
              </w:rPr>
            </w:pPr>
            <w:r>
              <w:rPr>
                <w:rFonts w:ascii="Arial" w:cs="Arial" w:eastAsia="Arial" w:hAnsi="Arial"/>
                <w:sz w:val="14"/>
                <w:szCs w:val="14"/>
                <w:color w:val="auto"/>
              </w:rPr>
              <w:t xml:space="preserve">- 6%  </w:t>
            </w:r>
            <w:r>
              <w:rPr>
                <w:rFonts w:ascii="Arial" w:cs="Arial" w:eastAsia="Arial" w:hAnsi="Arial"/>
                <w:sz w:val="14"/>
                <w:szCs w:val="14"/>
                <w:b w:val="1"/>
                <w:bCs w:val="1"/>
                <w:color w:val="auto"/>
              </w:rPr>
              <w:t>(5)</w:t>
            </w: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$194 - $196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$188</w:t>
            </w:r>
          </w:p>
        </w:tc>
        <w:tc>
          <w:tcPr>
            <w:tcW w:w="3280" w:type="dxa"/>
            <w:vAlign w:val="bottom"/>
          </w:tcPr>
          <w:p>
            <w:pPr>
              <w:ind w:left="20"/>
              <w:spacing w:after="0"/>
              <w:rPr>
                <w:sz w:val="20"/>
                <w:szCs w:val="20"/>
                <w:color w:val="auto"/>
              </w:rPr>
            </w:pPr>
            <w:r>
              <w:rPr>
                <w:rFonts w:ascii="Arial" w:cs="Arial" w:eastAsia="Arial" w:hAnsi="Arial"/>
                <w:sz w:val="14"/>
                <w:szCs w:val="14"/>
                <w:b w:val="1"/>
                <w:bCs w:val="1"/>
                <w:color w:val="auto"/>
                <w:w w:val="96"/>
              </w:rPr>
              <w:t xml:space="preserve">(5)  </w:t>
            </w:r>
            <w:r>
              <w:rPr>
                <w:rFonts w:ascii="Arial" w:cs="Arial" w:eastAsia="Arial" w:hAnsi="Arial"/>
                <w:sz w:val="14"/>
                <w:szCs w:val="14"/>
                <w:color w:val="auto"/>
                <w:w w:val="96"/>
              </w:rPr>
              <w:t>2015/2016  •Retail 97% open and 100% leased as</w:t>
            </w:r>
          </w:p>
        </w:tc>
      </w:tr>
      <w:tr>
        <w:trPr>
          <w:trHeight w:val="149"/>
        </w:trPr>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80" w:type="dxa"/>
            <w:vAlign w:val="bottom"/>
          </w:tcPr>
          <w:p>
            <w:pPr>
              <w:ind w:left="1080"/>
              <w:spacing w:after="0" w:line="149" w:lineRule="exact"/>
              <w:rPr>
                <w:sz w:val="20"/>
                <w:szCs w:val="20"/>
                <w:color w:val="auto"/>
              </w:rPr>
            </w:pPr>
            <w:r>
              <w:rPr>
                <w:rFonts w:ascii="Arial" w:cs="Arial" w:eastAsia="Arial" w:hAnsi="Arial"/>
                <w:sz w:val="14"/>
                <w:szCs w:val="14"/>
                <w:color w:val="auto"/>
              </w:rPr>
              <w:t>of 9/30/15</w:t>
            </w:r>
          </w:p>
        </w:tc>
      </w:tr>
      <w:tr>
        <w:trPr>
          <w:trHeight w:val="149"/>
        </w:trPr>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80" w:type="dxa"/>
            <w:vAlign w:val="bottom"/>
          </w:tcPr>
          <w:p>
            <w:pPr>
              <w:ind w:left="1080"/>
              <w:spacing w:after="0" w:line="149" w:lineRule="exact"/>
              <w:rPr>
                <w:sz w:val="20"/>
                <w:szCs w:val="20"/>
                <w:color w:val="auto"/>
              </w:rPr>
            </w:pPr>
            <w:r>
              <w:rPr>
                <w:rFonts w:ascii="Arial" w:cs="Arial" w:eastAsia="Arial" w:hAnsi="Arial"/>
                <w:sz w:val="14"/>
                <w:szCs w:val="14"/>
                <w:color w:val="auto"/>
                <w:w w:val="92"/>
              </w:rPr>
              <w:t>•33,000 sf of office space delivered as</w:t>
            </w:r>
          </w:p>
        </w:tc>
      </w:tr>
      <w:tr>
        <w:trPr>
          <w:trHeight w:val="149"/>
        </w:trPr>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80" w:type="dxa"/>
            <w:vAlign w:val="bottom"/>
          </w:tcPr>
          <w:p>
            <w:pPr>
              <w:ind w:left="1080"/>
              <w:spacing w:after="0" w:line="149" w:lineRule="exact"/>
              <w:rPr>
                <w:sz w:val="20"/>
                <w:szCs w:val="20"/>
                <w:color w:val="auto"/>
              </w:rPr>
            </w:pPr>
            <w:r>
              <w:rPr>
                <w:rFonts w:ascii="Arial" w:cs="Arial" w:eastAsia="Arial" w:hAnsi="Arial"/>
                <w:sz w:val="14"/>
                <w:szCs w:val="14"/>
                <w:color w:val="auto"/>
              </w:rPr>
              <w:t>of 9/30/15; 100% leased</w:t>
            </w:r>
          </w:p>
        </w:tc>
      </w:tr>
      <w:tr>
        <w:trPr>
          <w:trHeight w:val="182"/>
        </w:trPr>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80" w:type="dxa"/>
            <w:vAlign w:val="bottom"/>
          </w:tcPr>
          <w:p>
            <w:pPr>
              <w:ind w:left="1080"/>
              <w:spacing w:after="0"/>
              <w:rPr>
                <w:sz w:val="20"/>
                <w:szCs w:val="20"/>
                <w:color w:val="auto"/>
              </w:rPr>
            </w:pPr>
            <w:r>
              <w:rPr>
                <w:rFonts w:ascii="Arial" w:cs="Arial" w:eastAsia="Arial" w:hAnsi="Arial"/>
                <w:sz w:val="14"/>
                <w:szCs w:val="14"/>
                <w:color w:val="auto"/>
                <w:w w:val="99"/>
              </w:rPr>
              <w:t>•T Station opened September 2014</w:t>
            </w:r>
          </w:p>
        </w:tc>
      </w:tr>
      <w:tr>
        <w:trPr>
          <w:trHeight w:val="458"/>
        </w:trPr>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r>
      <w:tr>
        <w:trPr>
          <w:trHeight w:val="184"/>
        </w:trPr>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- 7%</w:t>
            </w: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$459 - $466</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$441</w:t>
            </w:r>
          </w:p>
        </w:tc>
        <w:tc>
          <w:tcPr>
            <w:tcW w:w="3280" w:type="dxa"/>
            <w:vAlign w:val="bottom"/>
          </w:tcPr>
          <w:p>
            <w:pPr>
              <w:spacing w:after="0"/>
              <w:rPr>
                <w:sz w:val="16"/>
                <w:szCs w:val="16"/>
                <w:color w:val="auto"/>
              </w:rPr>
            </w:pPr>
          </w:p>
        </w:tc>
      </w:tr>
      <w:tr>
        <w:trPr>
          <w:trHeight w:val="147"/>
        </w:trPr>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-231140</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102870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5200" w:space="40"/>
            <w:col w:w="6180"/>
          </w:cols>
          <w:pgMar w:left="240" w:top="760"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u w:val="single" w:color="auto"/>
          <w:color w:val="auto"/>
        </w:rPr>
        <w:t>Phases commencing in 2015/2016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Pike &amp; Rose - Phase II</w:t>
            </w:r>
          </w:p>
        </w:tc>
        <w:tc>
          <w:tcPr>
            <w:tcW w:w="1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North Bethesda,</w:t>
            </w: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1"/>
              </w:rPr>
              <w:t>Ground up mixed use development. Phase</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7% - 8%</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$207</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2018/2019</w:t>
            </w:r>
          </w:p>
        </w:tc>
        <w:tc>
          <w:tcPr>
            <w:tcW w:w="2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Projected opening - late 2017/2018</w:t>
            </w: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MD</w:t>
            </w: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II consists of 190,000 square feet of retail,</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272 residential units, and a 177 room</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hotel. Added pre-leased auto dealership</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94"/>
        </w:trPr>
        <w:tc>
          <w:tcPr>
            <w:tcW w:w="1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w:t>
            </w: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r>
      <w:tr>
        <w:trPr>
          <w:trHeight w:val="157"/>
        </w:trPr>
        <w:tc>
          <w:tcPr>
            <w:tcW w:w="1440" w:type="dxa"/>
            <w:vAlign w:val="bottom"/>
          </w:tcPr>
          <w:p>
            <w:pPr>
              <w:spacing w:after="0"/>
              <w:rPr>
                <w:sz w:val="13"/>
                <w:szCs w:val="13"/>
                <w:color w:val="auto"/>
              </w:rPr>
            </w:pPr>
          </w:p>
        </w:tc>
        <w:tc>
          <w:tcPr>
            <w:tcW w:w="1180" w:type="dxa"/>
            <w:vAlign w:val="bottom"/>
          </w:tcPr>
          <w:p>
            <w:pPr>
              <w:ind w:left="8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tcPr>
          <w:p>
            <w:pPr>
              <w:ind w:left="160"/>
              <w:spacing w:after="0" w:line="157" w:lineRule="exact"/>
              <w:rPr>
                <w:sz w:val="20"/>
                <w:szCs w:val="20"/>
                <w:color w:val="auto"/>
              </w:rPr>
            </w:pPr>
            <w:r>
              <w:rPr>
                <w:rFonts w:ascii="Arial" w:cs="Arial" w:eastAsia="Arial" w:hAnsi="Arial"/>
                <w:sz w:val="14"/>
                <w:szCs w:val="14"/>
                <w:color w:val="auto"/>
              </w:rPr>
              <w:t>104 for-sale condominium units</w:t>
            </w: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84"/>
              </w:rPr>
              <w:t>-</w:t>
            </w:r>
          </w:p>
        </w:tc>
        <w:tc>
          <w:tcPr>
            <w:tcW w:w="2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(6)</w:t>
            </w: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$53</w:t>
            </w:r>
          </w:p>
        </w:tc>
        <w:tc>
          <w:tcPr>
            <w:tcW w:w="760" w:type="dxa"/>
            <w:vAlign w:val="bottom"/>
          </w:tcPr>
          <w:p>
            <w:pPr>
              <w:ind w:left="20"/>
              <w:spacing w:after="0" w:line="157" w:lineRule="exact"/>
              <w:rPr>
                <w:sz w:val="20"/>
                <w:szCs w:val="20"/>
                <w:color w:val="auto"/>
              </w:rPr>
            </w:pPr>
            <w:r>
              <w:rPr>
                <w:rFonts w:ascii="Arial" w:cs="Arial" w:eastAsia="Arial" w:hAnsi="Arial"/>
                <w:sz w:val="14"/>
                <w:szCs w:val="14"/>
                <w:color w:val="auto"/>
              </w:rPr>
              <w:t>- $58</w:t>
            </w:r>
          </w:p>
        </w:tc>
        <w:tc>
          <w:tcPr>
            <w:tcW w:w="7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$9</w:t>
            </w:r>
          </w:p>
        </w:tc>
        <w:tc>
          <w:tcPr>
            <w:tcW w:w="10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88"/>
        </w:trPr>
        <w:tc>
          <w:tcPr>
            <w:tcW w:w="1440" w:type="dxa"/>
            <w:vAlign w:val="bottom"/>
          </w:tcPr>
          <w:p>
            <w:pPr>
              <w:spacing w:after="0"/>
              <w:rPr>
                <w:sz w:val="16"/>
                <w:szCs w:val="16"/>
                <w:color w:val="auto"/>
              </w:rPr>
            </w:pPr>
          </w:p>
        </w:tc>
        <w:tc>
          <w:tcPr>
            <w:tcW w:w="1180" w:type="dxa"/>
            <w:vAlign w:val="bottom"/>
          </w:tcPr>
          <w:p>
            <w:pPr>
              <w:ind w:left="80"/>
              <w:spacing w:after="0"/>
              <w:rPr>
                <w:sz w:val="20"/>
                <w:szCs w:val="20"/>
                <w:color w:val="auto"/>
              </w:rPr>
            </w:pPr>
            <w:r>
              <w:rPr>
                <w:rFonts w:ascii="Arial" w:cs="Arial" w:eastAsia="Arial" w:hAnsi="Arial"/>
                <w:sz w:val="14"/>
                <w:szCs w:val="14"/>
                <w:color w:val="auto"/>
              </w:rPr>
              <w:t>MD</w:t>
            </w:r>
          </w:p>
        </w:tc>
        <w:tc>
          <w:tcPr>
            <w:tcW w:w="2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63"/>
        </w:trPr>
        <w:tc>
          <w:tcPr>
            <w:tcW w:w="1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Assembly Row - Phase</w:t>
            </w:r>
          </w:p>
        </w:tc>
        <w:tc>
          <w:tcPr>
            <w:tcW w:w="1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Somerville, MA</w:t>
            </w: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4"/>
              </w:rPr>
              <w:t>Second phase of development consists of</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$285</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2018/2019</w:t>
            </w:r>
          </w:p>
        </w:tc>
        <w:tc>
          <w:tcPr>
            <w:tcW w:w="2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Projected opening - late 2017/2018</w:t>
            </w:r>
          </w:p>
        </w:tc>
      </w:tr>
      <w:tr>
        <w:trPr>
          <w:trHeight w:val="149"/>
        </w:trPr>
        <w:tc>
          <w:tcPr>
            <w:tcW w:w="1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II</w:t>
            </w: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167,000 square feet of retail, 447</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residential units, and a 155 room boutique</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hotel. Additionally, there will be</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approximately 700,000 square feet of</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office space constructed by Partners</w:t>
            </w: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94"/>
        </w:trPr>
        <w:tc>
          <w:tcPr>
            <w:tcW w:w="1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w:t>
            </w: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r>
      <w:tr>
        <w:trPr>
          <w:trHeight w:val="191"/>
        </w:trPr>
        <w:tc>
          <w:tcPr>
            <w:tcW w:w="1440" w:type="dxa"/>
            <w:vAlign w:val="bottom"/>
          </w:tcPr>
          <w:p>
            <w:pPr>
              <w:spacing w:after="0"/>
              <w:rPr>
                <w:sz w:val="16"/>
                <w:szCs w:val="16"/>
                <w:color w:val="auto"/>
              </w:rPr>
            </w:pPr>
          </w:p>
        </w:tc>
        <w:tc>
          <w:tcPr>
            <w:tcW w:w="1180" w:type="dxa"/>
            <w:vAlign w:val="bottom"/>
          </w:tcPr>
          <w:p>
            <w:pPr>
              <w:ind w:left="80"/>
              <w:spacing w:after="0"/>
              <w:rPr>
                <w:sz w:val="20"/>
                <w:szCs w:val="20"/>
                <w:color w:val="auto"/>
              </w:rPr>
            </w:pPr>
            <w:r>
              <w:rPr>
                <w:rFonts w:ascii="Arial" w:cs="Arial" w:eastAsia="Arial" w:hAnsi="Arial"/>
                <w:sz w:val="14"/>
                <w:szCs w:val="14"/>
                <w:color w:val="auto"/>
              </w:rPr>
              <w:t>Somerville, MA</w:t>
            </w:r>
          </w:p>
        </w:tc>
        <w:tc>
          <w:tcPr>
            <w:tcW w:w="2620" w:type="dxa"/>
            <w:vAlign w:val="bottom"/>
          </w:tcPr>
          <w:p>
            <w:pPr>
              <w:ind w:left="160"/>
              <w:spacing w:after="0"/>
              <w:rPr>
                <w:sz w:val="20"/>
                <w:szCs w:val="20"/>
                <w:color w:val="auto"/>
              </w:rPr>
            </w:pPr>
            <w:r>
              <w:rPr>
                <w:rFonts w:ascii="Arial" w:cs="Arial" w:eastAsia="Arial" w:hAnsi="Arial"/>
                <w:sz w:val="14"/>
                <w:szCs w:val="14"/>
                <w:color w:val="auto"/>
              </w:rPr>
              <w:t>117 for-sale condominium units</w:t>
            </w:r>
          </w:p>
        </w:tc>
        <w:tc>
          <w:tcPr>
            <w:tcW w:w="6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380" w:type="dxa"/>
            <w:vAlign w:val="bottom"/>
          </w:tcPr>
          <w:p>
            <w:pPr>
              <w:jc w:val="right"/>
              <w:spacing w:after="0"/>
              <w:rPr>
                <w:sz w:val="20"/>
                <w:szCs w:val="20"/>
                <w:color w:val="auto"/>
              </w:rPr>
            </w:pPr>
            <w:r>
              <w:rPr>
                <w:rFonts w:ascii="Arial" w:cs="Arial" w:eastAsia="Arial" w:hAnsi="Arial"/>
                <w:sz w:val="14"/>
                <w:szCs w:val="14"/>
                <w:color w:val="auto"/>
              </w:rPr>
              <w:t>$62</w:t>
            </w:r>
          </w:p>
        </w:tc>
        <w:tc>
          <w:tcPr>
            <w:tcW w:w="760" w:type="dxa"/>
            <w:vAlign w:val="bottom"/>
          </w:tcPr>
          <w:p>
            <w:pPr>
              <w:ind w:left="20"/>
              <w:spacing w:after="0"/>
              <w:rPr>
                <w:sz w:val="20"/>
                <w:szCs w:val="20"/>
                <w:color w:val="auto"/>
              </w:rPr>
            </w:pPr>
            <w:r>
              <w:rPr>
                <w:rFonts w:ascii="Arial" w:cs="Arial" w:eastAsia="Arial" w:hAnsi="Arial"/>
                <w:sz w:val="14"/>
                <w:szCs w:val="14"/>
                <w:color w:val="auto"/>
              </w:rPr>
              <w:t>- $67</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2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80"/>
        </w:trPr>
        <w:tc>
          <w:tcPr>
            <w:tcW w:w="144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26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2320" w:type="dxa"/>
            <w:vAlign w:val="bottom"/>
            <w:tcBorders>
              <w:bottom w:val="single" w:sz="8" w:color="CCEEFF"/>
            </w:tcBorders>
          </w:tcPr>
          <w:p>
            <w:pPr>
              <w:spacing w:after="0"/>
              <w:rPr>
                <w:sz w:val="6"/>
                <w:szCs w:val="6"/>
                <w:color w:val="auto"/>
              </w:rPr>
            </w:pPr>
          </w:p>
        </w:tc>
      </w:tr>
      <w:tr>
        <w:trPr>
          <w:trHeight w:val="146"/>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b w:val="1"/>
                <w:bCs w:val="1"/>
                <w:color w:val="auto"/>
                <w:w w:val="92"/>
              </w:rPr>
              <w:t>Total Phases commencing in 2015/2016</w:t>
            </w:r>
          </w:p>
        </w:tc>
        <w:tc>
          <w:tcPr>
            <w:tcW w:w="66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b w:val="1"/>
                <w:bCs w:val="1"/>
                <w:color w:val="auto"/>
              </w:rPr>
              <w:t>7% -</w:t>
            </w:r>
          </w:p>
        </w:tc>
        <w:tc>
          <w:tcPr>
            <w:tcW w:w="2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(6)</w:t>
            </w:r>
          </w:p>
        </w:tc>
        <w:tc>
          <w:tcPr>
            <w:tcW w:w="3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$585</w:t>
            </w:r>
          </w:p>
        </w:tc>
        <w:tc>
          <w:tcPr>
            <w:tcW w:w="7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 $617</w:t>
            </w:r>
          </w:p>
        </w:tc>
        <w:tc>
          <w:tcPr>
            <w:tcW w:w="760" w:type="dxa"/>
            <w:vAlign w:val="bottom"/>
            <w:shd w:val="clear" w:color="auto" w:fill="CCEEFF"/>
          </w:tcPr>
          <w:p>
            <w:pPr>
              <w:jc w:val="right"/>
              <w:ind w:right="48"/>
              <w:spacing w:after="0" w:line="147" w:lineRule="exact"/>
              <w:rPr>
                <w:sz w:val="20"/>
                <w:szCs w:val="20"/>
                <w:color w:val="auto"/>
              </w:rPr>
            </w:pPr>
            <w:r>
              <w:rPr>
                <w:rFonts w:ascii="Arial" w:cs="Arial" w:eastAsia="Arial" w:hAnsi="Arial"/>
                <w:sz w:val="14"/>
                <w:szCs w:val="14"/>
                <w:b w:val="1"/>
                <w:bCs w:val="1"/>
                <w:color w:val="auto"/>
              </w:rPr>
              <w:t>$125</w:t>
            </w:r>
          </w:p>
        </w:tc>
        <w:tc>
          <w:tcPr>
            <w:tcW w:w="10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92"/>
        </w:trPr>
        <w:tc>
          <w:tcPr>
            <w:tcW w:w="1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7.5%</w:t>
            </w:r>
          </w:p>
        </w:tc>
        <w:tc>
          <w:tcPr>
            <w:tcW w:w="2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0" w:lineRule="exact"/>
        <w:rPr>
          <w:sz w:val="20"/>
          <w:szCs w:val="20"/>
          <w:color w:val="auto"/>
        </w:rPr>
      </w:pPr>
    </w:p>
    <w:p>
      <w:pPr>
        <w:ind w:left="500" w:right="280" w:hanging="465"/>
        <w:spacing w:after="0" w:line="23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Trust. Refer to the Trust's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20" w:hanging="465"/>
        <w:spacing w:after="0" w:line="253"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79"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costs of which we have claims for recovery against 3rd parties.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3"/>
          <w:szCs w:val="13"/>
          <w:color w:val="auto"/>
        </w:rPr>
        <w:t>Costs are net of expected reimbursement by third parties and land sale proceeds from expected exercise of option. Phase II total costs include our 50% share of the costs of our investment</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hotel.</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Condominiums shown at cost; the projected ROI for Phase II does not assume any incremental profit on the sale of condominium units; condominiums are assumed to be sold at cost.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2015</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c>
          <w:tcPr>
            <w:tcW w:w="2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Fresh Meadows</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Queens, NY</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Dedham, MA</w:t>
            </w:r>
          </w:p>
        </w:tc>
        <w:tc>
          <w:tcPr>
            <w:tcW w:w="2500" w:type="dxa"/>
            <w:vAlign w:val="bottom"/>
          </w:tcPr>
          <w:p>
            <w:pPr>
              <w:ind w:left="660"/>
              <w:spacing w:after="0"/>
              <w:rPr>
                <w:sz w:val="20"/>
                <w:szCs w:val="20"/>
                <w:color w:val="auto"/>
              </w:rPr>
            </w:pPr>
            <w:r>
              <w:rPr>
                <w:rFonts w:ascii="Arial" w:cs="Arial" w:eastAsia="Arial" w:hAnsi="Arial"/>
                <w:sz w:val="16"/>
                <w:szCs w:val="16"/>
                <w:b w:val="1"/>
                <w:bCs w:val="1"/>
                <w:color w:val="auto"/>
              </w:rPr>
              <w:t>Melville Mall</w:t>
            </w:r>
          </w:p>
        </w:tc>
        <w:tc>
          <w:tcPr>
            <w:tcW w:w="4380" w:type="dxa"/>
            <w:vAlign w:val="bottom"/>
          </w:tcPr>
          <w:p>
            <w:pPr>
              <w:ind w:left="780"/>
              <w:spacing w:after="0"/>
              <w:rPr>
                <w:sz w:val="20"/>
                <w:szCs w:val="20"/>
                <w:color w:val="auto"/>
              </w:rPr>
            </w:pPr>
            <w:r>
              <w:rPr>
                <w:rFonts w:ascii="Arial" w:cs="Arial" w:eastAsia="Arial" w:hAnsi="Arial"/>
                <w:sz w:val="16"/>
                <w:szCs w:val="16"/>
                <w:color w:val="auto"/>
              </w:rPr>
              <w:t>Huntington, NY</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Escondido, CA</w:t>
            </w:r>
          </w:p>
        </w:tc>
        <w:tc>
          <w:tcPr>
            <w:tcW w:w="2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Mercer Mall</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Lawrenceville, NJ</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Rockville, MD</w:t>
            </w:r>
          </w:p>
        </w:tc>
        <w:tc>
          <w:tcPr>
            <w:tcW w:w="2500" w:type="dxa"/>
            <w:vAlign w:val="bottom"/>
          </w:tcPr>
          <w:p>
            <w:pPr>
              <w:ind w:left="660"/>
              <w:spacing w:after="0"/>
              <w:rPr>
                <w:sz w:val="20"/>
                <w:szCs w:val="20"/>
                <w:color w:val="auto"/>
              </w:rPr>
            </w:pPr>
            <w:r>
              <w:rPr>
                <w:rFonts w:ascii="Arial" w:cs="Arial" w:eastAsia="Arial" w:hAnsi="Arial"/>
                <w:sz w:val="16"/>
                <w:szCs w:val="16"/>
                <w:b w:val="1"/>
                <w:bCs w:val="1"/>
                <w:color w:val="auto"/>
              </w:rPr>
              <w:t>Pan Am</w:t>
            </w:r>
          </w:p>
        </w:tc>
        <w:tc>
          <w:tcPr>
            <w:tcW w:w="4380" w:type="dxa"/>
            <w:vAlign w:val="bottom"/>
          </w:tcPr>
          <w:p>
            <w:pPr>
              <w:ind w:left="780"/>
              <w:spacing w:after="0"/>
              <w:rPr>
                <w:sz w:val="20"/>
                <w:szCs w:val="20"/>
                <w:color w:val="auto"/>
              </w:rPr>
            </w:pPr>
            <w:r>
              <w:rPr>
                <w:rFonts w:ascii="Arial" w:cs="Arial" w:eastAsia="Arial" w:hAnsi="Arial"/>
                <w:sz w:val="16"/>
                <w:szCs w:val="16"/>
                <w:color w:val="auto"/>
              </w:rPr>
              <w:t>Fairfax, VA</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24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1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Flourtown, PA</w:t>
            </w:r>
          </w:p>
        </w:tc>
        <w:tc>
          <w:tcPr>
            <w:tcW w:w="250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Wildwood</w:t>
            </w:r>
          </w:p>
        </w:tc>
        <w:tc>
          <w:tcPr>
            <w:tcW w:w="43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Bethesda, MD</w:t>
            </w:r>
          </w:p>
        </w:tc>
      </w:tr>
      <w:tr>
        <w:trPr>
          <w:trHeight w:val="33"/>
        </w:trPr>
        <w:tc>
          <w:tcPr>
            <w:tcW w:w="24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3"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Assembly Row</w:t>
            </w:r>
          </w:p>
        </w:tc>
        <w:tc>
          <w:tcPr>
            <w:tcW w:w="2480" w:type="dxa"/>
            <w:vAlign w:val="bottom"/>
          </w:tcPr>
          <w:p>
            <w:pPr>
              <w:ind w:left="700"/>
              <w:spacing w:after="0"/>
              <w:rPr>
                <w:sz w:val="20"/>
                <w:szCs w:val="20"/>
                <w:color w:val="auto"/>
              </w:rPr>
            </w:pPr>
            <w:r>
              <w:rPr>
                <w:rFonts w:ascii="Arial" w:cs="Arial" w:eastAsia="Arial" w:hAnsi="Arial"/>
                <w:sz w:val="16"/>
                <w:szCs w:val="16"/>
                <w:color w:val="auto"/>
              </w:rPr>
              <w:t>Somerville, MA</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080" w:type="dxa"/>
            <w:vAlign w:val="bottom"/>
          </w:tcPr>
          <w:p>
            <w:pPr>
              <w:ind w:left="480"/>
              <w:spacing w:after="0"/>
              <w:rPr>
                <w:sz w:val="20"/>
                <w:szCs w:val="20"/>
                <w:color w:val="auto"/>
              </w:rPr>
            </w:pPr>
            <w:r>
              <w:rPr>
                <w:rFonts w:ascii="Arial" w:cs="Arial" w:eastAsia="Arial" w:hAnsi="Arial"/>
                <w:sz w:val="16"/>
                <w:szCs w:val="16"/>
                <w:color w:val="auto"/>
              </w:rPr>
              <w:t>Queens, NY</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Barracks Road</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Charlottesville, VA</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Melville Mall</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Huntington, NY</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Bethesda Row</w:t>
            </w:r>
          </w:p>
        </w:tc>
        <w:tc>
          <w:tcPr>
            <w:tcW w:w="2480" w:type="dxa"/>
            <w:vAlign w:val="bottom"/>
          </w:tcPr>
          <w:p>
            <w:pPr>
              <w:ind w:left="700"/>
              <w:spacing w:after="0"/>
              <w:rPr>
                <w:sz w:val="20"/>
                <w:szCs w:val="20"/>
                <w:color w:val="auto"/>
              </w:rPr>
            </w:pPr>
            <w:r>
              <w:rPr>
                <w:rFonts w:ascii="Arial" w:cs="Arial" w:eastAsia="Arial" w:hAnsi="Arial"/>
                <w:sz w:val="16"/>
                <w:szCs w:val="16"/>
                <w:color w:val="auto"/>
              </w:rPr>
              <w:t>Bethesda, MD</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080" w:type="dxa"/>
            <w:vAlign w:val="bottom"/>
          </w:tcPr>
          <w:p>
            <w:pPr>
              <w:ind w:left="480"/>
              <w:spacing w:after="0"/>
              <w:rPr>
                <w:sz w:val="20"/>
                <w:szCs w:val="20"/>
                <w:color w:val="auto"/>
              </w:rPr>
            </w:pPr>
            <w:r>
              <w:rPr>
                <w:rFonts w:ascii="Arial" w:cs="Arial" w:eastAsia="Arial" w:hAnsi="Arial"/>
                <w:sz w:val="16"/>
                <w:szCs w:val="16"/>
                <w:color w:val="auto"/>
              </w:rPr>
              <w:t>Rockville, MD</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CocoWalk</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Miami, FL</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Northeast</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Philadelphia, PA</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480" w:type="dxa"/>
            <w:vAlign w:val="bottom"/>
          </w:tcPr>
          <w:p>
            <w:pPr>
              <w:ind w:left="700"/>
              <w:spacing w:after="0"/>
              <w:rPr>
                <w:sz w:val="20"/>
                <w:szCs w:val="20"/>
                <w:color w:val="auto"/>
              </w:rPr>
            </w:pPr>
            <w:r>
              <w:rPr>
                <w:rFonts w:ascii="Arial" w:cs="Arial" w:eastAsia="Arial" w:hAnsi="Arial"/>
                <w:sz w:val="16"/>
                <w:szCs w:val="16"/>
                <w:color w:val="auto"/>
              </w:rPr>
              <w:t>Highland Park, IL</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80" w:type="dxa"/>
            <w:vAlign w:val="bottom"/>
          </w:tcPr>
          <w:p>
            <w:pPr>
              <w:ind w:left="480"/>
              <w:spacing w:after="0"/>
              <w:rPr>
                <w:sz w:val="20"/>
                <w:szCs w:val="20"/>
                <w:color w:val="auto"/>
              </w:rPr>
            </w:pPr>
            <w:r>
              <w:rPr>
                <w:rFonts w:ascii="Arial" w:cs="Arial" w:eastAsia="Arial" w:hAnsi="Arial"/>
                <w:sz w:val="16"/>
                <w:szCs w:val="16"/>
                <w:color w:val="auto"/>
              </w:rPr>
              <w:t>Santa Monica, CA</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Darien, CT</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Del Mar Village</w:t>
            </w:r>
          </w:p>
        </w:tc>
        <w:tc>
          <w:tcPr>
            <w:tcW w:w="2480" w:type="dxa"/>
            <w:vAlign w:val="bottom"/>
          </w:tcPr>
          <w:p>
            <w:pPr>
              <w:ind w:left="700"/>
              <w:spacing w:after="0"/>
              <w:rPr>
                <w:sz w:val="20"/>
                <w:szCs w:val="20"/>
                <w:color w:val="auto"/>
              </w:rPr>
            </w:pPr>
            <w:r>
              <w:rPr>
                <w:rFonts w:ascii="Arial" w:cs="Arial" w:eastAsia="Arial" w:hAnsi="Arial"/>
                <w:sz w:val="16"/>
                <w:szCs w:val="16"/>
                <w:color w:val="auto"/>
              </w:rPr>
              <w:t>Boca Raton, FL</w:t>
            </w:r>
          </w:p>
        </w:tc>
        <w:tc>
          <w:tcPr>
            <w:tcW w:w="266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70"/>
        </w:trPr>
        <w:tc>
          <w:tcPr>
            <w:tcW w:w="220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40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Barracks Road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Charlottesville,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Arlington, VA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Graham Park Plaza</w:t>
            </w:r>
          </w:p>
        </w:tc>
        <w:tc>
          <w:tcPr>
            <w:tcW w:w="1900" w:type="dxa"/>
            <w:vAlign w:val="bottom"/>
          </w:tcPr>
          <w:p>
            <w:pPr>
              <w:ind w:left="80"/>
              <w:spacing w:after="0"/>
              <w:rPr>
                <w:sz w:val="20"/>
                <w:szCs w:val="20"/>
                <w:color w:val="auto"/>
              </w:rPr>
            </w:pPr>
            <w:r>
              <w:rPr>
                <w:rFonts w:ascii="Arial" w:cs="Arial" w:eastAsia="Arial" w:hAnsi="Arial"/>
                <w:sz w:val="16"/>
                <w:szCs w:val="16"/>
                <w:color w:val="auto"/>
              </w:rPr>
              <w:t>Falls Church, VA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Towson land parcel</w:t>
            </w:r>
          </w:p>
        </w:tc>
        <w:tc>
          <w:tcPr>
            <w:tcW w:w="3700" w:type="dxa"/>
            <w:vAlign w:val="bottom"/>
          </w:tcPr>
          <w:p>
            <w:pPr>
              <w:ind w:left="100"/>
              <w:spacing w:after="0"/>
              <w:rPr>
                <w:sz w:val="20"/>
                <w:szCs w:val="20"/>
                <w:color w:val="auto"/>
              </w:rPr>
            </w:pPr>
            <w:r>
              <w:rPr>
                <w:rFonts w:ascii="Arial" w:cs="Arial" w:eastAsia="Arial" w:hAnsi="Arial"/>
                <w:sz w:val="16"/>
                <w:szCs w:val="16"/>
                <w:color w:val="auto"/>
              </w:rPr>
              <w:t>Towson, MD</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Leesburg Plaza</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Leesburg, VA</w:t>
            </w:r>
          </w:p>
        </w:tc>
        <w:tc>
          <w:tcPr>
            <w:tcW w:w="30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7"/>
        </w:trPr>
        <w:tc>
          <w:tcPr>
            <w:tcW w:w="2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90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Assembly Row (1)</w:t>
            </w:r>
          </w:p>
        </w:tc>
        <w:tc>
          <w:tcPr>
            <w:tcW w:w="1900" w:type="dxa"/>
            <w:vAlign w:val="bottom"/>
          </w:tcPr>
          <w:p>
            <w:pPr>
              <w:ind w:left="80"/>
              <w:spacing w:after="0"/>
              <w:rPr>
                <w:sz w:val="20"/>
                <w:szCs w:val="20"/>
                <w:color w:val="auto"/>
              </w:rPr>
            </w:pPr>
            <w:r>
              <w:rPr>
                <w:rFonts w:ascii="Arial" w:cs="Arial" w:eastAsia="Arial" w:hAnsi="Arial"/>
                <w:sz w:val="16"/>
                <w:szCs w:val="16"/>
                <w:color w:val="auto"/>
              </w:rPr>
              <w:t>Somerville, MA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San Antonio Center</w:t>
            </w:r>
          </w:p>
        </w:tc>
        <w:tc>
          <w:tcPr>
            <w:tcW w:w="3700" w:type="dxa"/>
            <w:vAlign w:val="bottom"/>
          </w:tcPr>
          <w:p>
            <w:pPr>
              <w:ind w:left="10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7 Plaza</w:t>
            </w:r>
          </w:p>
        </w:tc>
        <w:tc>
          <w:tcPr>
            <w:tcW w:w="1900" w:type="dxa"/>
            <w:vAlign w:val="bottom"/>
          </w:tcPr>
          <w:p>
            <w:pPr>
              <w:ind w:left="80"/>
              <w:spacing w:after="0"/>
              <w:rPr>
                <w:sz w:val="20"/>
                <w:szCs w:val="20"/>
                <w:color w:val="auto"/>
              </w:rPr>
            </w:pPr>
            <w:r>
              <w:rPr>
                <w:rFonts w:ascii="Arial" w:cs="Arial" w:eastAsia="Arial" w:hAnsi="Arial"/>
                <w:sz w:val="16"/>
                <w:szCs w:val="16"/>
                <w:color w:val="auto"/>
              </w:rPr>
              <w:t>Vienna, VA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site</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&amp; Rose (2)</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North Bethesda, MD</w:t>
            </w:r>
          </w:p>
        </w:tc>
        <w:tc>
          <w:tcPr>
            <w:tcW w:w="30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9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Assembly Row</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834 residential units.</w:t>
            </w:r>
          </w:p>
        </w:tc>
      </w:tr>
      <w:tr>
        <w:trPr>
          <w:trHeight w:val="209"/>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approximately 1 million square feet of commercial-use buildings, and 736 residential units.</w:t>
            </w:r>
          </w:p>
        </w:tc>
      </w:tr>
      <w:tr>
        <w:trPr>
          <w:trHeight w:val="157"/>
        </w:trPr>
        <w:tc>
          <w:tcPr>
            <w:tcW w:w="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25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Santana Row</w:t>
            </w:r>
          </w:p>
        </w:tc>
        <w:tc>
          <w:tcPr>
            <w:tcW w:w="8600" w:type="dxa"/>
            <w:vAlign w:val="bottom"/>
            <w:gridSpan w:val="3"/>
          </w:tcPr>
          <w:p>
            <w:pPr>
              <w:ind w:left="80"/>
              <w:spacing w:after="0" w:line="157" w:lineRule="exact"/>
              <w:rPr>
                <w:sz w:val="20"/>
                <w:szCs w:val="20"/>
                <w:color w:val="auto"/>
              </w:rPr>
            </w:pPr>
            <w:r>
              <w:rPr>
                <w:rFonts w:ascii="Arial" w:cs="Arial" w:eastAsia="Arial" w:hAnsi="Arial"/>
                <w:sz w:val="14"/>
                <w:szCs w:val="14"/>
                <w:color w:val="auto"/>
                <w:w w:val="94"/>
              </w:rPr>
              <w:t>Current remaining entitlements for this property include 348 residential units and 69,000 square feet of commercial space for retail and office. We</w:t>
            </w:r>
          </w:p>
        </w:tc>
      </w:tr>
      <w:tr>
        <w:trPr>
          <w:trHeight w:val="182"/>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received preliminary approval for entitlements for an additional 566,000 square feet of commercial space.</w:t>
            </w:r>
          </w:p>
        </w:tc>
      </w:tr>
      <w:tr>
        <w:trPr>
          <w:trHeight w:val="471"/>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Arial" w:cs="Arial" w:eastAsia="Arial" w:hAnsi="Arial"/>
                <w:sz w:val="18"/>
                <w:szCs w:val="18"/>
                <w:color w:val="auto"/>
              </w:rPr>
              <w:t>17</w:t>
            </w:r>
          </w:p>
        </w:tc>
        <w:tc>
          <w:tcPr>
            <w:tcW w:w="37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2015 Significant Acquisitions &amp;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2015 Significant Acquisitions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Property</w:t>
            </w:r>
          </w:p>
        </w:tc>
        <w:tc>
          <w:tcPr>
            <w:tcW w:w="19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City/State</w:t>
            </w:r>
          </w:p>
        </w:tc>
        <w:tc>
          <w:tcPr>
            <w:tcW w:w="142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2"/>
              </w:rPr>
              <w:t>Purchase Price</w:t>
            </w: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r>
      <w:tr>
        <w:trPr>
          <w:trHeight w:val="190"/>
        </w:trPr>
        <w:tc>
          <w:tcPr>
            <w:tcW w:w="1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20" w:type="dxa"/>
            <w:vAlign w:val="bottom"/>
          </w:tcPr>
          <w:p>
            <w:pPr>
              <w:jc w:val="center"/>
              <w:ind w:left="23"/>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80"/>
        </w:trPr>
        <w:tc>
          <w:tcPr>
            <w:tcW w:w="16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0" w:type="dxa"/>
            <w:vAlign w:val="bottom"/>
          </w:tcPr>
          <w:p>
            <w:pPr>
              <w:spacing w:after="0"/>
              <w:rPr>
                <w:sz w:val="6"/>
                <w:szCs w:val="6"/>
                <w:color w:val="auto"/>
              </w:rPr>
            </w:pPr>
          </w:p>
        </w:tc>
      </w:tr>
      <w:tr>
        <w:trPr>
          <w:trHeight w:val="220"/>
        </w:trPr>
        <w:tc>
          <w:tcPr>
            <w:tcW w:w="1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2015</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 Antonio Center</w:t>
            </w:r>
          </w:p>
        </w:tc>
        <w:tc>
          <w:tcPr>
            <w:tcW w:w="1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Mountain View, CA</w:t>
            </w:r>
          </w:p>
        </w:tc>
        <w:tc>
          <w:tcPr>
            <w:tcW w:w="1420" w:type="dxa"/>
            <w:vAlign w:val="bottom"/>
            <w:shd w:val="clear" w:color="auto" w:fill="CCEEFF"/>
          </w:tcPr>
          <w:p>
            <w:pPr>
              <w:jc w:val="center"/>
              <w:ind w:left="23"/>
              <w:spacing w:after="0"/>
              <w:rPr>
                <w:sz w:val="20"/>
                <w:szCs w:val="20"/>
                <w:color w:val="auto"/>
              </w:rPr>
            </w:pPr>
            <w:r>
              <w:rPr>
                <w:rFonts w:ascii="Arial" w:cs="Arial" w:eastAsia="Arial" w:hAnsi="Arial"/>
                <w:sz w:val="16"/>
                <w:szCs w:val="16"/>
                <w:color w:val="auto"/>
                <w:w w:val="89"/>
              </w:rPr>
              <w:t>376,000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Walmart / Kohl's / Trader Joe's / 24</w:t>
            </w:r>
          </w:p>
        </w:tc>
      </w:tr>
      <w:tr>
        <w:trPr>
          <w:trHeight w:val="219"/>
        </w:trPr>
        <w:tc>
          <w:tcPr>
            <w:tcW w:w="16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Hour Fitness</w:t>
            </w:r>
          </w:p>
        </w:tc>
      </w:tr>
      <w:tr>
        <w:trPr>
          <w:trHeight w:val="220"/>
        </w:trPr>
        <w:tc>
          <w:tcPr>
            <w:tcW w:w="1620" w:type="dxa"/>
            <w:vAlign w:val="bottom"/>
          </w:tcPr>
          <w:p>
            <w:pPr>
              <w:ind w:left="40"/>
              <w:spacing w:after="0"/>
              <w:rPr>
                <w:sz w:val="20"/>
                <w:szCs w:val="20"/>
                <w:color w:val="auto"/>
              </w:rPr>
            </w:pPr>
            <w:r>
              <w:rPr>
                <w:rFonts w:ascii="Arial" w:cs="Arial" w:eastAsia="Arial" w:hAnsi="Arial"/>
                <w:sz w:val="16"/>
                <w:szCs w:val="16"/>
                <w:color w:val="auto"/>
              </w:rPr>
              <w:t>May 4, 2015</w:t>
            </w:r>
          </w:p>
        </w:tc>
        <w:tc>
          <w:tcPr>
            <w:tcW w:w="2020" w:type="dxa"/>
            <w:vAlign w:val="bottom"/>
          </w:tcPr>
          <w:p>
            <w:pPr>
              <w:ind w:left="20"/>
              <w:spacing w:after="0"/>
              <w:rPr>
                <w:sz w:val="20"/>
                <w:szCs w:val="20"/>
                <w:color w:val="auto"/>
              </w:rPr>
            </w:pPr>
            <w:r>
              <w:rPr>
                <w:rFonts w:ascii="Arial" w:cs="Arial" w:eastAsia="Arial" w:hAnsi="Arial"/>
                <w:sz w:val="16"/>
                <w:szCs w:val="16"/>
                <w:color w:val="auto"/>
              </w:rPr>
              <w:t>CocoWalk</w:t>
            </w:r>
          </w:p>
        </w:tc>
        <w:tc>
          <w:tcPr>
            <w:tcW w:w="1980" w:type="dxa"/>
            <w:vAlign w:val="bottom"/>
          </w:tcPr>
          <w:p>
            <w:pPr>
              <w:ind w:left="300"/>
              <w:spacing w:after="0"/>
              <w:rPr>
                <w:sz w:val="20"/>
                <w:szCs w:val="20"/>
                <w:color w:val="auto"/>
              </w:rPr>
            </w:pPr>
            <w:r>
              <w:rPr>
                <w:rFonts w:ascii="Arial" w:cs="Arial" w:eastAsia="Arial" w:hAnsi="Arial"/>
                <w:sz w:val="16"/>
                <w:szCs w:val="16"/>
                <w:color w:val="auto"/>
              </w:rPr>
              <w:t>Miami, Florida</w:t>
            </w:r>
          </w:p>
        </w:tc>
        <w:tc>
          <w:tcPr>
            <w:tcW w:w="1420" w:type="dxa"/>
            <w:vAlign w:val="bottom"/>
          </w:tcPr>
          <w:p>
            <w:pPr>
              <w:jc w:val="center"/>
              <w:ind w:left="23"/>
              <w:spacing w:after="0"/>
              <w:rPr>
                <w:sz w:val="20"/>
                <w:szCs w:val="20"/>
                <w:color w:val="auto"/>
              </w:rPr>
            </w:pPr>
            <w:r>
              <w:rPr>
                <w:rFonts w:ascii="Arial" w:cs="Arial" w:eastAsia="Arial" w:hAnsi="Arial"/>
                <w:sz w:val="16"/>
                <w:szCs w:val="16"/>
                <w:color w:val="auto"/>
                <w:w w:val="89"/>
              </w:rPr>
              <w:t>198,000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87.5</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600" w:type="dxa"/>
            <w:vAlign w:val="bottom"/>
          </w:tcPr>
          <w:p>
            <w:pPr>
              <w:ind w:left="120"/>
              <w:spacing w:after="0"/>
              <w:rPr>
                <w:sz w:val="20"/>
                <w:szCs w:val="20"/>
                <w:color w:val="auto"/>
              </w:rPr>
            </w:pPr>
            <w:r>
              <w:rPr>
                <w:rFonts w:ascii="Arial" w:cs="Arial" w:eastAsia="Arial" w:hAnsi="Arial"/>
                <w:sz w:val="16"/>
                <w:szCs w:val="16"/>
                <w:color w:val="auto"/>
              </w:rPr>
              <w:t>Cinepolis Theaters / Gap / Youfit</w:t>
            </w:r>
          </w:p>
        </w:tc>
      </w:tr>
      <w:tr>
        <w:trPr>
          <w:trHeight w:val="206"/>
        </w:trPr>
        <w:tc>
          <w:tcPr>
            <w:tcW w:w="1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tcPr>
          <w:p>
            <w:pPr>
              <w:ind w:left="120"/>
              <w:spacing w:after="0"/>
              <w:rPr>
                <w:sz w:val="20"/>
                <w:szCs w:val="20"/>
                <w:color w:val="auto"/>
              </w:rPr>
            </w:pPr>
            <w:r>
              <w:rPr>
                <w:rFonts w:ascii="Arial" w:cs="Arial" w:eastAsia="Arial" w:hAnsi="Arial"/>
                <w:sz w:val="16"/>
                <w:szCs w:val="16"/>
                <w:color w:val="auto"/>
              </w:rPr>
              <w:t>Health Club</w:t>
            </w:r>
          </w:p>
        </w:tc>
      </w:tr>
      <w:tr>
        <w:trPr>
          <w:trHeight w:val="33"/>
        </w:trPr>
        <w:tc>
          <w:tcPr>
            <w:tcW w:w="1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20"/>
        </w:trPr>
        <w:tc>
          <w:tcPr>
            <w:tcW w:w="1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1, 2015</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Shops at Sunset Place</w:t>
            </w:r>
          </w:p>
        </w:tc>
        <w:tc>
          <w:tcPr>
            <w:tcW w:w="1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South Miami, Florida</w:t>
            </w:r>
          </w:p>
        </w:tc>
        <w:tc>
          <w:tcPr>
            <w:tcW w:w="1420" w:type="dxa"/>
            <w:vAlign w:val="bottom"/>
            <w:shd w:val="clear" w:color="auto" w:fill="CCEEFF"/>
          </w:tcPr>
          <w:p>
            <w:pPr>
              <w:jc w:val="center"/>
              <w:ind w:left="23"/>
              <w:spacing w:after="0"/>
              <w:rPr>
                <w:sz w:val="20"/>
                <w:szCs w:val="20"/>
                <w:color w:val="auto"/>
              </w:rPr>
            </w:pPr>
            <w:r>
              <w:rPr>
                <w:rFonts w:ascii="Arial" w:cs="Arial" w:eastAsia="Arial" w:hAnsi="Arial"/>
                <w:sz w:val="16"/>
                <w:szCs w:val="16"/>
                <w:color w:val="auto"/>
                <w:w w:val="89"/>
              </w:rPr>
              <w:t>515,000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AMC Theatres / L.A. Fitness /</w:t>
            </w:r>
          </w:p>
        </w:tc>
      </w:tr>
      <w:tr>
        <w:trPr>
          <w:trHeight w:val="219"/>
        </w:trPr>
        <w:tc>
          <w:tcPr>
            <w:tcW w:w="16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Barnes &amp; Noble</w:t>
            </w:r>
          </w:p>
        </w:tc>
      </w:tr>
      <w:tr>
        <w:trPr>
          <w:trHeight w:val="20"/>
        </w:trPr>
        <w:tc>
          <w:tcPr>
            <w:tcW w:w="16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139" w:lineRule="exact"/>
        <w:rPr>
          <w:sz w:val="20"/>
          <w:szCs w:val="20"/>
          <w:color w:val="auto"/>
        </w:rPr>
      </w:pPr>
    </w:p>
    <w:p>
      <w:pPr>
        <w:ind w:left="40" w:right="220" w:hanging="5"/>
        <w:spacing w:after="0" w:line="293" w:lineRule="auto"/>
        <w:tabs>
          <w:tab w:leader="none" w:pos="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effective interest approximates 80% and was funded by the assumption of our share of $19 million of mortgage debt, 58,000 downREIT operating partnership units, and approximately $27 million of cash.</w:t>
      </w:r>
    </w:p>
    <w:p>
      <w:pPr>
        <w:spacing w:after="0" w:line="9" w:lineRule="exact"/>
        <w:rPr>
          <w:rFonts w:ascii="Arial" w:cs="Arial" w:eastAsia="Arial" w:hAnsi="Arial"/>
          <w:sz w:val="16"/>
          <w:szCs w:val="16"/>
          <w:color w:val="auto"/>
        </w:rPr>
      </w:pPr>
    </w:p>
    <w:p>
      <w:pPr>
        <w:ind w:left="260" w:hanging="225"/>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acquisition was completed through a newly formed entity for which we own a preferred interest and an 80% common interest.</w:t>
      </w:r>
    </w:p>
    <w:p>
      <w:pPr>
        <w:spacing w:after="0" w:line="72" w:lineRule="exact"/>
        <w:rPr>
          <w:rFonts w:ascii="Arial" w:cs="Arial" w:eastAsia="Arial" w:hAnsi="Arial"/>
          <w:sz w:val="16"/>
          <w:szCs w:val="16"/>
          <w:color w:val="auto"/>
        </w:rPr>
      </w:pPr>
    </w:p>
    <w:p>
      <w:pPr>
        <w:ind w:left="40" w:right="200" w:hanging="5"/>
        <w:spacing w:after="0" w:line="293" w:lineRule="auto"/>
        <w:tabs>
          <w:tab w:leader="none" w:pos="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acquisition was completed through a newly formed entity for which we own an 85% interest. The transaction included the assumption of our share of $71 million of mortgage debt that has a stated rate of 5.6% and matures on September 1, 2020.</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2015 Significant Disposition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Property</w:t>
            </w:r>
          </w:p>
        </w:tc>
        <w:tc>
          <w:tcPr>
            <w:tcW w:w="22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City/State</w:t>
            </w:r>
          </w:p>
        </w:tc>
        <w:tc>
          <w:tcPr>
            <w:tcW w:w="1580" w:type="dxa"/>
            <w:vAlign w:val="bottom"/>
            <w:tcBorders>
              <w:bottom w:val="single" w:sz="8" w:color="auto"/>
            </w:tcBorders>
          </w:tcPr>
          <w:p>
            <w:pPr>
              <w:jc w:val="center"/>
              <w:ind w:left="145"/>
              <w:spacing w:after="0"/>
              <w:rPr>
                <w:sz w:val="20"/>
                <w:szCs w:val="20"/>
                <w:color w:val="auto"/>
              </w:rPr>
            </w:pPr>
            <w:r>
              <w:rPr>
                <w:rFonts w:ascii="Arial" w:cs="Arial" w:eastAsia="Arial" w:hAnsi="Arial"/>
                <w:sz w:val="14"/>
                <w:szCs w:val="14"/>
                <w:b w:val="1"/>
                <w:bCs w:val="1"/>
                <w:color w:val="auto"/>
              </w:rPr>
              <w:t>GLA</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0"/>
              </w:rPr>
              <w:t>Sales Price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4"/>
              </w:rPr>
              <w:t>Gain on Sale</w:t>
            </w:r>
          </w:p>
        </w:tc>
      </w:tr>
      <w:tr>
        <w:trPr>
          <w:trHeight w:val="190"/>
        </w:trPr>
        <w:tc>
          <w:tcPr>
            <w:tcW w:w="1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jc w:val="center"/>
              <w:ind w:left="145"/>
              <w:spacing w:after="0"/>
              <w:rPr>
                <w:sz w:val="20"/>
                <w:szCs w:val="20"/>
                <w:color w:val="auto"/>
              </w:rPr>
            </w:pPr>
            <w:r>
              <w:rPr>
                <w:rFonts w:ascii="Arial" w:cs="Arial" w:eastAsia="Arial" w:hAnsi="Arial"/>
                <w:sz w:val="14"/>
                <w:szCs w:val="14"/>
                <w:b w:val="1"/>
                <w:bCs w:val="1"/>
                <w:color w:val="auto"/>
                <w:w w:val="91"/>
              </w:rPr>
              <w:t>(in square feet)</w:t>
            </w:r>
          </w:p>
        </w:tc>
        <w:tc>
          <w:tcPr>
            <w:tcW w:w="3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980" w:type="dxa"/>
            <w:vAlign w:val="bottom"/>
          </w:tcPr>
          <w:p>
            <w:pPr>
              <w:jc w:val="center"/>
              <w:ind w:right="85"/>
              <w:spacing w:after="0"/>
              <w:rPr>
                <w:sz w:val="20"/>
                <w:szCs w:val="20"/>
                <w:color w:val="auto"/>
              </w:rPr>
            </w:pPr>
            <w:r>
              <w:rPr>
                <w:rFonts w:ascii="Arial" w:cs="Arial" w:eastAsia="Arial" w:hAnsi="Arial"/>
                <w:sz w:val="14"/>
                <w:szCs w:val="14"/>
                <w:b w:val="1"/>
                <w:bCs w:val="1"/>
                <w:color w:val="auto"/>
                <w:w w:val="94"/>
              </w:rPr>
              <w:t>(in millions)</w:t>
            </w:r>
          </w:p>
        </w:tc>
      </w:tr>
      <w:tr>
        <w:trPr>
          <w:trHeight w:val="80"/>
        </w:trPr>
        <w:tc>
          <w:tcPr>
            <w:tcW w:w="13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24"/>
        </w:trPr>
        <w:tc>
          <w:tcPr>
            <w:tcW w:w="1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24, 2015</w:t>
            </w:r>
          </w:p>
        </w:tc>
        <w:tc>
          <w:tcPr>
            <w:tcW w:w="2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Houston Street</w:t>
            </w:r>
          </w:p>
        </w:tc>
        <w:tc>
          <w:tcPr>
            <w:tcW w:w="2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San Antonio, TX</w:t>
            </w:r>
          </w:p>
        </w:tc>
        <w:tc>
          <w:tcPr>
            <w:tcW w:w="1580" w:type="dxa"/>
            <w:vAlign w:val="bottom"/>
            <w:shd w:val="clear" w:color="auto" w:fill="CCEEFF"/>
          </w:tcPr>
          <w:p>
            <w:pPr>
              <w:jc w:val="center"/>
              <w:ind w:left="145"/>
              <w:spacing w:after="0"/>
              <w:rPr>
                <w:sz w:val="20"/>
                <w:szCs w:val="20"/>
                <w:color w:val="auto"/>
              </w:rPr>
            </w:pPr>
            <w:r>
              <w:rPr>
                <w:rFonts w:ascii="Arial" w:cs="Arial" w:eastAsia="Arial" w:hAnsi="Arial"/>
                <w:sz w:val="16"/>
                <w:szCs w:val="16"/>
                <w:color w:val="auto"/>
                <w:w w:val="89"/>
              </w:rPr>
              <w:t>172,000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11.5</w:t>
            </w:r>
          </w:p>
        </w:tc>
      </w:tr>
      <w:tr>
        <w:trPr>
          <w:trHeight w:val="47"/>
        </w:trPr>
        <w:tc>
          <w:tcPr>
            <w:tcW w:w="136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220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1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1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1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4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140" w:type="dxa"/>
            <w:vAlign w:val="bottom"/>
          </w:tcPr>
          <w:p>
            <w:pPr>
              <w:spacing w:after="0"/>
              <w:rPr>
                <w:sz w:val="11"/>
                <w:szCs w:val="11"/>
                <w:color w:val="auto"/>
              </w:rPr>
            </w:pPr>
          </w:p>
        </w:tc>
      </w:tr>
      <w:tr>
        <w:trPr>
          <w:trHeight w:val="174"/>
        </w:trPr>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0" w:type="dxa"/>
            <w:vAlign w:val="bottom"/>
          </w:tcPr>
          <w:p>
            <w:pPr>
              <w:spacing w:after="0"/>
              <w:rPr>
                <w:sz w:val="11"/>
                <w:szCs w:val="11"/>
                <w:color w:val="auto"/>
              </w:rPr>
            </w:pPr>
          </w:p>
        </w:tc>
        <w:tc>
          <w:tcPr>
            <w:tcW w:w="560" w:type="dxa"/>
            <w:vAlign w:val="bottom"/>
          </w:tcPr>
          <w:p>
            <w:pPr>
              <w:jc w:val="center"/>
              <w:ind w:right="19"/>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1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ind w:left="60"/>
              <w:spacing w:after="0" w:line="148" w:lineRule="exact"/>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3"/>
              </w:rPr>
              <w:t>$ 224,083</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9"/>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533,000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140" w:type="dxa"/>
            <w:vAlign w:val="bottom"/>
          </w:tcPr>
          <w:p>
            <w:pPr>
              <w:ind w:left="40"/>
              <w:spacing w:after="0" w:line="148" w:lineRule="exact"/>
              <w:rPr>
                <w:sz w:val="20"/>
                <w:szCs w:val="20"/>
                <w:color w:val="auto"/>
              </w:rPr>
            </w:pPr>
            <w:r>
              <w:rPr>
                <w:rFonts w:ascii="Arial" w:cs="Arial" w:eastAsia="Arial" w:hAnsi="Arial"/>
                <w:sz w:val="13"/>
                <w:szCs w:val="13"/>
                <w:color w:val="auto"/>
                <w:w w:val="95"/>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w w:val="97"/>
              </w:rPr>
              <w:t>2006/2008/2010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Theater</w:t>
            </w: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88,218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325,000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The Fresh</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Neiman Marcus</w:t>
            </w: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35,000</w:t>
            </w:r>
          </w:p>
        </w:tc>
        <w:tc>
          <w:tcPr>
            <w:tcW w:w="480" w:type="dxa"/>
            <w:vAlign w:val="bottom"/>
          </w:tcPr>
          <w:p>
            <w:pPr>
              <w:jc w:val="right"/>
              <w:spacing w:after="0"/>
              <w:rPr>
                <w:sz w:val="20"/>
                <w:szCs w:val="20"/>
                <w:color w:val="auto"/>
              </w:rPr>
            </w:pPr>
            <w:r>
              <w:rPr>
                <w:rFonts w:ascii="Arial" w:cs="Arial" w:eastAsia="Arial" w:hAnsi="Arial"/>
                <w:sz w:val="13"/>
                <w:szCs w:val="13"/>
                <w:color w:val="auto"/>
              </w:rPr>
              <w:t>67%</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3"/>
              </w:rPr>
              <w:t>Falls Plaza/Falls Plaza-East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13,018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65,884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248,000</w:t>
            </w: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14,000</w:t>
            </w:r>
          </w:p>
        </w:tc>
        <w:tc>
          <w:tcPr>
            <w:tcW w:w="82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3140" w:type="dxa"/>
            <w:vAlign w:val="bottom"/>
          </w:tcPr>
          <w:p>
            <w:pPr>
              <w:ind w:left="4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37,518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Maggiano's / Nordstrom Rack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ind w:left="60"/>
              <w:spacing w:after="0" w:line="148" w:lineRule="exact"/>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26,545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207,000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4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Ross Dress For Less / Ashley</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Furniture HomeStore</w:t>
            </w: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34,156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260,000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Idylwood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16,734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73,000</w:t>
            </w: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30,000</w:t>
            </w:r>
          </w:p>
        </w:tc>
        <w:tc>
          <w:tcPr>
            <w:tcW w:w="820" w:type="dxa"/>
            <w:vAlign w:val="bottom"/>
          </w:tcPr>
          <w:p>
            <w:pPr>
              <w:ind w:left="80"/>
              <w:spacing w:after="0"/>
              <w:rPr>
                <w:sz w:val="20"/>
                <w:szCs w:val="20"/>
                <w:color w:val="auto"/>
              </w:rPr>
            </w:pPr>
            <w:r>
              <w:rPr>
                <w:rFonts w:ascii="Arial" w:cs="Arial" w:eastAsia="Arial" w:hAnsi="Arial"/>
                <w:sz w:val="13"/>
                <w:szCs w:val="13"/>
                <w:color w:val="auto"/>
                <w:w w:val="93"/>
              </w:rPr>
              <w:t>Whole Foods</w:t>
            </w:r>
          </w:p>
        </w:tc>
        <w:tc>
          <w:tcPr>
            <w:tcW w:w="31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54,190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Leesburg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35,959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236,000</w:t>
            </w: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ind w:left="60"/>
              <w:spacing w:after="0"/>
              <w:rPr>
                <w:sz w:val="20"/>
                <w:szCs w:val="20"/>
                <w:color w:val="auto"/>
              </w:rPr>
            </w:pPr>
            <w:r>
              <w:rPr>
                <w:rFonts w:ascii="Arial" w:cs="Arial" w:eastAsia="Arial" w:hAnsi="Arial"/>
                <w:sz w:val="13"/>
                <w:szCs w:val="13"/>
                <w:color w:val="auto"/>
              </w:rPr>
              <w:t>55,000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140" w:type="dxa"/>
            <w:vAlign w:val="bottom"/>
          </w:tcPr>
          <w:p>
            <w:pPr>
              <w:ind w:left="4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Montrose Crossing</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2011/2013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153,570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74,720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366,000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Marshalls / Sports Authority / Barnes &amp; Noble / A.C. Moore</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2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1480" w:type="dxa"/>
            <w:vAlign w:val="bottom"/>
          </w:tcPr>
          <w:p>
            <w:pPr>
              <w:ind w:left="60"/>
              <w:spacing w:after="0" w:line="148" w:lineRule="exact"/>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2003/2006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82,632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569,000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3140" w:type="dxa"/>
            <w:vAlign w:val="bottom"/>
          </w:tcPr>
          <w:p>
            <w:pPr>
              <w:ind w:left="40"/>
              <w:spacing w:after="0" w:line="148" w:lineRule="exact"/>
              <w:rPr>
                <w:sz w:val="20"/>
                <w:szCs w:val="20"/>
                <w:color w:val="auto"/>
              </w:rPr>
            </w:pPr>
            <w:r>
              <w:rPr>
                <w:rFonts w:ascii="Arial" w:cs="Arial" w:eastAsia="Arial" w:hAnsi="Arial"/>
                <w:sz w:val="13"/>
                <w:szCs w:val="13"/>
                <w:color w:val="auto"/>
                <w:w w:val="93"/>
              </w:rPr>
              <w:t>Bed, Bath &amp; Beyond / Michaels / Home Depot / TJ Maxx /</w:t>
            </w:r>
          </w:p>
        </w:tc>
      </w:tr>
      <w:tr>
        <w:trPr>
          <w:trHeight w:val="135"/>
        </w:trPr>
        <w:tc>
          <w:tcPr>
            <w:tcW w:w="156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4"/>
              </w:rPr>
              <w:t>Valley/7770 Richmond Hwy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Gold's Gym / Staples / DSW</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140" w:type="dxa"/>
            <w:vAlign w:val="bottom"/>
          </w:tcPr>
          <w:p>
            <w:pPr>
              <w:spacing w:after="0"/>
              <w:rPr>
                <w:sz w:val="14"/>
                <w:szCs w:val="14"/>
                <w:color w:val="auto"/>
              </w:rPr>
            </w:pP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1,976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6,389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28,806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227,000</w:t>
            </w: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65,000</w:t>
            </w:r>
          </w:p>
        </w:tc>
        <w:tc>
          <w:tcPr>
            <w:tcW w:w="820" w:type="dxa"/>
            <w:vAlign w:val="bottom"/>
          </w:tcPr>
          <w:p>
            <w:pPr>
              <w:ind w:left="80"/>
              <w:spacing w:after="0"/>
              <w:rPr>
                <w:sz w:val="20"/>
                <w:szCs w:val="20"/>
                <w:color w:val="auto"/>
              </w:rPr>
            </w:pPr>
            <w:r>
              <w:rPr>
                <w:rFonts w:ascii="Arial" w:cs="Arial" w:eastAsia="Arial" w:hAnsi="Arial"/>
                <w:sz w:val="13"/>
                <w:szCs w:val="13"/>
                <w:color w:val="auto"/>
              </w:rPr>
              <w:t>Safeway</w:t>
            </w:r>
          </w:p>
        </w:tc>
        <w:tc>
          <w:tcPr>
            <w:tcW w:w="3140" w:type="dxa"/>
            <w:vAlign w:val="bottom"/>
          </w:tcPr>
          <w:p>
            <w:pPr>
              <w:ind w:left="4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1998/2010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97,844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Pike &amp; Rose</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w w:val="97"/>
              </w:rPr>
              <w:t>1982/2007/2012</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351,493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188,000</w:t>
            </w:r>
          </w:p>
        </w:tc>
        <w:tc>
          <w:tcPr>
            <w:tcW w:w="4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iPic Theaters / Sport &amp; Health / Gap / Gap Kids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41,653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34,379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267,000</w:t>
            </w:r>
          </w:p>
        </w:tc>
        <w:tc>
          <w:tcPr>
            <w:tcW w:w="48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ind w:left="60"/>
              <w:spacing w:after="0"/>
              <w:rPr>
                <w:sz w:val="20"/>
                <w:szCs w:val="20"/>
                <w:color w:val="auto"/>
              </w:rPr>
            </w:pPr>
            <w:r>
              <w:rPr>
                <w:rFonts w:ascii="Arial" w:cs="Arial" w:eastAsia="Arial" w:hAnsi="Arial"/>
                <w:sz w:val="13"/>
                <w:szCs w:val="13"/>
                <w:color w:val="auto"/>
              </w:rPr>
              <w:t>19,000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3140" w:type="dxa"/>
            <w:vAlign w:val="bottom"/>
          </w:tcPr>
          <w:p>
            <w:pPr>
              <w:ind w:left="40"/>
              <w:spacing w:after="0"/>
              <w:rPr>
                <w:sz w:val="20"/>
                <w:szCs w:val="20"/>
                <w:color w:val="auto"/>
              </w:rPr>
            </w:pPr>
            <w:r>
              <w:rPr>
                <w:rFonts w:ascii="Arial" w:cs="Arial" w:eastAsia="Arial" w:hAnsi="Arial"/>
                <w:sz w:val="13"/>
                <w:szCs w:val="13"/>
                <w:color w:val="auto"/>
              </w:rPr>
              <w:t>L.A. Fitness / HomeGoods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 Town Square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50,027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4,496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1971</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10,129</w:t>
            </w:r>
          </w:p>
        </w:tc>
        <w:tc>
          <w:tcPr>
            <w:tcW w:w="1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21,823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N/A</w:t>
            </w: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Tower Shopping Center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21,375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112,000</w:t>
            </w: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ind w:left="60"/>
              <w:spacing w:after="0"/>
              <w:rPr>
                <w:sz w:val="20"/>
                <w:szCs w:val="20"/>
                <w:color w:val="auto"/>
              </w:rPr>
            </w:pPr>
            <w:r>
              <w:rPr>
                <w:rFonts w:ascii="Arial" w:cs="Arial" w:eastAsia="Arial" w:hAnsi="Arial"/>
                <w:sz w:val="13"/>
                <w:szCs w:val="13"/>
                <w:color w:val="auto"/>
              </w:rPr>
              <w:t>26,000</w:t>
            </w:r>
          </w:p>
        </w:tc>
        <w:tc>
          <w:tcPr>
            <w:tcW w:w="820" w:type="dxa"/>
            <w:vAlign w:val="bottom"/>
          </w:tcPr>
          <w:p>
            <w:pPr>
              <w:ind w:left="80"/>
              <w:spacing w:after="0"/>
              <w:rPr>
                <w:sz w:val="20"/>
                <w:szCs w:val="20"/>
                <w:color w:val="auto"/>
              </w:rPr>
            </w:pPr>
            <w:r>
              <w:rPr>
                <w:rFonts w:ascii="Arial" w:cs="Arial" w:eastAsia="Arial" w:hAnsi="Arial"/>
                <w:sz w:val="13"/>
                <w:szCs w:val="13"/>
                <w:color w:val="auto"/>
              </w:rPr>
              <w:t>L.A. Mart</w:t>
            </w:r>
          </w:p>
        </w:tc>
        <w:tc>
          <w:tcPr>
            <w:tcW w:w="3140" w:type="dxa"/>
            <w:vAlign w:val="bottom"/>
          </w:tcPr>
          <w:p>
            <w:pPr>
              <w:ind w:left="40"/>
              <w:spacing w:after="0"/>
              <w:rPr>
                <w:sz w:val="20"/>
                <w:szCs w:val="20"/>
                <w:color w:val="auto"/>
              </w:rPr>
            </w:pPr>
            <w:r>
              <w:rPr>
                <w:rFonts w:ascii="Arial" w:cs="Arial" w:eastAsia="Arial" w:hAnsi="Arial"/>
                <w:sz w:val="13"/>
                <w:szCs w:val="13"/>
                <w:color w:val="auto"/>
              </w:rPr>
              <w:t>Talbots / Total Wine &amp; More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4,598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31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59,995</w:t>
            </w:r>
          </w:p>
        </w:tc>
        <w:tc>
          <w:tcPr>
            <w:tcW w:w="1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6,527</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265,000</w:t>
            </w:r>
          </w:p>
        </w:tc>
        <w:tc>
          <w:tcPr>
            <w:tcW w:w="48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820" w:type="dxa"/>
            <w:vAlign w:val="bottom"/>
          </w:tcPr>
          <w:p>
            <w:pPr>
              <w:ind w:left="80"/>
              <w:spacing w:after="0"/>
              <w:rPr>
                <w:sz w:val="20"/>
                <w:szCs w:val="20"/>
                <w:color w:val="auto"/>
              </w:rPr>
            </w:pPr>
            <w:r>
              <w:rPr>
                <w:rFonts w:ascii="Arial" w:cs="Arial" w:eastAsia="Arial" w:hAnsi="Arial"/>
                <w:sz w:val="13"/>
                <w:szCs w:val="13"/>
                <w:color w:val="auto"/>
                <w:w w:val="94"/>
              </w:rPr>
              <w:t>Harris Teeter</w:t>
            </w:r>
          </w:p>
        </w:tc>
        <w:tc>
          <w:tcPr>
            <w:tcW w:w="3140" w:type="dxa"/>
            <w:vAlign w:val="bottom"/>
          </w:tcPr>
          <w:p>
            <w:pPr>
              <w:ind w:left="4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Washington, DC-MD-VA</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18,767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52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1,575,202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5,487,000</w:t>
            </w: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93"/>
              </w:rPr>
              <w:t>Philadelphia Metropolitan Area</w:t>
            </w:r>
          </w:p>
        </w:tc>
        <w:tc>
          <w:tcPr>
            <w:tcW w:w="1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14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ind w:left="60"/>
              <w:spacing w:after="0" w:line="148" w:lineRule="exact"/>
              <w:rPr>
                <w:sz w:val="20"/>
                <w:szCs w:val="20"/>
                <w:color w:val="auto"/>
              </w:rPr>
            </w:pPr>
            <w:r>
              <w:rPr>
                <w:rFonts w:ascii="Arial" w:cs="Arial" w:eastAsia="Arial" w:hAnsi="Arial"/>
                <w:sz w:val="13"/>
                <w:szCs w:val="13"/>
                <w:color w:val="auto"/>
              </w:rPr>
              <w:t>Philadelphia, PA-NJ</w:t>
            </w:r>
          </w:p>
        </w:tc>
        <w:tc>
          <w:tcPr>
            <w:tcW w:w="10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1988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25,647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265,000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3140" w:type="dxa"/>
            <w:vAlign w:val="bottom"/>
          </w:tcPr>
          <w:p>
            <w:pPr>
              <w:ind w:left="4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314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40,648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294,000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314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Ellisburg</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34,596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268,000</w:t>
            </w: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ind w:left="60"/>
              <w:spacing w:after="0"/>
              <w:rPr>
                <w:sz w:val="20"/>
                <w:szCs w:val="20"/>
                <w:color w:val="auto"/>
              </w:rPr>
            </w:pPr>
            <w:r>
              <w:rPr>
                <w:rFonts w:ascii="Arial" w:cs="Arial" w:eastAsia="Arial" w:hAnsi="Arial"/>
                <w:sz w:val="13"/>
                <w:szCs w:val="13"/>
                <w:color w:val="auto"/>
              </w:rPr>
              <w:t>47,000</w:t>
            </w:r>
          </w:p>
        </w:tc>
        <w:tc>
          <w:tcPr>
            <w:tcW w:w="820" w:type="dxa"/>
            <w:vAlign w:val="bottom"/>
          </w:tcPr>
          <w:p>
            <w:pPr>
              <w:ind w:left="80"/>
              <w:spacing w:after="0"/>
              <w:rPr>
                <w:sz w:val="20"/>
                <w:szCs w:val="20"/>
                <w:color w:val="auto"/>
              </w:rPr>
            </w:pPr>
            <w:r>
              <w:rPr>
                <w:rFonts w:ascii="Arial" w:cs="Arial" w:eastAsia="Arial" w:hAnsi="Arial"/>
                <w:sz w:val="13"/>
                <w:szCs w:val="13"/>
                <w:color w:val="auto"/>
                <w:w w:val="93"/>
              </w:rPr>
              <w:t>Whole Foods</w:t>
            </w:r>
          </w:p>
        </w:tc>
        <w:tc>
          <w:tcPr>
            <w:tcW w:w="3140" w:type="dxa"/>
            <w:vAlign w:val="bottom"/>
          </w:tcPr>
          <w:p>
            <w:pPr>
              <w:ind w:left="4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16,555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Movie Tavern</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ind w:left="60"/>
              <w:spacing w:after="0" w:line="148" w:lineRule="exact"/>
              <w:rPr>
                <w:sz w:val="20"/>
                <w:szCs w:val="20"/>
                <w:color w:val="auto"/>
              </w:rPr>
            </w:pPr>
            <w:r>
              <w:rPr>
                <w:rFonts w:ascii="Arial" w:cs="Arial" w:eastAsia="Arial" w:hAnsi="Arial"/>
                <w:sz w:val="13"/>
                <w:szCs w:val="13"/>
                <w:color w:val="auto"/>
              </w:rPr>
              <w:t>Philadelphia, PA-NJ</w:t>
            </w:r>
          </w:p>
        </w:tc>
        <w:tc>
          <w:tcPr>
            <w:tcW w:w="10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21,755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219,000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3140" w:type="dxa"/>
            <w:vAlign w:val="bottom"/>
          </w:tcPr>
          <w:p>
            <w:pPr>
              <w:ind w:left="4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31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Mkts.</w:t>
            </w:r>
          </w:p>
        </w:tc>
        <w:tc>
          <w:tcPr>
            <w:tcW w:w="314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32,182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364,000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Kaplan Career Institute / TJ Maxx / HomeGoods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314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24,829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288,000</w:t>
            </w:r>
          </w:p>
        </w:tc>
        <w:tc>
          <w:tcPr>
            <w:tcW w:w="480" w:type="dxa"/>
            <w:vAlign w:val="bottom"/>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4"/>
              </w:rPr>
              <w:t>Town Center of New Britain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14,926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29,975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211,000</w:t>
            </w: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41,722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52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282,835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2,440,000</w:t>
            </w:r>
          </w:p>
        </w:tc>
        <w:tc>
          <w:tcPr>
            <w:tcW w:w="48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14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ind w:left="60"/>
              <w:spacing w:after="0" w:line="148" w:lineRule="exact"/>
              <w:rPr>
                <w:sz w:val="20"/>
                <w:szCs w:val="20"/>
                <w:color w:val="auto"/>
              </w:rPr>
            </w:pPr>
            <w:r>
              <w:rPr>
                <w:rFonts w:ascii="Arial" w:cs="Arial" w:eastAsia="Arial" w:hAnsi="Arial"/>
                <w:sz w:val="13"/>
                <w:szCs w:val="13"/>
                <w:color w:val="auto"/>
                <w:w w:val="94"/>
              </w:rPr>
              <w:t>Los Angeles-Long Beach,</w:t>
            </w:r>
          </w:p>
        </w:tc>
        <w:tc>
          <w:tcPr>
            <w:tcW w:w="10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17,999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69,000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140" w:type="dxa"/>
            <w:vAlign w:val="bottom"/>
          </w:tcPr>
          <w:p>
            <w:pPr>
              <w:ind w:left="4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CA</w:t>
            </w: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14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081"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081"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80" w:type="dxa"/>
            <w:vAlign w:val="bottom"/>
          </w:tcPr>
          <w:p>
            <w:pPr>
              <w:spacing w:after="0"/>
              <w:rPr>
                <w:sz w:val="11"/>
                <w:szCs w:val="11"/>
                <w:color w:val="auto"/>
              </w:rPr>
            </w:pPr>
          </w:p>
        </w:tc>
      </w:tr>
      <w:tr>
        <w:trPr>
          <w:trHeight w:val="174"/>
        </w:trPr>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73"/>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Crow Canyon Commons</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Ramon, CA</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1"/>
              </w:rPr>
              <w:t>2005/2007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88,070</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32,000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 / Sports Authority</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East Bay Bridge</w:t>
            </w:r>
          </w:p>
        </w:tc>
        <w:tc>
          <w:tcPr>
            <w:tcW w:w="48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Francisco-Oakland-</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174,864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59,000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Home Depot / Michaels / Target / Nordstrom Rack</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Escondido Promenade</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1"/>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47,086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Hermosa Avenue</w:t>
            </w:r>
          </w:p>
        </w:tc>
        <w:tc>
          <w:tcPr>
            <w:tcW w:w="48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5,905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96"/>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1999</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47,017</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180,000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4"/>
              </w:rPr>
              <w:t>Fresh &amp; Easy</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DSW / L.A. Fitness / Marshalls / La La Land</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Kings Court</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11,610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w w:val="94"/>
              </w:rPr>
              <w:t>Super Market</w:t>
            </w:r>
          </w:p>
        </w:tc>
        <w:tc>
          <w:tcPr>
            <w:tcW w:w="3280" w:type="dxa"/>
            <w:vAlign w:val="bottom"/>
          </w:tcPr>
          <w:p>
            <w:pPr>
              <w:spacing w:after="0"/>
              <w:rPr>
                <w:sz w:val="14"/>
                <w:szCs w:val="14"/>
                <w:color w:val="auto"/>
              </w:rPr>
            </w:pPr>
          </w:p>
        </w:tc>
      </w:tr>
      <w:tr>
        <w:trPr>
          <w:trHeight w:val="204"/>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4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37,804</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89"/>
              </w:rPr>
              <w:t>Plaza El Segundo/The Point</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w w:val="90"/>
              </w:rPr>
              <w:t>(3) (7)</w:t>
            </w:r>
          </w:p>
        </w:tc>
        <w:tc>
          <w:tcPr>
            <w:tcW w:w="226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Los Angeles-Long Beach, CA 2011/2015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268,176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428,000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4"/>
              </w:rPr>
              <w:t>Anthropologie / Best Buy / Container Store / Dick's Sporting</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Goods / H&amp;M / HomeGoods</w:t>
            </w: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720,290</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Crate &amp; Barrel / Container Store / Best Buy / CineArts Theatre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Hotel Valencia / H&amp;M</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San Antonio Center</w:t>
            </w:r>
          </w:p>
        </w:tc>
        <w:tc>
          <w:tcPr>
            <w:tcW w:w="4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 (5)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3"/>
              </w:rPr>
              <w:t>San Francisco-Oakland-San</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2015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72,532</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18,161</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80"/>
              <w:spacing w:after="0" w:line="148" w:lineRule="exact"/>
              <w:rPr>
                <w:sz w:val="20"/>
                <w:szCs w:val="20"/>
                <w:color w:val="auto"/>
              </w:rPr>
            </w:pPr>
            <w:r>
              <w:rPr>
                <w:rFonts w:ascii="Arial" w:cs="Arial" w:eastAsia="Arial" w:hAnsi="Arial"/>
                <w:sz w:val="13"/>
                <w:szCs w:val="13"/>
                <w:color w:val="auto"/>
              </w:rPr>
              <w:t>11,000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Kohl's / Wal-mart / 24 Hour Fitness / Jo-Ann Stores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Jose,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Third Street Promenade</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78,476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J. Crew / Banana Republic / Old Navy / Abercrombie &amp; Fitch</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2000</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Westgate Center</w:t>
            </w:r>
          </w:p>
        </w:tc>
        <w:tc>
          <w:tcPr>
            <w:tcW w:w="48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144,836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9"/>
              </w:rPr>
              <w:t>Target / Burlington Coat Factory / Ross Dress For Less /</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w w:val="97"/>
              </w:rPr>
              <w:t>Michaels / Nordstrom Rack / Nike Factory / J. Crew / Gap</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w:t>
            </w:r>
          </w:p>
        </w:tc>
        <w:tc>
          <w:tcPr>
            <w:tcW w:w="3280" w:type="dxa"/>
            <w:vAlign w:val="bottom"/>
          </w:tcPr>
          <w:p>
            <w:pPr>
              <w:ind w:left="40"/>
              <w:spacing w:after="0"/>
              <w:rPr>
                <w:sz w:val="20"/>
                <w:szCs w:val="20"/>
                <w:color w:val="auto"/>
              </w:rPr>
            </w:pPr>
            <w:r>
              <w:rPr>
                <w:rFonts w:ascii="Arial" w:cs="Arial" w:eastAsia="Arial" w:hAnsi="Arial"/>
                <w:sz w:val="13"/>
                <w:szCs w:val="13"/>
                <w:color w:val="auto"/>
              </w:rPr>
              <w:t>Factory Store</w:t>
            </w:r>
          </w:p>
        </w:tc>
      </w:tr>
      <w:tr>
        <w:trPr>
          <w:trHeight w:val="181"/>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150 Post Street</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Francisco, CA</w:t>
            </w:r>
          </w:p>
        </w:tc>
        <w:tc>
          <w:tcPr>
            <w:tcW w:w="6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w w:val="89"/>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36,549</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H&amp;M</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1,751,214</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3,837,000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NY Metro / New Jersey</w:t>
            </w:r>
          </w:p>
        </w:tc>
        <w:tc>
          <w:tcPr>
            <w:tcW w:w="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3280" w:type="dxa"/>
            <w:vAlign w:val="bottom"/>
            <w:tcBorders>
              <w:top w:val="single" w:sz="8" w:color="CCEEFF"/>
            </w:tcBorders>
            <w:shd w:val="clear" w:color="auto" w:fill="CCEEFF"/>
          </w:tcPr>
          <w:p>
            <w:pPr>
              <w:spacing w:after="0"/>
              <w:rPr>
                <w:sz w:val="8"/>
                <w:szCs w:val="8"/>
                <w:color w:val="auto"/>
              </w:rPr>
            </w:pP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Brick Plaza</w:t>
            </w:r>
          </w:p>
        </w:tc>
        <w:tc>
          <w:tcPr>
            <w:tcW w:w="48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Monmouth-Ocean, NJ</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61,169</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422,000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840" w:type="dxa"/>
            <w:vAlign w:val="bottom"/>
          </w:tcPr>
          <w:p>
            <w:pPr>
              <w:ind w:left="80"/>
              <w:spacing w:after="0"/>
              <w:rPr>
                <w:sz w:val="20"/>
                <w:szCs w:val="20"/>
                <w:color w:val="auto"/>
              </w:rPr>
            </w:pPr>
            <w:r>
              <w:rPr>
                <w:rFonts w:ascii="Arial" w:cs="Arial" w:eastAsia="Arial" w:hAnsi="Arial"/>
                <w:sz w:val="13"/>
                <w:szCs w:val="13"/>
                <w:color w:val="auto"/>
              </w:rPr>
              <w:t>A&amp;P</w:t>
            </w:r>
          </w:p>
        </w:tc>
        <w:tc>
          <w:tcPr>
            <w:tcW w:w="3280" w:type="dxa"/>
            <w:vAlign w:val="bottom"/>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Brook 35</w:t>
            </w:r>
          </w:p>
        </w:tc>
        <w:tc>
          <w:tcPr>
            <w:tcW w:w="4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2014</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46,773</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11,500</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Ann Taylor / Banana Republic / Coach / Williams-Sonoma</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Darien</w:t>
            </w:r>
          </w:p>
        </w:tc>
        <w:tc>
          <w:tcPr>
            <w:tcW w:w="48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2013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48,326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04"/>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4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80,329</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2"/>
              </w:rPr>
              <w:t>Island of Gold</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Kohl's / Michaels / Modell's</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48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14,039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04"/>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4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1998</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28,494</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A.C. Moore</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Huntington</w:t>
            </w:r>
          </w:p>
        </w:tc>
        <w:tc>
          <w:tcPr>
            <w:tcW w:w="48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w w:val="91"/>
              </w:rPr>
              <w:t>1988/2007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43,834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3"/>
              </w:rPr>
              <w:t>Buy Buy Baby / Bed, Bath &amp; Beyond / Michaels / Nordstrom</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Rack</w:t>
            </w:r>
          </w:p>
        </w:tc>
      </w:tr>
      <w:tr>
        <w:trPr>
          <w:trHeight w:val="181"/>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12,206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Melville Mall</w:t>
            </w:r>
          </w:p>
        </w:tc>
        <w:tc>
          <w:tcPr>
            <w:tcW w:w="48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72,766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247,000</w:t>
            </w:r>
          </w:p>
        </w:tc>
        <w:tc>
          <w:tcPr>
            <w:tcW w:w="500" w:type="dxa"/>
            <w:vAlign w:val="bottom"/>
          </w:tcPr>
          <w:p>
            <w:pPr>
              <w:jc w:val="right"/>
              <w:spacing w:after="0"/>
              <w:rPr>
                <w:sz w:val="20"/>
                <w:szCs w:val="20"/>
                <w:color w:val="auto"/>
              </w:rPr>
            </w:pPr>
            <w:r>
              <w:rPr>
                <w:rFonts w:ascii="Arial" w:cs="Arial" w:eastAsia="Arial" w:hAnsi="Arial"/>
                <w:sz w:val="13"/>
                <w:szCs w:val="13"/>
                <w:color w:val="auto"/>
              </w:rPr>
              <w:t>76%</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40" w:type="dxa"/>
            <w:vAlign w:val="bottom"/>
          </w:tcPr>
          <w:p>
            <w:pPr>
              <w:ind w:left="80"/>
              <w:spacing w:after="0"/>
              <w:rPr>
                <w:sz w:val="20"/>
                <w:szCs w:val="20"/>
                <w:color w:val="auto"/>
              </w:rPr>
            </w:pPr>
            <w:r>
              <w:rPr>
                <w:rFonts w:ascii="Arial" w:cs="Arial" w:eastAsia="Arial" w:hAnsi="Arial"/>
                <w:sz w:val="13"/>
                <w:szCs w:val="13"/>
                <w:color w:val="auto"/>
              </w:rPr>
              <w:t>Waldbaum's</w:t>
            </w:r>
          </w:p>
        </w:tc>
        <w:tc>
          <w:tcPr>
            <w:tcW w:w="3280" w:type="dxa"/>
            <w:vAlign w:val="bottom"/>
          </w:tcPr>
          <w:p>
            <w:pPr>
              <w:ind w:left="40"/>
              <w:spacing w:after="0"/>
              <w:rPr>
                <w:sz w:val="20"/>
                <w:szCs w:val="20"/>
                <w:color w:val="auto"/>
              </w:rPr>
            </w:pPr>
            <w:r>
              <w:rPr>
                <w:rFonts w:ascii="Arial" w:cs="Arial" w:eastAsia="Arial" w:hAnsi="Arial"/>
                <w:sz w:val="13"/>
                <w:szCs w:val="13"/>
                <w:color w:val="auto"/>
              </w:rPr>
              <w:t>Dick’s Sporting Goods / Marshalls / Macy's Backstage</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Mercer Mall</w:t>
            </w:r>
          </w:p>
        </w:tc>
        <w:tc>
          <w:tcPr>
            <w:tcW w:w="4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(6)</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2003</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118,745</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55,697</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523,000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75,000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Bed, Bath &amp; Beyond / DSW / TJ Maxx / Raymour &amp; Flanigan</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Nordstrom Rack / REI</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8"/>
              </w:rPr>
              <w:t>The Grove at Shrewsbury</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121,730</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54,882</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3"/>
              </w:rPr>
              <w:t>Lululemon / Brooks Brothers / Anthropologie / Pottery Barn /</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tcPr>
          <w:p>
            <w:pPr>
              <w:ind w:left="4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rPr>
              <w:t>J. Crew / Banana Republic / Williams-Sonoma</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24"/>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4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Newark, NJ</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1980</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30,012</w:t>
            </w:r>
          </w:p>
        </w:tc>
        <w:tc>
          <w:tcPr>
            <w:tcW w:w="6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64,000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Pathmark</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w w:val="91"/>
              </w:rPr>
              <w:t>Total NY Metro/New Jersey</w:t>
            </w:r>
          </w:p>
        </w:tc>
        <w:tc>
          <w:tcPr>
            <w:tcW w:w="680" w:type="dxa"/>
            <w:vAlign w:val="bottom"/>
          </w:tcPr>
          <w:p>
            <w:pPr>
              <w:spacing w:after="0"/>
              <w:rPr>
                <w:sz w:val="14"/>
                <w:szCs w:val="14"/>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678,423</w:t>
            </w:r>
          </w:p>
        </w:tc>
        <w:tc>
          <w:tcPr>
            <w:tcW w:w="660" w:type="dxa"/>
            <w:vAlign w:val="bottom"/>
          </w:tcPr>
          <w:p>
            <w:pPr>
              <w:spacing w:after="0"/>
              <w:rPr>
                <w:sz w:val="14"/>
                <w:szCs w:val="14"/>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9"/>
              </w:rPr>
              <w:t>2,715,000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3280" w:type="dxa"/>
            <w:vAlign w:val="bottom"/>
            <w:tcBorders>
              <w:top w:val="single" w:sz="8" w:color="CCEEFF"/>
            </w:tcBorders>
            <w:shd w:val="clear" w:color="auto" w:fill="CCEEFF"/>
          </w:tcPr>
          <w:p>
            <w:pPr>
              <w:spacing w:after="0"/>
              <w:rPr>
                <w:sz w:val="8"/>
                <w:szCs w:val="8"/>
                <w:color w:val="auto"/>
              </w:rPr>
            </w:pP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5"/>
              </w:rPr>
              <w:t>Assembly Row / Assembly</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2005-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461,463</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5"/>
              </w:rPr>
              <w:t>AMC Theatres / LEGOLAND Discovery Center / Saks Fifth</w:t>
            </w:r>
          </w:p>
        </w:tc>
      </w:tr>
      <w:tr>
        <w:trPr>
          <w:trHeight w:val="135"/>
        </w:trPr>
        <w:tc>
          <w:tcPr>
            <w:tcW w:w="152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Square Marketplace</w:t>
            </w:r>
          </w:p>
        </w:tc>
        <w:tc>
          <w:tcPr>
            <w:tcW w:w="480" w:type="dxa"/>
            <w:vAlign w:val="bottom"/>
          </w:tcPr>
          <w:p>
            <w:pPr>
              <w:spacing w:after="0"/>
              <w:rPr>
                <w:sz w:val="11"/>
                <w:szCs w:val="11"/>
                <w:color w:val="auto"/>
              </w:rPr>
            </w:pPr>
          </w:p>
        </w:tc>
        <w:tc>
          <w:tcPr>
            <w:tcW w:w="1580" w:type="dxa"/>
            <w:vAlign w:val="bottom"/>
          </w:tcPr>
          <w:p>
            <w:pPr>
              <w:ind w:left="40"/>
              <w:spacing w:after="0" w:line="135" w:lineRule="exact"/>
              <w:rPr>
                <w:sz w:val="20"/>
                <w:szCs w:val="20"/>
                <w:color w:val="auto"/>
              </w:rPr>
            </w:pPr>
            <w:r>
              <w:rPr>
                <w:rFonts w:ascii="Arial" w:cs="Arial" w:eastAsia="Arial" w:hAnsi="Arial"/>
                <w:sz w:val="13"/>
                <w:szCs w:val="13"/>
                <w:color w:val="auto"/>
              </w:rPr>
              <w:t>MA-NH</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2011,</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w w:val="91"/>
              </w:rPr>
              <w:t>Avenue Off 5th / J. Crew / Nike Factory / Bed, Bath &amp; Beyond</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2013</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 TJ Maxx / Legal on the Mystic</w:t>
            </w: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Chelsea Commons</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42,729</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6,920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2008</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Dedham Plaza</w:t>
            </w:r>
          </w:p>
        </w:tc>
        <w:tc>
          <w:tcPr>
            <w:tcW w:w="48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35,069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80,000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32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Linden Square</w:t>
            </w:r>
          </w:p>
        </w:tc>
        <w:tc>
          <w:tcPr>
            <w:tcW w:w="48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147,029</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North Dartmouth</w:t>
            </w:r>
          </w:p>
        </w:tc>
        <w:tc>
          <w:tcPr>
            <w:tcW w:w="48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9,367</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3280" w:type="dxa"/>
            <w:vAlign w:val="bottom"/>
          </w:tcPr>
          <w:p>
            <w:pPr>
              <w:spacing w:after="0"/>
              <w:rPr>
                <w:sz w:val="12"/>
                <w:szCs w:val="12"/>
                <w:color w:val="auto"/>
              </w:rPr>
            </w:pPr>
          </w:p>
        </w:tc>
      </w:tr>
      <w:tr>
        <w:trPr>
          <w:trHeight w:val="160"/>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20" w:type="dxa"/>
            <w:vAlign w:val="bottom"/>
          </w:tcPr>
          <w:p>
            <w:pPr>
              <w:spacing w:after="0"/>
              <w:rPr>
                <w:sz w:val="11"/>
                <w:szCs w:val="11"/>
                <w:color w:val="auto"/>
              </w:rPr>
            </w:pPr>
          </w:p>
        </w:tc>
      </w:tr>
      <w:tr>
        <w:trPr>
          <w:trHeight w:val="174"/>
        </w:trPr>
        <w:tc>
          <w:tcPr>
            <w:tcW w:w="15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8"/>
        </w:trPr>
        <w:tc>
          <w:tcPr>
            <w:tcW w:w="156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340" w:type="dxa"/>
            <w:vAlign w:val="bottom"/>
            <w:shd w:val="clear" w:color="auto" w:fill="CCEEFF"/>
          </w:tcPr>
          <w:p>
            <w:pPr>
              <w:spacing w:after="0"/>
              <w:rPr>
                <w:sz w:val="12"/>
                <w:szCs w:val="12"/>
                <w:color w:val="auto"/>
              </w:rPr>
            </w:pPr>
          </w:p>
        </w:tc>
        <w:tc>
          <w:tcPr>
            <w:tcW w:w="15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1"/>
              </w:rPr>
              <w:t>Boston-Cambridge-Quincy,</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18,081</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50,000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Hannaford</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48"/>
        </w:trPr>
        <w:tc>
          <w:tcPr>
            <w:tcW w:w="156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Saugus Plaza</w:t>
            </w:r>
          </w:p>
        </w:tc>
        <w:tc>
          <w:tcPr>
            <w:tcW w:w="340" w:type="dxa"/>
            <w:vAlign w:val="bottom"/>
          </w:tcPr>
          <w:p>
            <w:pPr>
              <w:spacing w:after="0"/>
              <w:rPr>
                <w:sz w:val="12"/>
                <w:szCs w:val="12"/>
                <w:color w:val="auto"/>
              </w:rPr>
            </w:pPr>
          </w:p>
        </w:tc>
        <w:tc>
          <w:tcPr>
            <w:tcW w:w="1560" w:type="dxa"/>
            <w:vAlign w:val="bottom"/>
          </w:tcPr>
          <w:p>
            <w:pPr>
              <w:ind w:left="100"/>
              <w:spacing w:after="0" w:line="148" w:lineRule="exact"/>
              <w:rPr>
                <w:sz w:val="20"/>
                <w:szCs w:val="20"/>
                <w:color w:val="auto"/>
              </w:rPr>
            </w:pPr>
            <w:r>
              <w:rPr>
                <w:rFonts w:ascii="Arial" w:cs="Arial" w:eastAsia="Arial" w:hAnsi="Arial"/>
                <w:sz w:val="13"/>
                <w:szCs w:val="13"/>
                <w:color w:val="auto"/>
                <w:w w:val="91"/>
              </w:rPr>
              <w:t>Boston-Cambridge-Quincy,</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1996</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15,013</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168,000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Kmart</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MA-NH</w:t>
            </w: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32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New England</w:t>
            </w: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728,751</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1,747,000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20" w:type="dxa"/>
            <w:vAlign w:val="bottom"/>
            <w:gridSpan w:val="5"/>
          </w:tcPr>
          <w:p>
            <w:pPr>
              <w:ind w:left="60"/>
              <w:spacing w:after="0"/>
              <w:rPr>
                <w:sz w:val="20"/>
                <w:szCs w:val="20"/>
                <w:color w:val="auto"/>
              </w:rPr>
            </w:pPr>
            <w:r>
              <w:rPr>
                <w:rFonts w:ascii="Arial" w:cs="Arial" w:eastAsia="Arial" w:hAnsi="Arial"/>
                <w:sz w:val="13"/>
                <w:szCs w:val="13"/>
                <w:b w:val="1"/>
                <w:bCs w:val="1"/>
                <w:color w:val="auto"/>
              </w:rPr>
              <w:t>Baltimore</w:t>
            </w: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15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Governor Plaza</w:t>
            </w:r>
          </w:p>
        </w:tc>
        <w:tc>
          <w:tcPr>
            <w:tcW w:w="3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1985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27,038</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243,000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Dick’s Sporting Goods</w:t>
            </w:r>
          </w:p>
        </w:tc>
      </w:tr>
      <w:tr>
        <w:trPr>
          <w:trHeight w:val="148"/>
        </w:trPr>
        <w:tc>
          <w:tcPr>
            <w:tcW w:w="156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Perring Plaza</w:t>
            </w:r>
          </w:p>
        </w:tc>
        <w:tc>
          <w:tcPr>
            <w:tcW w:w="340" w:type="dxa"/>
            <w:vAlign w:val="bottom"/>
          </w:tcPr>
          <w:p>
            <w:pPr>
              <w:spacing w:after="0"/>
              <w:rPr>
                <w:sz w:val="12"/>
                <w:szCs w:val="12"/>
                <w:color w:val="auto"/>
              </w:rPr>
            </w:pPr>
          </w:p>
        </w:tc>
        <w:tc>
          <w:tcPr>
            <w:tcW w:w="156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30,340</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w w:val="97"/>
              </w:rPr>
              <w:t>Home Depot / Burlington Coat Factory / Jo-Ann Stores /</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Micro Center</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220" w:type="dxa"/>
            <w:vAlign w:val="bottom"/>
          </w:tcPr>
          <w:p>
            <w:pPr>
              <w:spacing w:after="0"/>
              <w:rPr>
                <w:sz w:val="14"/>
                <w:szCs w:val="14"/>
                <w:color w:val="auto"/>
              </w:rPr>
            </w:pPr>
          </w:p>
        </w:tc>
      </w:tr>
      <w:tr>
        <w:trPr>
          <w:trHeight w:val="156"/>
        </w:trPr>
        <w:tc>
          <w:tcPr>
            <w:tcW w:w="15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THE AVENUE at White</w:t>
            </w:r>
          </w:p>
        </w:tc>
        <w:tc>
          <w:tcPr>
            <w:tcW w:w="3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99,611</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52,705</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Loews / Old Navy / Barnes &amp; Noble / A.C. Moore</w:t>
            </w:r>
          </w:p>
        </w:tc>
      </w:tr>
      <w:tr>
        <w:trPr>
          <w:trHeight w:val="176"/>
        </w:trPr>
        <w:tc>
          <w:tcPr>
            <w:tcW w:w="15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Marsh</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48"/>
        </w:trPr>
        <w:tc>
          <w:tcPr>
            <w:tcW w:w="1560" w:type="dxa"/>
            <w:vAlign w:val="bottom"/>
            <w:gridSpan w:val="6"/>
          </w:tcPr>
          <w:p>
            <w:pPr>
              <w:ind w:left="40"/>
              <w:spacing w:after="0" w:line="148" w:lineRule="exact"/>
              <w:rPr>
                <w:sz w:val="20"/>
                <w:szCs w:val="20"/>
                <w:color w:val="auto"/>
              </w:rPr>
            </w:pPr>
            <w:r>
              <w:rPr>
                <w:rFonts w:ascii="Arial" w:cs="Arial" w:eastAsia="Arial" w:hAnsi="Arial"/>
                <w:sz w:val="13"/>
                <w:szCs w:val="13"/>
                <w:color w:val="auto"/>
                <w:w w:val="92"/>
              </w:rPr>
              <w:t>The Shoppes at Nottingham</w:t>
            </w:r>
          </w:p>
        </w:tc>
        <w:tc>
          <w:tcPr>
            <w:tcW w:w="340" w:type="dxa"/>
            <w:vAlign w:val="bottom"/>
          </w:tcPr>
          <w:p>
            <w:pPr>
              <w:spacing w:after="0"/>
              <w:rPr>
                <w:sz w:val="12"/>
                <w:szCs w:val="12"/>
                <w:color w:val="auto"/>
              </w:rPr>
            </w:pPr>
          </w:p>
        </w:tc>
        <w:tc>
          <w:tcPr>
            <w:tcW w:w="156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17,442</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68"/>
        </w:trPr>
        <w:tc>
          <w:tcPr>
            <w:tcW w:w="1560" w:type="dxa"/>
            <w:vAlign w:val="bottom"/>
            <w:gridSpan w:val="6"/>
          </w:tcPr>
          <w:p>
            <w:pPr>
              <w:ind w:left="40"/>
              <w:spacing w:after="0"/>
              <w:rPr>
                <w:sz w:val="20"/>
                <w:szCs w:val="20"/>
                <w:color w:val="auto"/>
              </w:rPr>
            </w:pPr>
            <w:r>
              <w:rPr>
                <w:rFonts w:ascii="Arial" w:cs="Arial" w:eastAsia="Arial" w:hAnsi="Arial"/>
                <w:sz w:val="13"/>
                <w:szCs w:val="13"/>
                <w:color w:val="auto"/>
              </w:rPr>
              <w:t>Square</w:t>
            </w: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4"/>
        </w:trPr>
        <w:tc>
          <w:tcPr>
            <w:tcW w:w="15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White Marsh Plaza</w:t>
            </w:r>
          </w:p>
        </w:tc>
        <w:tc>
          <w:tcPr>
            <w:tcW w:w="3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25,151</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Borders>
              <w:bottom w:val="single" w:sz="8" w:color="CCEEFF"/>
            </w:tcBorders>
            <w:shd w:val="clear" w:color="auto" w:fill="CCEEFF"/>
          </w:tcPr>
          <w:p>
            <w:pPr>
              <w:spacing w:after="0"/>
              <w:rPr>
                <w:sz w:val="17"/>
                <w:szCs w:val="17"/>
                <w:color w:val="auto"/>
              </w:rPr>
            </w:pPr>
          </w:p>
        </w:tc>
      </w:tr>
      <w:tr>
        <w:trPr>
          <w:trHeight w:val="173"/>
        </w:trPr>
        <w:tc>
          <w:tcPr>
            <w:tcW w:w="1560" w:type="dxa"/>
            <w:vAlign w:val="bottom"/>
            <w:gridSpan w:val="6"/>
          </w:tcPr>
          <w:p>
            <w:pPr>
              <w:ind w:left="40"/>
              <w:spacing w:after="0"/>
              <w:rPr>
                <w:sz w:val="20"/>
                <w:szCs w:val="20"/>
                <w:color w:val="auto"/>
              </w:rPr>
            </w:pPr>
            <w:r>
              <w:rPr>
                <w:rFonts w:ascii="Arial" w:cs="Arial" w:eastAsia="Arial" w:hAnsi="Arial"/>
                <w:sz w:val="13"/>
                <w:szCs w:val="13"/>
                <w:color w:val="auto"/>
              </w:rPr>
              <w:t>White Marsh Other</w:t>
            </w:r>
          </w:p>
        </w:tc>
        <w:tc>
          <w:tcPr>
            <w:tcW w:w="34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36,921</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560" w:type="dxa"/>
            <w:vAlign w:val="bottom"/>
            <w:tcBorders>
              <w:bottom w:val="single" w:sz="8" w:color="CCEEFF"/>
            </w:tcBorders>
          </w:tcPr>
          <w:p>
            <w:pPr>
              <w:spacing w:after="0"/>
              <w:rPr>
                <w:sz w:val="8"/>
                <w:szCs w:val="8"/>
                <w:color w:val="auto"/>
              </w:rPr>
            </w:pPr>
          </w:p>
        </w:tc>
        <w:tc>
          <w:tcPr>
            <w:tcW w:w="74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236,503</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20" w:type="dxa"/>
            <w:vAlign w:val="bottom"/>
            <w:gridSpan w:val="5"/>
          </w:tcPr>
          <w:p>
            <w:pPr>
              <w:ind w:left="60"/>
              <w:spacing w:after="0"/>
              <w:rPr>
                <w:sz w:val="20"/>
                <w:szCs w:val="20"/>
                <w:color w:val="auto"/>
              </w:rPr>
            </w:pPr>
            <w:r>
              <w:rPr>
                <w:rFonts w:ascii="Arial" w:cs="Arial" w:eastAsia="Arial" w:hAnsi="Arial"/>
                <w:sz w:val="13"/>
                <w:szCs w:val="13"/>
                <w:b w:val="1"/>
                <w:bCs w:val="1"/>
                <w:color w:val="auto"/>
              </w:rPr>
              <w:t>Chicago</w:t>
            </w: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15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Crossroads</w:t>
            </w: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1993</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31,088</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1560" w:type="dxa"/>
            <w:vAlign w:val="bottom"/>
            <w:gridSpan w:val="6"/>
          </w:tcPr>
          <w:p>
            <w:pPr>
              <w:ind w:left="40"/>
              <w:spacing w:after="0"/>
              <w:rPr>
                <w:sz w:val="20"/>
                <w:szCs w:val="20"/>
                <w:color w:val="auto"/>
              </w:rPr>
            </w:pPr>
            <w:r>
              <w:rPr>
                <w:rFonts w:ascii="Arial" w:cs="Arial" w:eastAsia="Arial" w:hAnsi="Arial"/>
                <w:sz w:val="13"/>
                <w:szCs w:val="13"/>
                <w:color w:val="auto"/>
              </w:rPr>
              <w:t>Finley Square</w:t>
            </w:r>
          </w:p>
        </w:tc>
        <w:tc>
          <w:tcPr>
            <w:tcW w:w="34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34,434</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315,000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w w:val="93"/>
              </w:rPr>
              <w:t>Bed, Bath &amp; Beyond / Buy Buy Baby / Petsmart / Michaels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48"/>
        </w:trPr>
        <w:tc>
          <w:tcPr>
            <w:tcW w:w="156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Garden Market</w:t>
            </w:r>
          </w:p>
        </w:tc>
        <w:tc>
          <w:tcPr>
            <w:tcW w:w="340" w:type="dxa"/>
            <w:vAlign w:val="bottom"/>
            <w:shd w:val="clear" w:color="auto" w:fill="CCEEFF"/>
          </w:tcPr>
          <w:p>
            <w:pPr>
              <w:spacing w:after="0"/>
              <w:rPr>
                <w:sz w:val="12"/>
                <w:szCs w:val="12"/>
                <w:color w:val="auto"/>
              </w:rPr>
            </w:pPr>
          </w:p>
        </w:tc>
        <w:tc>
          <w:tcPr>
            <w:tcW w:w="15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Chicago, IL</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12,710</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Mariano's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Fresh Market</w:t>
            </w:r>
          </w:p>
        </w:tc>
        <w:tc>
          <w:tcPr>
            <w:tcW w:w="3220" w:type="dxa"/>
            <w:vAlign w:val="bottom"/>
            <w:shd w:val="clear" w:color="auto" w:fill="CCEEFF"/>
          </w:tcPr>
          <w:p>
            <w:pPr>
              <w:spacing w:after="0"/>
              <w:rPr>
                <w:sz w:val="15"/>
                <w:szCs w:val="15"/>
                <w:color w:val="auto"/>
              </w:rPr>
            </w:pPr>
          </w:p>
        </w:tc>
      </w:tr>
      <w:tr>
        <w:trPr>
          <w:trHeight w:val="173"/>
        </w:trPr>
        <w:tc>
          <w:tcPr>
            <w:tcW w:w="1560" w:type="dxa"/>
            <w:vAlign w:val="bottom"/>
            <w:gridSpan w:val="6"/>
          </w:tcPr>
          <w:p>
            <w:pPr>
              <w:ind w:left="40"/>
              <w:spacing w:after="0"/>
              <w:rPr>
                <w:sz w:val="20"/>
                <w:szCs w:val="20"/>
                <w:color w:val="auto"/>
              </w:rPr>
            </w:pPr>
            <w:r>
              <w:rPr>
                <w:rFonts w:ascii="Arial" w:cs="Arial" w:eastAsia="Arial" w:hAnsi="Arial"/>
                <w:sz w:val="13"/>
                <w:szCs w:val="13"/>
                <w:color w:val="auto"/>
              </w:rPr>
              <w:t>North Lake Commons</w:t>
            </w:r>
          </w:p>
        </w:tc>
        <w:tc>
          <w:tcPr>
            <w:tcW w:w="34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16,420</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129,000</w:t>
            </w:r>
          </w:p>
        </w:tc>
        <w:tc>
          <w:tcPr>
            <w:tcW w:w="520" w:type="dxa"/>
            <w:vAlign w:val="bottom"/>
          </w:tcPr>
          <w:p>
            <w:pPr>
              <w:jc w:val="right"/>
              <w:spacing w:after="0"/>
              <w:rPr>
                <w:sz w:val="20"/>
                <w:szCs w:val="20"/>
                <w:color w:val="auto"/>
              </w:rPr>
            </w:pPr>
            <w:r>
              <w:rPr>
                <w:rFonts w:ascii="Arial" w:cs="Arial" w:eastAsia="Arial" w:hAnsi="Arial"/>
                <w:sz w:val="13"/>
                <w:szCs w:val="13"/>
                <w:color w:val="auto"/>
              </w:rPr>
              <w:t>85%</w:t>
            </w:r>
          </w:p>
        </w:tc>
        <w:tc>
          <w:tcPr>
            <w:tcW w:w="600" w:type="dxa"/>
            <w:vAlign w:val="bottom"/>
          </w:tcPr>
          <w:p>
            <w:pPr>
              <w:ind w:left="60"/>
              <w:spacing w:after="0"/>
              <w:rPr>
                <w:sz w:val="20"/>
                <w:szCs w:val="20"/>
                <w:color w:val="auto"/>
              </w:rPr>
            </w:pPr>
            <w:r>
              <w:rPr>
                <w:rFonts w:ascii="Arial" w:cs="Arial" w:eastAsia="Arial" w:hAnsi="Arial"/>
                <w:sz w:val="13"/>
                <w:szCs w:val="13"/>
                <w:color w:val="auto"/>
              </w:rPr>
              <w:t>77,000</w:t>
            </w:r>
          </w:p>
        </w:tc>
        <w:tc>
          <w:tcPr>
            <w:tcW w:w="820" w:type="dxa"/>
            <w:vAlign w:val="bottom"/>
          </w:tcPr>
          <w:p>
            <w:pPr>
              <w:ind w:left="80"/>
              <w:spacing w:after="0"/>
              <w:rPr>
                <w:sz w:val="20"/>
                <w:szCs w:val="20"/>
                <w:color w:val="auto"/>
              </w:rPr>
            </w:pPr>
            <w:r>
              <w:rPr>
                <w:rFonts w:ascii="Arial" w:cs="Arial" w:eastAsia="Arial" w:hAnsi="Arial"/>
                <w:sz w:val="13"/>
                <w:szCs w:val="13"/>
                <w:color w:val="auto"/>
              </w:rPr>
              <w:t>Jewel Osco</w:t>
            </w:r>
          </w:p>
        </w:tc>
        <w:tc>
          <w:tcPr>
            <w:tcW w:w="32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560" w:type="dxa"/>
            <w:vAlign w:val="bottom"/>
            <w:tcBorders>
              <w:bottom w:val="single" w:sz="8" w:color="CCEEFF"/>
            </w:tcBorders>
          </w:tcPr>
          <w:p>
            <w:pPr>
              <w:spacing w:after="0"/>
              <w:rPr>
                <w:sz w:val="8"/>
                <w:szCs w:val="8"/>
                <w:color w:val="auto"/>
              </w:rPr>
            </w:pPr>
          </w:p>
        </w:tc>
        <w:tc>
          <w:tcPr>
            <w:tcW w:w="74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94,652</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20" w:type="dxa"/>
            <w:vAlign w:val="bottom"/>
            <w:gridSpan w:val="5"/>
          </w:tcPr>
          <w:p>
            <w:pPr>
              <w:ind w:left="60"/>
              <w:spacing w:after="0"/>
              <w:rPr>
                <w:sz w:val="20"/>
                <w:szCs w:val="20"/>
                <w:color w:val="auto"/>
              </w:rPr>
            </w:pPr>
            <w:r>
              <w:rPr>
                <w:rFonts w:ascii="Arial" w:cs="Arial" w:eastAsia="Arial" w:hAnsi="Arial"/>
                <w:sz w:val="13"/>
                <w:szCs w:val="13"/>
                <w:b w:val="1"/>
                <w:bCs w:val="1"/>
                <w:color w:val="auto"/>
              </w:rPr>
              <w:t>South Florida</w:t>
            </w: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15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Cocowalk</w:t>
            </w:r>
          </w:p>
        </w:tc>
        <w:tc>
          <w:tcPr>
            <w:tcW w:w="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2015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96,263</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212,000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Cinepolis Theaters / Gap / Youfit Health Club</w:t>
            </w:r>
          </w:p>
        </w:tc>
      </w:tr>
      <w:tr>
        <w:trPr>
          <w:trHeight w:val="173"/>
        </w:trPr>
        <w:tc>
          <w:tcPr>
            <w:tcW w:w="1560" w:type="dxa"/>
            <w:vAlign w:val="bottom"/>
            <w:gridSpan w:val="6"/>
          </w:tcPr>
          <w:p>
            <w:pPr>
              <w:ind w:left="40"/>
              <w:spacing w:after="0"/>
              <w:rPr>
                <w:sz w:val="20"/>
                <w:szCs w:val="20"/>
                <w:color w:val="auto"/>
              </w:rPr>
            </w:pPr>
            <w:r>
              <w:rPr>
                <w:rFonts w:ascii="Arial" w:cs="Arial" w:eastAsia="Arial" w:hAnsi="Arial"/>
                <w:sz w:val="13"/>
                <w:szCs w:val="13"/>
                <w:color w:val="auto"/>
              </w:rPr>
              <w:t>Courtyard Shops</w:t>
            </w:r>
          </w:p>
        </w:tc>
        <w:tc>
          <w:tcPr>
            <w:tcW w:w="34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Miami-Ft Lauderdale</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41,056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130,000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ind w:left="60"/>
              <w:spacing w:after="0"/>
              <w:rPr>
                <w:sz w:val="20"/>
                <w:szCs w:val="20"/>
                <w:color w:val="auto"/>
              </w:rPr>
            </w:pPr>
            <w:r>
              <w:rPr>
                <w:rFonts w:ascii="Arial" w:cs="Arial" w:eastAsia="Arial" w:hAnsi="Arial"/>
                <w:sz w:val="13"/>
                <w:szCs w:val="13"/>
                <w:color w:val="auto"/>
              </w:rPr>
              <w:t>49,000</w:t>
            </w:r>
          </w:p>
        </w:tc>
        <w:tc>
          <w:tcPr>
            <w:tcW w:w="820" w:type="dxa"/>
            <w:vAlign w:val="bottom"/>
          </w:tcPr>
          <w:p>
            <w:pPr>
              <w:ind w:left="80"/>
              <w:spacing w:after="0"/>
              <w:rPr>
                <w:sz w:val="20"/>
                <w:szCs w:val="20"/>
                <w:color w:val="auto"/>
              </w:rPr>
            </w:pPr>
            <w:r>
              <w:rPr>
                <w:rFonts w:ascii="Arial" w:cs="Arial" w:eastAsia="Arial" w:hAnsi="Arial"/>
                <w:sz w:val="13"/>
                <w:szCs w:val="13"/>
                <w:color w:val="auto"/>
              </w:rPr>
              <w:t>Publix</w:t>
            </w:r>
          </w:p>
        </w:tc>
        <w:tc>
          <w:tcPr>
            <w:tcW w:w="32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15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Del Mar Village</w:t>
            </w:r>
          </w:p>
        </w:tc>
        <w:tc>
          <w:tcPr>
            <w:tcW w:w="3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97"/>
              </w:rPr>
              <w:t>2008/2014</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60,125</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196,000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48"/>
        </w:trPr>
        <w:tc>
          <w:tcPr>
            <w:tcW w:w="156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Tower Shops</w:t>
            </w:r>
          </w:p>
        </w:tc>
        <w:tc>
          <w:tcPr>
            <w:tcW w:w="340" w:type="dxa"/>
            <w:vAlign w:val="bottom"/>
          </w:tcPr>
          <w:p>
            <w:pPr>
              <w:spacing w:after="0"/>
              <w:rPr>
                <w:sz w:val="12"/>
                <w:szCs w:val="12"/>
                <w:color w:val="auto"/>
              </w:rPr>
            </w:pPr>
          </w:p>
        </w:tc>
        <w:tc>
          <w:tcPr>
            <w:tcW w:w="1560" w:type="dxa"/>
            <w:vAlign w:val="bottom"/>
          </w:tcPr>
          <w:p>
            <w:pPr>
              <w:ind w:left="100"/>
              <w:spacing w:after="0" w:line="148" w:lineRule="exact"/>
              <w:rPr>
                <w:sz w:val="20"/>
                <w:szCs w:val="20"/>
                <w:color w:val="auto"/>
              </w:rPr>
            </w:pPr>
            <w:r>
              <w:rPr>
                <w:rFonts w:ascii="Arial" w:cs="Arial" w:eastAsia="Arial" w:hAnsi="Arial"/>
                <w:sz w:val="13"/>
                <w:szCs w:val="13"/>
                <w:color w:val="auto"/>
              </w:rPr>
              <w:t>Miami-Ft Lauderdale</w:t>
            </w:r>
          </w:p>
        </w:tc>
        <w:tc>
          <w:tcPr>
            <w:tcW w:w="740" w:type="dxa"/>
            <w:vAlign w:val="bottom"/>
          </w:tcPr>
          <w:p>
            <w:pPr>
              <w:jc w:val="right"/>
              <w:ind w:right="57"/>
              <w:spacing w:after="0" w:line="148" w:lineRule="exact"/>
              <w:rPr>
                <w:sz w:val="20"/>
                <w:szCs w:val="20"/>
                <w:color w:val="auto"/>
              </w:rPr>
            </w:pPr>
            <w:r>
              <w:rPr>
                <w:rFonts w:ascii="Arial" w:cs="Arial" w:eastAsia="Arial" w:hAnsi="Arial"/>
                <w:sz w:val="13"/>
                <w:szCs w:val="13"/>
                <w:color w:val="auto"/>
                <w:w w:val="97"/>
              </w:rPr>
              <w:t>2011/2014</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92,718</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w w:val="89"/>
              </w:rPr>
              <w:t>Best Buy / DSW / Old Navy / Ross Dress For Less / TJ Maxx</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 Ulta</w:t>
            </w: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South Florida</w:t>
            </w: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290,162</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914,000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20" w:type="dxa"/>
            <w:vAlign w:val="bottom"/>
            <w:gridSpan w:val="5"/>
          </w:tcPr>
          <w:p>
            <w:pPr>
              <w:ind w:left="60"/>
              <w:spacing w:after="0"/>
              <w:rPr>
                <w:sz w:val="20"/>
                <w:szCs w:val="20"/>
                <w:color w:val="auto"/>
              </w:rPr>
            </w:pPr>
            <w:r>
              <w:rPr>
                <w:rFonts w:ascii="Arial" w:cs="Arial" w:eastAsia="Arial" w:hAnsi="Arial"/>
                <w:sz w:val="13"/>
                <w:szCs w:val="13"/>
                <w:b w:val="1"/>
                <w:bCs w:val="1"/>
                <w:color w:val="auto"/>
              </w:rPr>
              <w:t>Other</w:t>
            </w:r>
          </w:p>
        </w:tc>
        <w:tc>
          <w:tcPr>
            <w:tcW w:w="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48"/>
        </w:trPr>
        <w:tc>
          <w:tcPr>
            <w:tcW w:w="156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 Road</w:t>
            </w:r>
          </w:p>
        </w:tc>
        <w:tc>
          <w:tcPr>
            <w:tcW w:w="340" w:type="dxa"/>
            <w:vAlign w:val="bottom"/>
            <w:shd w:val="clear" w:color="auto" w:fill="CCEEFF"/>
          </w:tcPr>
          <w:p>
            <w:pPr>
              <w:spacing w:after="0"/>
              <w:rPr>
                <w:sz w:val="12"/>
                <w:szCs w:val="12"/>
                <w:color w:val="auto"/>
              </w:rPr>
            </w:pPr>
          </w:p>
        </w:tc>
        <w:tc>
          <w:tcPr>
            <w:tcW w:w="15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60,617</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497,000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404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Harris Teeter / Anthropologie / Bed, Bath &amp; Beyond / Barnes &amp; Noble / Old</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Navy / Michaels / Ulta</w:t>
            </w:r>
          </w:p>
        </w:tc>
      </w:tr>
      <w:tr>
        <w:trPr>
          <w:trHeight w:val="173"/>
        </w:trPr>
        <w:tc>
          <w:tcPr>
            <w:tcW w:w="1560" w:type="dxa"/>
            <w:vAlign w:val="bottom"/>
            <w:gridSpan w:val="6"/>
          </w:tcPr>
          <w:p>
            <w:pPr>
              <w:ind w:left="40"/>
              <w:spacing w:after="0"/>
              <w:rPr>
                <w:sz w:val="20"/>
                <w:szCs w:val="20"/>
                <w:color w:val="auto"/>
              </w:rPr>
            </w:pPr>
            <w:r>
              <w:rPr>
                <w:rFonts w:ascii="Arial" w:cs="Arial" w:eastAsia="Arial" w:hAnsi="Arial"/>
                <w:sz w:val="13"/>
                <w:szCs w:val="13"/>
                <w:color w:val="auto"/>
              </w:rPr>
              <w:t>Bristol Plaza</w:t>
            </w:r>
          </w:p>
        </w:tc>
        <w:tc>
          <w:tcPr>
            <w:tcW w:w="34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Hartford, CT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29,698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322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48"/>
        </w:trPr>
        <w:tc>
          <w:tcPr>
            <w:tcW w:w="156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Eastgate</w:t>
            </w:r>
          </w:p>
        </w:tc>
        <w:tc>
          <w:tcPr>
            <w:tcW w:w="340" w:type="dxa"/>
            <w:vAlign w:val="bottom"/>
            <w:shd w:val="clear" w:color="auto" w:fill="CCEEFF"/>
          </w:tcPr>
          <w:p>
            <w:pPr>
              <w:spacing w:after="0"/>
              <w:rPr>
                <w:sz w:val="12"/>
                <w:szCs w:val="12"/>
                <w:color w:val="auto"/>
              </w:rPr>
            </w:pPr>
          </w:p>
        </w:tc>
        <w:tc>
          <w:tcPr>
            <w:tcW w:w="156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Raleigh-Durham-Chapel</w:t>
            </w:r>
          </w:p>
        </w:tc>
        <w:tc>
          <w:tcPr>
            <w:tcW w:w="74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27,909</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Hill, NC</w:t>
            </w:r>
          </w:p>
        </w:tc>
        <w:tc>
          <w:tcPr>
            <w:tcW w:w="7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73"/>
        </w:trPr>
        <w:tc>
          <w:tcPr>
            <w:tcW w:w="1560" w:type="dxa"/>
            <w:vAlign w:val="bottom"/>
            <w:gridSpan w:val="6"/>
          </w:tcPr>
          <w:p>
            <w:pPr>
              <w:ind w:left="40"/>
              <w:spacing w:after="0"/>
              <w:rPr>
                <w:sz w:val="20"/>
                <w:szCs w:val="20"/>
                <w:color w:val="auto"/>
              </w:rPr>
            </w:pPr>
            <w:r>
              <w:rPr>
                <w:rFonts w:ascii="Arial" w:cs="Arial" w:eastAsia="Arial" w:hAnsi="Arial"/>
                <w:sz w:val="13"/>
                <w:szCs w:val="13"/>
                <w:color w:val="auto"/>
              </w:rPr>
              <w:t>Gratiot Plaza</w:t>
            </w:r>
          </w:p>
        </w:tc>
        <w:tc>
          <w:tcPr>
            <w:tcW w:w="34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Detroit, MI</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19,452</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96"/>
        </w:trPr>
        <w:tc>
          <w:tcPr>
            <w:tcW w:w="15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Lancaster, PA</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13,551</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173"/>
        </w:trPr>
        <w:tc>
          <w:tcPr>
            <w:tcW w:w="1560" w:type="dxa"/>
            <w:vAlign w:val="bottom"/>
            <w:gridSpan w:val="6"/>
          </w:tcPr>
          <w:p>
            <w:pPr>
              <w:ind w:left="40"/>
              <w:spacing w:after="0"/>
              <w:rPr>
                <w:sz w:val="20"/>
                <w:szCs w:val="20"/>
                <w:color w:val="auto"/>
              </w:rPr>
            </w:pPr>
            <w:r>
              <w:rPr>
                <w:rFonts w:ascii="Arial" w:cs="Arial" w:eastAsia="Arial" w:hAnsi="Arial"/>
                <w:sz w:val="13"/>
                <w:szCs w:val="13"/>
                <w:color w:val="auto"/>
              </w:rPr>
              <w:t>29th Place</w:t>
            </w:r>
          </w:p>
        </w:tc>
        <w:tc>
          <w:tcPr>
            <w:tcW w:w="34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Charlottesville, VA</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40,456</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4,801</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216"/>
        </w:trPr>
        <w:tc>
          <w:tcPr>
            <w:tcW w:w="15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Willow Lawn</w:t>
            </w:r>
          </w:p>
        </w:tc>
        <w:tc>
          <w:tcPr>
            <w:tcW w:w="3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5"/>
              </w:rPr>
              <w:t>Richmond-Petersburg, VA</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87,421</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445,000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3"/>
                <w:szCs w:val="13"/>
                <w:b w:val="1"/>
                <w:bCs w:val="1"/>
                <w:color w:val="auto"/>
              </w:rPr>
              <w:t>Total Other</w:t>
            </w:r>
          </w:p>
        </w:tc>
        <w:tc>
          <w:tcPr>
            <w:tcW w:w="74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279,104</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1,874,000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35"/>
        </w:trPr>
        <w:tc>
          <w:tcPr>
            <w:tcW w:w="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3220" w:type="dxa"/>
            <w:vAlign w:val="bottom"/>
            <w:tcBorders>
              <w:bottom w:val="single" w:sz="8" w:color="auto"/>
            </w:tcBorders>
            <w:shd w:val="clear" w:color="auto" w:fill="CCEEFF"/>
          </w:tcPr>
          <w:p>
            <w:pPr>
              <w:spacing w:after="0"/>
              <w:rPr>
                <w:sz w:val="11"/>
                <w:szCs w:val="11"/>
                <w:color w:val="auto"/>
              </w:rPr>
            </w:pPr>
          </w:p>
        </w:tc>
      </w:tr>
      <w:tr>
        <w:trPr>
          <w:trHeight w:val="167"/>
        </w:trPr>
        <w:tc>
          <w:tcPr>
            <w:tcW w:w="1560" w:type="dxa"/>
            <w:vAlign w:val="bottom"/>
            <w:gridSpan w:val="6"/>
          </w:tcPr>
          <w:p>
            <w:pPr>
              <w:ind w:left="40"/>
              <w:spacing w:after="0"/>
              <w:rPr>
                <w:sz w:val="20"/>
                <w:szCs w:val="20"/>
                <w:color w:val="auto"/>
              </w:rPr>
            </w:pPr>
            <w:r>
              <w:rPr>
                <w:rFonts w:ascii="Arial" w:cs="Arial" w:eastAsia="Arial" w:hAnsi="Arial"/>
                <w:sz w:val="13"/>
                <w:szCs w:val="13"/>
                <w:b w:val="1"/>
                <w:bCs w:val="1"/>
                <w:color w:val="auto"/>
              </w:rPr>
              <w:t>Grand Total</w:t>
            </w: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$ 5,916,846</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$ 492,139</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20,886,000</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96%</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920" w:type="dxa"/>
            <w:vAlign w:val="bottom"/>
            <w:gridSpan w:val="2"/>
          </w:tcPr>
          <w:p>
            <w:pPr>
              <w:spacing w:after="0"/>
              <w:rPr>
                <w:sz w:val="20"/>
                <w:szCs w:val="20"/>
                <w:color w:val="auto"/>
              </w:rPr>
            </w:pPr>
            <w:r>
              <w:rPr>
                <w:rFonts w:ascii="Arial" w:cs="Arial" w:eastAsia="Arial" w:hAnsi="Arial"/>
                <w:sz w:val="13"/>
                <w:szCs w:val="13"/>
                <w:color w:val="auto"/>
              </w:rPr>
              <w:t>Notes:</w:t>
            </w:r>
          </w:p>
        </w:tc>
        <w:tc>
          <w:tcPr>
            <w:tcW w:w="10080" w:type="dxa"/>
            <w:vAlign w:val="bottom"/>
          </w:tcPr>
          <w:p>
            <w:pPr>
              <w:spacing w:after="0"/>
              <w:rPr>
                <w:sz w:val="12"/>
                <w:szCs w:val="12"/>
                <w:color w:val="auto"/>
              </w:rPr>
            </w:pPr>
          </w:p>
        </w:tc>
      </w:tr>
      <w:tr>
        <w:trPr>
          <w:trHeight w:val="194"/>
        </w:trPr>
        <w:tc>
          <w:tcPr>
            <w:tcW w:w="3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w:t>
            </w:r>
          </w:p>
        </w:tc>
        <w:tc>
          <w:tcPr>
            <w:tcW w:w="600" w:type="dxa"/>
            <w:vAlign w:val="bottom"/>
          </w:tcPr>
          <w:p>
            <w:pPr>
              <w:spacing w:after="0"/>
              <w:rPr>
                <w:sz w:val="16"/>
                <w:szCs w:val="16"/>
                <w:color w:val="auto"/>
              </w:rPr>
            </w:pPr>
          </w:p>
        </w:tc>
        <w:tc>
          <w:tcPr>
            <w:tcW w:w="10080" w:type="dxa"/>
            <w:vAlign w:val="bottom"/>
          </w:tcPr>
          <w:p>
            <w:pPr>
              <w:ind w:left="600"/>
              <w:spacing w:after="0"/>
              <w:rPr>
                <w:sz w:val="20"/>
                <w:szCs w:val="20"/>
                <w:color w:val="auto"/>
              </w:rPr>
            </w:pPr>
            <w:r>
              <w:rPr>
                <w:rFonts w:ascii="Arial" w:cs="Arial" w:eastAsia="Arial" w:hAnsi="Arial"/>
                <w:sz w:val="13"/>
                <w:szCs w:val="13"/>
                <w:color w:val="auto"/>
                <w:w w:val="91"/>
              </w:rPr>
              <w:t>The mortgage or capital lease obligations differ from the total reported on the consolidated balance sheet due to the unamortized discount or premium on certain mortgage payables.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(2)</w:t>
            </w:r>
          </w:p>
        </w:tc>
        <w:tc>
          <w:tcPr>
            <w:tcW w:w="600" w:type="dxa"/>
            <w:vAlign w:val="bottom"/>
          </w:tcPr>
          <w:p>
            <w:pPr>
              <w:spacing w:after="0"/>
              <w:rPr>
                <w:sz w:val="16"/>
                <w:szCs w:val="16"/>
                <w:color w:val="auto"/>
              </w:rPr>
            </w:pPr>
          </w:p>
        </w:tc>
        <w:tc>
          <w:tcPr>
            <w:tcW w:w="10080" w:type="dxa"/>
            <w:vAlign w:val="bottom"/>
          </w:tcPr>
          <w:p>
            <w:pPr>
              <w:ind w:left="600"/>
              <w:spacing w:after="0"/>
              <w:rPr>
                <w:sz w:val="20"/>
                <w:szCs w:val="20"/>
                <w:color w:val="auto"/>
              </w:rPr>
            </w:pPr>
            <w:r>
              <w:rPr>
                <w:rFonts w:ascii="Arial" w:cs="Arial" w:eastAsia="Arial" w:hAnsi="Arial"/>
                <w:sz w:val="13"/>
                <w:szCs w:val="13"/>
                <w:color w:val="auto"/>
              </w:rPr>
              <w:t>Excludes newly created redevelopment square footage not yet in service, as well as residential and hotel square footage.</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600" w:type="dxa"/>
            <w:vAlign w:val="bottom"/>
          </w:tcPr>
          <w:p>
            <w:pPr>
              <w:spacing w:after="0"/>
              <w:rPr>
                <w:sz w:val="16"/>
                <w:szCs w:val="16"/>
                <w:color w:val="auto"/>
              </w:rPr>
            </w:pPr>
          </w:p>
        </w:tc>
        <w:tc>
          <w:tcPr>
            <w:tcW w:w="10080" w:type="dxa"/>
            <w:vAlign w:val="bottom"/>
          </w:tcPr>
          <w:p>
            <w:pPr>
              <w:ind w:left="600"/>
              <w:spacing w:after="0"/>
              <w:rPr>
                <w:sz w:val="20"/>
                <w:szCs w:val="20"/>
                <w:color w:val="auto"/>
              </w:rPr>
            </w:pPr>
            <w:r>
              <w:rPr>
                <w:rFonts w:ascii="Arial" w:cs="Arial" w:eastAsia="Arial" w:hAnsi="Arial"/>
                <w:sz w:val="13"/>
                <w:szCs w:val="13"/>
                <w:color w:val="auto"/>
              </w:rPr>
              <w:t>The Trust has a controlling financial interest in this property.</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(4)</w:t>
            </w:r>
          </w:p>
        </w:tc>
        <w:tc>
          <w:tcPr>
            <w:tcW w:w="600" w:type="dxa"/>
            <w:vAlign w:val="bottom"/>
          </w:tcPr>
          <w:p>
            <w:pPr>
              <w:spacing w:after="0"/>
              <w:rPr>
                <w:sz w:val="16"/>
                <w:szCs w:val="16"/>
                <w:color w:val="auto"/>
              </w:rPr>
            </w:pPr>
          </w:p>
        </w:tc>
        <w:tc>
          <w:tcPr>
            <w:tcW w:w="10080" w:type="dxa"/>
            <w:vAlign w:val="bottom"/>
          </w:tcPr>
          <w:p>
            <w:pPr>
              <w:ind w:left="600"/>
              <w:spacing w:after="0"/>
              <w:rPr>
                <w:sz w:val="20"/>
                <w:szCs w:val="20"/>
                <w:color w:val="auto"/>
              </w:rPr>
            </w:pPr>
            <w:r>
              <w:rPr>
                <w:rFonts w:ascii="Arial" w:cs="Arial" w:eastAsia="Arial" w:hAnsi="Arial"/>
                <w:sz w:val="13"/>
                <w:szCs w:val="13"/>
                <w:color w:val="auto"/>
              </w:rPr>
              <w:t>Portion of property is currently under development. See further discussion in the Pike &amp; Rose and Assembly Row schedule.</w:t>
            </w:r>
          </w:p>
        </w:tc>
      </w:tr>
      <w:tr>
        <w:trPr>
          <w:trHeight w:val="164"/>
        </w:trPr>
        <w:tc>
          <w:tcPr>
            <w:tcW w:w="320" w:type="dxa"/>
            <w:vAlign w:val="bottom"/>
          </w:tcPr>
          <w:p>
            <w:pPr>
              <w:spacing w:after="0"/>
              <w:rPr>
                <w:sz w:val="20"/>
                <w:szCs w:val="20"/>
                <w:color w:val="auto"/>
              </w:rPr>
            </w:pPr>
            <w:r>
              <w:rPr>
                <w:rFonts w:ascii="Arial" w:cs="Arial" w:eastAsia="Arial" w:hAnsi="Arial"/>
                <w:sz w:val="13"/>
                <w:szCs w:val="13"/>
                <w:color w:val="auto"/>
              </w:rPr>
              <w:t>(5)</w:t>
            </w:r>
          </w:p>
        </w:tc>
        <w:tc>
          <w:tcPr>
            <w:tcW w:w="600" w:type="dxa"/>
            <w:vAlign w:val="bottom"/>
          </w:tcPr>
          <w:p>
            <w:pPr>
              <w:spacing w:after="0"/>
              <w:rPr>
                <w:sz w:val="14"/>
                <w:szCs w:val="14"/>
                <w:color w:val="auto"/>
              </w:rPr>
            </w:pPr>
          </w:p>
        </w:tc>
        <w:tc>
          <w:tcPr>
            <w:tcW w:w="10080" w:type="dxa"/>
            <w:vAlign w:val="bottom"/>
          </w:tcPr>
          <w:p>
            <w:pPr>
              <w:ind w:left="600"/>
              <w:spacing w:after="0"/>
              <w:rPr>
                <w:sz w:val="20"/>
                <w:szCs w:val="20"/>
                <w:color w:val="auto"/>
              </w:rPr>
            </w:pPr>
            <w:r>
              <w:rPr>
                <w:rFonts w:ascii="Arial" w:cs="Arial" w:eastAsia="Arial" w:hAnsi="Arial"/>
                <w:sz w:val="13"/>
                <w:szCs w:val="13"/>
                <w:color w:val="auto"/>
                <w:w w:val="89"/>
              </w:rPr>
              <w:t>All or a portion of the property is owned in a "downreit" partnership, of which a wholly owned subsidiary of the Trust is the sole general partner, with third party partners holding operating</w:t>
            </w:r>
          </w:p>
        </w:tc>
      </w:tr>
      <w:tr>
        <w:trPr>
          <w:trHeight w:val="160"/>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80" w:type="dxa"/>
            <w:vAlign w:val="bottom"/>
          </w:tcPr>
          <w:p>
            <w:pPr>
              <w:ind w:left="600"/>
              <w:spacing w:after="0"/>
              <w:rPr>
                <w:sz w:val="20"/>
                <w:szCs w:val="20"/>
                <w:color w:val="auto"/>
              </w:rPr>
            </w:pPr>
            <w:r>
              <w:rPr>
                <w:rFonts w:ascii="Arial" w:cs="Arial" w:eastAsia="Arial" w:hAnsi="Arial"/>
                <w:sz w:val="13"/>
                <w:szCs w:val="13"/>
                <w:color w:val="auto"/>
              </w:rPr>
              <w:t>partnership units.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(6)</w:t>
            </w:r>
          </w:p>
        </w:tc>
        <w:tc>
          <w:tcPr>
            <w:tcW w:w="600" w:type="dxa"/>
            <w:vAlign w:val="bottom"/>
          </w:tcPr>
          <w:p>
            <w:pPr>
              <w:spacing w:after="0"/>
              <w:rPr>
                <w:sz w:val="16"/>
                <w:szCs w:val="16"/>
                <w:color w:val="auto"/>
              </w:rPr>
            </w:pPr>
          </w:p>
        </w:tc>
        <w:tc>
          <w:tcPr>
            <w:tcW w:w="10080" w:type="dxa"/>
            <w:vAlign w:val="bottom"/>
          </w:tcPr>
          <w:p>
            <w:pPr>
              <w:ind w:left="600"/>
              <w:spacing w:after="0"/>
              <w:rPr>
                <w:sz w:val="20"/>
                <w:szCs w:val="20"/>
                <w:color w:val="auto"/>
              </w:rPr>
            </w:pPr>
            <w:r>
              <w:rPr>
                <w:rFonts w:ascii="Arial" w:cs="Arial" w:eastAsia="Arial" w:hAnsi="Arial"/>
                <w:sz w:val="13"/>
                <w:szCs w:val="13"/>
                <w:color w:val="auto"/>
              </w:rPr>
              <w:t>All or a portion of property subject to capital lease obligation.</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(7)</w:t>
            </w:r>
          </w:p>
        </w:tc>
        <w:tc>
          <w:tcPr>
            <w:tcW w:w="600" w:type="dxa"/>
            <w:vAlign w:val="bottom"/>
          </w:tcPr>
          <w:p>
            <w:pPr>
              <w:spacing w:after="0"/>
              <w:rPr>
                <w:sz w:val="16"/>
                <w:szCs w:val="16"/>
                <w:color w:val="auto"/>
              </w:rPr>
            </w:pPr>
          </w:p>
        </w:tc>
        <w:tc>
          <w:tcPr>
            <w:tcW w:w="10080" w:type="dxa"/>
            <w:vAlign w:val="bottom"/>
          </w:tcPr>
          <w:p>
            <w:pPr>
              <w:ind w:left="600"/>
              <w:spacing w:after="0"/>
              <w:rPr>
                <w:sz w:val="20"/>
                <w:szCs w:val="20"/>
                <w:color w:val="auto"/>
              </w:rPr>
            </w:pPr>
            <w:r>
              <w:rPr>
                <w:rFonts w:ascii="Arial" w:cs="Arial" w:eastAsia="Arial" w:hAnsi="Arial"/>
                <w:sz w:val="13"/>
                <w:szCs w:val="13"/>
                <w:color w:val="auto"/>
              </w:rPr>
              <w:t>Includes a 100% owned, 8.1 acre land parcel being used for The Point redevelopment.</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2015</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478,411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26.98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$ 22.69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2,051,021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10,113,482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21.14</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296,946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30.41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$ 26.36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1,203,298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8,780,682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29.57</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249,295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37.50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947,399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5,721,362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22.95</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306,860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33.27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$ 27.76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1,691,334</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3,414,377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11.13</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1,331,512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31.16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$ 26.74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5,893,052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28,029,903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21.05</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106,574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47.91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$ 42.13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615,619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6,248,270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58.63</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147,114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$ 26.98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585,589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6,812,702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46.31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100,934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40.69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$ 35.13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560,791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5,563,472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55.12</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125,838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24.62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$ 15.62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1,131,869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3,323,715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26.41</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480,460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35.10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$ 29.08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2,893,868</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21,948,159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45.68</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371,837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$ 17.12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1,435,402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3,865,212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10.39</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149,832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29.87</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$ 25.75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617,709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1,967,980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13.13</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148,361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35.34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386,608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157,890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1.06</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77%</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181,022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39.28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$ 36.19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559,465</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90,662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0.50</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851,052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$ 25.42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2,999,184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6,081,744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7.15</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560,884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28.92</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12,254,941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21.85</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313,887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31.66</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11,268,961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35.90</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279,586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38.88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7,500,950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26.83</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343,896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34.55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7,636,392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22.21</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1,498,253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32.65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38,661,244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25.80</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hanging="1251"/>
        <w:spacing w:after="0" w:line="230"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Approximately $0.5 million ($0.72 per square foot) in 3rd Quarter 2015, $0.5 million ($1.20 per square foot) in 2nd Quarter 2015, and $0.4 million ($0.86 per square foot) in 4th Quarter 2014 of the Tenant Improvements &amp; Incentives are for properties under active redevelopment (e.g. Westgate Center, Willow Lawn, East Bay Bridge) and are included in the Projected Cost for those projects on the Summary of Redevelopment Opportunities.</w:t>
      </w:r>
    </w:p>
    <w:p>
      <w:pPr>
        <w:spacing w:after="0" w:line="2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60" w:hanging="1251"/>
        <w:spacing w:after="0" w:line="288"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Pike &amp; Rose and Assembly Row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60" w:top="976" w:right="25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69303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320" w:type="dxa"/>
            <w:vAlign w:val="bottom"/>
          </w:tcPr>
          <w:p>
            <w:pPr>
              <w:spacing w:after="0"/>
              <w:rPr>
                <w:sz w:val="13"/>
                <w:szCs w:val="13"/>
                <w:color w:val="auto"/>
              </w:rPr>
            </w:pP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4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0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Anchor SF</w:t>
            </w:r>
          </w:p>
        </w:tc>
        <w:tc>
          <w:tcPr>
            <w:tcW w:w="220" w:type="dxa"/>
            <w:vAlign w:val="bottom"/>
          </w:tcPr>
          <w:p>
            <w:pPr>
              <w:spacing w:after="0"/>
              <w:rPr>
                <w:sz w:val="16"/>
                <w:szCs w:val="16"/>
                <w:color w:val="auto"/>
              </w:rPr>
            </w:pPr>
          </w:p>
        </w:tc>
        <w:tc>
          <w:tcPr>
            <w:tcW w:w="92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PSF (2)</w:t>
            </w:r>
          </w:p>
        </w:tc>
        <w:tc>
          <w:tcPr>
            <w:tcW w:w="3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0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56,000</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31.40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281,000</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338,000</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27.31</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370,000</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23.24</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793,000</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35.85</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1,164,000</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1,415,000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17.78</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1,195,000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35.99</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2,609,000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1,361,000</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14.75</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1,002,000</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39.98</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2,363,000</w:t>
            </w: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1,858,000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18.62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1"/>
              </w:rPr>
              <w:t>(5)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38.33</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2,657,000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24.55</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1,093,000</w:t>
            </w: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15.62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w w:val="91"/>
              </w:rPr>
              <w:t>(5)</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969,000</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36.69</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2,062,000</w:t>
            </w: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25.53</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1,259,000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17.99</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38.38</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1,890,000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862,000</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16.91</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431,000</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41.70</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1,293,000</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21.79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1"/>
              </w:rPr>
              <w:t>(5)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38.25</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918,000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30.30</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519,000</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17.25</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488,000</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43.22</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1,007,000</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2,689,000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20.12</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38.10</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3,528,000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44"/>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11,926,000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18.21</w:t>
            </w:r>
          </w:p>
        </w:tc>
        <w:tc>
          <w:tcPr>
            <w:tcW w:w="3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7,904,000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37.77</w:t>
            </w:r>
          </w:p>
        </w:tc>
        <w:tc>
          <w:tcPr>
            <w:tcW w:w="34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19,829,000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120" w:type="dxa"/>
            <w:vAlign w:val="bottom"/>
            <w:tcBorders>
              <w:left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40" w:type="dxa"/>
            <w:vAlign w:val="bottom"/>
            <w:tcBorders>
              <w:left w:val="single" w:sz="8" w:color="auto"/>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4"/>
                <w:szCs w:val="24"/>
                <w:color w:val="auto"/>
              </w:rPr>
            </w:pPr>
          </w:p>
        </w:tc>
        <w:tc>
          <w:tcPr>
            <w:tcW w:w="2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320" w:type="dxa"/>
            <w:vAlign w:val="bottom"/>
          </w:tcPr>
          <w:p>
            <w:pPr>
              <w:spacing w:after="0"/>
              <w:rPr>
                <w:sz w:val="13"/>
                <w:szCs w:val="13"/>
                <w:color w:val="auto"/>
              </w:rPr>
            </w:pP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4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Total</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0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Anchor SF</w:t>
            </w:r>
          </w:p>
        </w:tc>
        <w:tc>
          <w:tcPr>
            <w:tcW w:w="220" w:type="dxa"/>
            <w:vAlign w:val="bottom"/>
          </w:tcPr>
          <w:p>
            <w:pPr>
              <w:spacing w:after="0"/>
              <w:rPr>
                <w:sz w:val="16"/>
                <w:szCs w:val="16"/>
                <w:color w:val="auto"/>
              </w:rPr>
            </w:pPr>
          </w:p>
        </w:tc>
        <w:tc>
          <w:tcPr>
            <w:tcW w:w="920" w:type="dxa"/>
            <w:vAlign w:val="bottom"/>
          </w:tcPr>
          <w:p>
            <w:pPr>
              <w:jc w:val="center"/>
              <w:ind w:right="180"/>
              <w:spacing w:after="0"/>
              <w:rPr>
                <w:sz w:val="20"/>
                <w:szCs w:val="20"/>
                <w:color w:val="auto"/>
              </w:rPr>
            </w:pPr>
            <w:r>
              <w:rPr>
                <w:rFonts w:ascii="Arial" w:cs="Arial" w:eastAsia="Arial" w:hAnsi="Arial"/>
                <w:sz w:val="14"/>
                <w:szCs w:val="14"/>
                <w:b w:val="1"/>
                <w:bCs w:val="1"/>
                <w:color w:val="auto"/>
                <w:w w:val="95"/>
              </w:rPr>
              <w:t>PSF (2)</w:t>
            </w:r>
          </w:p>
        </w:tc>
        <w:tc>
          <w:tcPr>
            <w:tcW w:w="3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0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 $</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243,000</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243,000</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62,000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21.19</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483,000</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38.20</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544,000</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25.55</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647,000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38.32</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876,000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196,000</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16.07</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528,000</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42.58</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724,000</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35.40</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20.71</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40.08</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161,000</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23.06</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586,000</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35.27</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746,000</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22.91</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39.26</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857,000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155,000</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25.84</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501,000</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35.26</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656,000</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16.81</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39.81</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792,000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29.72</w:t>
            </w:r>
          </w:p>
        </w:tc>
        <w:tc>
          <w:tcPr>
            <w:tcW w:w="0" w:type="dxa"/>
            <w:vAlign w:val="bottom"/>
          </w:tcPr>
          <w:p>
            <w:pPr>
              <w:spacing w:after="0"/>
              <w:rPr>
                <w:sz w:val="1"/>
                <w:szCs w:val="1"/>
                <w:color w:val="auto"/>
              </w:rPr>
            </w:pPr>
          </w:p>
        </w:tc>
      </w:tr>
      <w:tr>
        <w:trPr>
          <w:trHeight w:val="237"/>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355,000</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17.66</w:t>
            </w:r>
          </w:p>
        </w:tc>
        <w:tc>
          <w:tcPr>
            <w:tcW w:w="3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391,000</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43.18</w:t>
            </w:r>
          </w:p>
        </w:tc>
        <w:tc>
          <w:tcPr>
            <w:tcW w:w="3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747,000</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31.03</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9,611,000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17.64</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1"/>
              </w:rPr>
              <w:t>(5)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3,094,000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36.98</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12,705,000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44"/>
        </w:trPr>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11,926,000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18.21</w:t>
            </w:r>
          </w:p>
        </w:tc>
        <w:tc>
          <w:tcPr>
            <w:tcW w:w="3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7,904,000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37.77</w:t>
            </w:r>
          </w:p>
        </w:tc>
        <w:tc>
          <w:tcPr>
            <w:tcW w:w="34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19,829,000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060" w:hanging="1025"/>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060" w:hanging="1025"/>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September 30, 2015.</w:t>
      </w:r>
    </w:p>
    <w:p>
      <w:pPr>
        <w:spacing w:after="0" w:line="72" w:lineRule="exact"/>
        <w:rPr>
          <w:rFonts w:ascii="Arial" w:cs="Arial" w:eastAsia="Arial" w:hAnsi="Arial"/>
          <w:sz w:val="16"/>
          <w:szCs w:val="16"/>
          <w:color w:val="auto"/>
        </w:rPr>
      </w:pPr>
    </w:p>
    <w:p>
      <w:pPr>
        <w:ind w:left="1060" w:hanging="1025"/>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September 30, 2015</w:t>
      </w:r>
    </w:p>
    <w:p>
      <w:pPr>
        <w:spacing w:after="0" w:line="72" w:lineRule="exact"/>
        <w:rPr>
          <w:rFonts w:ascii="Arial" w:cs="Arial" w:eastAsia="Arial" w:hAnsi="Arial"/>
          <w:sz w:val="16"/>
          <w:szCs w:val="16"/>
          <w:color w:val="auto"/>
        </w:rPr>
      </w:pPr>
    </w:p>
    <w:p>
      <w:pPr>
        <w:ind w:left="1060" w:hanging="1025"/>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72" w:lineRule="exact"/>
        <w:rPr>
          <w:rFonts w:ascii="Arial" w:cs="Arial" w:eastAsia="Arial" w:hAnsi="Arial"/>
          <w:sz w:val="16"/>
          <w:szCs w:val="16"/>
          <w:color w:val="auto"/>
        </w:rPr>
      </w:pPr>
    </w:p>
    <w:p>
      <w:pPr>
        <w:ind w:left="1060" w:right="160" w:hanging="1025"/>
        <w:spacing w:after="0" w:line="293"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entered into an agreement to acquire three A&amp;P leases totaling 184,000 square feet of GLA that have initial expirations in 2019, 2020 and 2023. On average, the minimum rent per square foot for the three spaces is $11.64.</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2" w:right="2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gridSpan w:val="5"/>
          </w:tcPr>
          <w:p>
            <w:pPr>
              <w:ind w:left="240"/>
              <w:spacing w:after="0"/>
              <w:rPr>
                <w:sz w:val="20"/>
                <w:szCs w:val="20"/>
                <w:color w:val="auto"/>
              </w:rPr>
            </w:pPr>
            <w:r>
              <w:rPr>
                <w:rFonts w:ascii="Arial" w:cs="Arial" w:eastAsia="Arial" w:hAnsi="Arial"/>
                <w:sz w:val="14"/>
                <w:szCs w:val="14"/>
                <w:b w:val="1"/>
                <w:bCs w:val="1"/>
                <w:color w:val="auto"/>
              </w:rPr>
              <w:t>At September 30, 2015</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At September 30, 2014</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8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20,886,000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19,947,000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20,056,000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19,172,000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95.6%</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1,541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92.7%</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5"/>
          </w:tcPr>
          <w:p>
            <w:pPr>
              <w:ind w:left="240"/>
              <w:spacing w:after="0"/>
              <w:rPr>
                <w:sz w:val="20"/>
                <w:szCs w:val="20"/>
                <w:color w:val="auto"/>
              </w:rPr>
            </w:pPr>
            <w:r>
              <w:rPr>
                <w:rFonts w:ascii="Arial" w:cs="Arial" w:eastAsia="Arial" w:hAnsi="Arial"/>
                <w:sz w:val="14"/>
                <w:szCs w:val="14"/>
                <w:b w:val="1"/>
                <w:bCs w:val="1"/>
                <w:color w:val="auto"/>
              </w:rPr>
              <w:t>At September 30, 2015</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At September 30, 2014</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8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20" w:type="dxa"/>
            <w:vAlign w:val="bottom"/>
            <w:gridSpan w:val="3"/>
          </w:tcPr>
          <w:p>
            <w:pPr>
              <w:jc w:val="right"/>
              <w:ind w:right="20"/>
              <w:spacing w:after="0"/>
              <w:rPr>
                <w:sz w:val="20"/>
                <w:szCs w:val="20"/>
                <w:color w:val="auto"/>
              </w:rPr>
            </w:pPr>
            <w:r>
              <w:rPr>
                <w:rFonts w:ascii="Arial" w:cs="Arial" w:eastAsia="Arial" w:hAnsi="Arial"/>
                <w:sz w:val="16"/>
                <w:szCs w:val="16"/>
                <w:color w:val="auto"/>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16,537,000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15,873,000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96.0%</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16,520,000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15,908,000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96.3%</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1,114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95.8%</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94.8%</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September 30, 2015 leased percentage was 98.5% for anchor tenants and 91.3% for small shop tenants.</w:t>
      </w:r>
    </w:p>
    <w:p>
      <w:pPr>
        <w:spacing w:after="0" w:line="72" w:lineRule="exact"/>
        <w:rPr>
          <w:rFonts w:ascii="Arial" w:cs="Arial" w:eastAsia="Arial" w:hAnsi="Arial"/>
          <w:sz w:val="16"/>
          <w:szCs w:val="16"/>
          <w:color w:val="auto"/>
        </w:rPr>
      </w:pPr>
    </w:p>
    <w:p>
      <w:pPr>
        <w:ind w:left="840" w:right="600" w:hanging="805"/>
        <w:spacing w:after="0" w:line="293"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Occupied percentage was 95.1% and 94.7% at September 30, 2015 and 2014, respectively, and same center occupied percentage was 95.6% and 95.8% at September 30, 2015 and 2014, respectively.</w:t>
      </w:r>
    </w:p>
    <w:p>
      <w:pPr>
        <w:spacing w:after="0" w:line="9"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Rank</w:t>
            </w:r>
          </w:p>
        </w:tc>
        <w:tc>
          <w:tcPr>
            <w:tcW w:w="4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vMerge w:val="continue"/>
          </w:tcPr>
          <w:p>
            <w:pPr>
              <w:spacing w:after="0"/>
              <w:rPr>
                <w:sz w:val="16"/>
                <w:szCs w:val="16"/>
                <w:color w:val="auto"/>
              </w:rPr>
            </w:pPr>
          </w:p>
        </w:tc>
        <w:tc>
          <w:tcPr>
            <w:tcW w:w="47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470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2.48%</w:t>
            </w:r>
          </w:p>
        </w:tc>
        <w:tc>
          <w:tcPr>
            <w:tcW w:w="980" w:type="dxa"/>
            <w:vAlign w:val="bottom"/>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4700" w:type="dxa"/>
            <w:vAlign w:val="bottom"/>
          </w:tcPr>
          <w:p>
            <w:pPr>
              <w:ind w:left="180"/>
              <w:spacing w:after="0"/>
              <w:rPr>
                <w:sz w:val="20"/>
                <w:szCs w:val="20"/>
                <w:color w:val="auto"/>
              </w:rPr>
            </w:pPr>
            <w:r>
              <w:rPr>
                <w:rFonts w:ascii="Arial" w:cs="Arial" w:eastAsia="Arial" w:hAnsi="Arial"/>
                <w:sz w:val="16"/>
                <w:szCs w:val="16"/>
                <w:color w:val="auto"/>
              </w:rPr>
              <w:t>Gap,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11,876,000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2.30%</w:t>
            </w:r>
          </w:p>
        </w:tc>
        <w:tc>
          <w:tcPr>
            <w:tcW w:w="980" w:type="dxa"/>
            <w:vAlign w:val="bottom"/>
          </w:tcPr>
          <w:p>
            <w:pPr>
              <w:jc w:val="right"/>
              <w:spacing w:after="0"/>
              <w:rPr>
                <w:sz w:val="20"/>
                <w:szCs w:val="20"/>
                <w:color w:val="auto"/>
              </w:rPr>
            </w:pPr>
            <w:r>
              <w:rPr>
                <w:rFonts w:ascii="Arial" w:cs="Arial" w:eastAsia="Arial" w:hAnsi="Arial"/>
                <w:sz w:val="16"/>
                <w:szCs w:val="16"/>
                <w:color w:val="auto"/>
              </w:rPr>
              <w:t>345,000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470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7,416,000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1.44%</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4700" w:type="dxa"/>
            <w:vAlign w:val="bottom"/>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5,512,000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1.07%</w:t>
            </w:r>
          </w:p>
        </w:tc>
        <w:tc>
          <w:tcPr>
            <w:tcW w:w="980" w:type="dxa"/>
            <w:vAlign w:val="bottom"/>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470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5,189,000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286,000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470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4,952,000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0.96%</w:t>
            </w:r>
          </w:p>
        </w:tc>
        <w:tc>
          <w:tcPr>
            <w:tcW w:w="980" w:type="dxa"/>
            <w:vAlign w:val="bottom"/>
          </w:tcPr>
          <w:p>
            <w:pPr>
              <w:jc w:val="right"/>
              <w:spacing w:after="0"/>
              <w:rPr>
                <w:sz w:val="20"/>
                <w:szCs w:val="20"/>
                <w:color w:val="auto"/>
              </w:rPr>
            </w:pPr>
            <w:r>
              <w:rPr>
                <w:rFonts w:ascii="Arial" w:cs="Arial" w:eastAsia="Arial" w:hAnsi="Arial"/>
                <w:sz w:val="16"/>
                <w:szCs w:val="16"/>
                <w:color w:val="auto"/>
              </w:rPr>
              <w:t>103,000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470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0.86%</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4700" w:type="dxa"/>
            <w:vAlign w:val="bottom"/>
          </w:tcPr>
          <w:p>
            <w:pPr>
              <w:ind w:left="180"/>
              <w:spacing w:after="0"/>
              <w:rPr>
                <w:sz w:val="20"/>
                <w:szCs w:val="20"/>
                <w:color w:val="auto"/>
              </w:rPr>
            </w:pPr>
            <w:r>
              <w:rPr>
                <w:rFonts w:ascii="Arial" w:cs="Arial" w:eastAsia="Arial" w:hAnsi="Arial"/>
                <w:sz w:val="16"/>
                <w:szCs w:val="16"/>
                <w:color w:val="auto"/>
              </w:rPr>
              <w:t>AMC Entertainment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4,248,000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0.82%</w:t>
            </w:r>
          </w:p>
        </w:tc>
        <w:tc>
          <w:tcPr>
            <w:tcW w:w="980" w:type="dxa"/>
            <w:vAlign w:val="bottom"/>
          </w:tcPr>
          <w:p>
            <w:pPr>
              <w:jc w:val="right"/>
              <w:spacing w:after="0"/>
              <w:rPr>
                <w:sz w:val="20"/>
                <w:szCs w:val="20"/>
                <w:color w:val="auto"/>
              </w:rPr>
            </w:pPr>
            <w:r>
              <w:rPr>
                <w:rFonts w:ascii="Arial" w:cs="Arial" w:eastAsia="Arial" w:hAnsi="Arial"/>
                <w:sz w:val="16"/>
                <w:szCs w:val="16"/>
                <w:color w:val="auto"/>
              </w:rPr>
              <w:t>229,000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Riverbed Technology,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470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3,800,000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4700" w:type="dxa"/>
            <w:vAlign w:val="bottom"/>
          </w:tcPr>
          <w:p>
            <w:pPr>
              <w:ind w:left="180"/>
              <w:spacing w:after="0"/>
              <w:rPr>
                <w:sz w:val="20"/>
                <w:szCs w:val="20"/>
                <w:color w:val="auto"/>
              </w:rPr>
            </w:pPr>
            <w:r>
              <w:rPr>
                <w:rFonts w:ascii="Arial" w:cs="Arial" w:eastAsia="Arial" w:hAnsi="Arial"/>
                <w:sz w:val="16"/>
                <w:szCs w:val="16"/>
                <w:color w:val="auto"/>
              </w:rPr>
              <w:t>AB Acquisition LLC (Acme, Safeway)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3,648,000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Pr>
          <w:p>
            <w:pPr>
              <w:jc w:val="right"/>
              <w:spacing w:after="0"/>
              <w:rPr>
                <w:sz w:val="20"/>
                <w:szCs w:val="20"/>
                <w:color w:val="auto"/>
              </w:rPr>
            </w:pPr>
            <w:r>
              <w:rPr>
                <w:rFonts w:ascii="Arial" w:cs="Arial" w:eastAsia="Arial" w:hAnsi="Arial"/>
                <w:sz w:val="16"/>
                <w:szCs w:val="16"/>
                <w:color w:val="auto"/>
              </w:rPr>
              <w:t>404,000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Kroger Co.,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4700" w:type="dxa"/>
            <w:vAlign w:val="bottom"/>
          </w:tcPr>
          <w:p>
            <w:pPr>
              <w:ind w:left="180"/>
              <w:spacing w:after="0"/>
              <w:rPr>
                <w:sz w:val="20"/>
                <w:szCs w:val="20"/>
                <w:color w:val="auto"/>
              </w:rPr>
            </w:pPr>
            <w:r>
              <w:rPr>
                <w:rFonts w:ascii="Arial" w:cs="Arial" w:eastAsia="Arial" w:hAnsi="Arial"/>
                <w:sz w:val="16"/>
                <w:szCs w:val="16"/>
                <w:color w:val="auto"/>
              </w:rPr>
              <w:t>Sports Authority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3,418,000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4700" w:type="dxa"/>
            <w:vAlign w:val="bottom"/>
          </w:tcPr>
          <w:p>
            <w:pPr>
              <w:ind w:left="180"/>
              <w:spacing w:after="0"/>
              <w:rPr>
                <w:sz w:val="20"/>
                <w:szCs w:val="20"/>
                <w:color w:val="auto"/>
              </w:rPr>
            </w:pPr>
            <w:r>
              <w:rPr>
                <w:rFonts w:ascii="Arial" w:cs="Arial" w:eastAsia="Arial" w:hAnsi="Arial"/>
                <w:sz w:val="16"/>
                <w:szCs w:val="16"/>
                <w:color w:val="auto"/>
              </w:rPr>
              <w:t>Dress Barn,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3,297,000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0.64%</w:t>
            </w:r>
          </w:p>
        </w:tc>
        <w:tc>
          <w:tcPr>
            <w:tcW w:w="980" w:type="dxa"/>
            <w:vAlign w:val="bottom"/>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4"/>
        </w:trPr>
        <w:tc>
          <w:tcPr>
            <w:tcW w:w="620" w:type="dxa"/>
            <w:vAlign w:val="bottom"/>
            <w:tcBorders>
              <w:bottom w:val="single" w:sz="8" w:color="CCEEFF"/>
            </w:tcBorders>
          </w:tcPr>
          <w:p>
            <w:pPr>
              <w:spacing w:after="0"/>
              <w:rPr>
                <w:sz w:val="24"/>
                <w:szCs w:val="24"/>
                <w:color w:val="auto"/>
              </w:rPr>
            </w:pPr>
          </w:p>
        </w:tc>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149,691,000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29.01%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7,227,000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34.60%</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57"/>
        </w:trPr>
        <w:tc>
          <w:tcPr>
            <w:tcW w:w="6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516,056,000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20,886,000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2,716</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800" w:hanging="765"/>
        <w:spacing w:after="0"/>
        <w:tabs>
          <w:tab w:leader="none" w:pos="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800" w:right="460" w:hanging="765"/>
        <w:spacing w:after="0" w:line="293"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September 30, 2015</w:t>
      </w:r>
    </w:p>
    <w:p>
      <w:pPr>
        <w:spacing w:after="0" w:line="23" w:lineRule="exact"/>
        <w:rPr>
          <w:rFonts w:ascii="Arial" w:cs="Arial" w:eastAsia="Arial" w:hAnsi="Arial"/>
          <w:sz w:val="16"/>
          <w:szCs w:val="16"/>
          <w:color w:val="auto"/>
        </w:rPr>
      </w:pPr>
    </w:p>
    <w:p>
      <w:pPr>
        <w:ind w:left="800" w:hanging="765"/>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800" w:hanging="765"/>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earnings per diluted share to estimated FFO per diluted share for the full year 2015 and 2016.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November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203200</wp:posOffset>
            </wp:positionV>
            <wp:extent cx="1732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72"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2015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732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income available to common shareholders, per diluted share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21"/>
                <w:szCs w:val="21"/>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amounts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FFO per diluted share excluding early extinguishment of debt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54"/>
        </w:trPr>
        <w:tc>
          <w:tcPr>
            <w:tcW w:w="8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44"/>
        </w:trPr>
        <w:tc>
          <w:tcPr>
            <w:tcW w:w="8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 Guidance</w:t>
            </w:r>
          </w:p>
        </w:tc>
        <w:tc>
          <w:tcPr>
            <w:tcW w:w="860" w:type="dxa"/>
            <w:vAlign w:val="bottom"/>
            <w:tcBorders>
              <w:bottom w:val="single" w:sz="8" w:color="auto"/>
            </w:tcBorders>
          </w:tcPr>
          <w:p>
            <w:pPr>
              <w:spacing w:after="0"/>
              <w:rPr>
                <w:sz w:val="21"/>
                <w:szCs w:val="21"/>
                <w:color w:val="auto"/>
              </w:rPr>
            </w:pPr>
          </w:p>
        </w:tc>
      </w:tr>
      <w:tr>
        <w:trPr>
          <w:trHeight w:val="283"/>
        </w:trPr>
        <w:tc>
          <w:tcPr>
            <w:tcW w:w="8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87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Net income available to common shareholders, per diluted share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All other amounts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6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4,115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13,110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5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15,862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17,152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188,570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187,507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(38,304)</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146,715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38,058</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119,355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60" w:type="dxa"/>
            <w:vAlign w:val="bottom"/>
            <w:vMerge w:val="restart"/>
          </w:tcPr>
          <w:p>
            <w:pPr>
              <w:jc w:val="center"/>
              <w:ind w:left="236"/>
              <w:spacing w:after="0"/>
              <w:rPr>
                <w:sz w:val="20"/>
                <w:szCs w:val="20"/>
                <w:color w:val="auto"/>
              </w:rPr>
            </w:pPr>
            <w:r>
              <w:rPr>
                <w:rFonts w:ascii="Arial" w:cs="Arial" w:eastAsia="Arial" w:hAnsi="Arial"/>
                <w:sz w:val="14"/>
                <w:szCs w:val="14"/>
                <w:b w:val="1"/>
                <w:bCs w:val="1"/>
                <w:color w:val="auto"/>
              </w:rPr>
              <w:t>Maturity</w:t>
            </w:r>
          </w:p>
        </w:tc>
        <w:tc>
          <w:tcPr>
            <w:tcW w:w="2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Stated Interest Rate as of</w:t>
            </w:r>
          </w:p>
        </w:tc>
        <w:tc>
          <w:tcPr>
            <w:tcW w:w="280" w:type="dxa"/>
            <w:vAlign w:val="bottom"/>
          </w:tcPr>
          <w:p>
            <w:pPr>
              <w:spacing w:after="0"/>
              <w:rPr>
                <w:sz w:val="14"/>
                <w:szCs w:val="14"/>
                <w:color w:val="auto"/>
              </w:rPr>
            </w:pPr>
          </w:p>
        </w:tc>
        <w:tc>
          <w:tcPr>
            <w:tcW w:w="14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jc w:val="center"/>
              <w:ind w:left="237"/>
              <w:spacing w:after="0"/>
              <w:rPr>
                <w:sz w:val="20"/>
                <w:szCs w:val="20"/>
                <w:color w:val="auto"/>
              </w:rPr>
            </w:pPr>
            <w:r>
              <w:rPr>
                <w:rFonts w:ascii="Arial" w:cs="Arial" w:eastAsia="Arial" w:hAnsi="Arial"/>
                <w:sz w:val="14"/>
                <w:szCs w:val="14"/>
                <w:b w:val="1"/>
                <w:bCs w:val="1"/>
                <w:color w:val="auto"/>
                <w:w w:val="91"/>
              </w:rPr>
              <w:t>September 30, 2015</w:t>
            </w: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8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360" w:type="dxa"/>
            <w:vAlign w:val="bottom"/>
            <w:tcBorders>
              <w:bottom w:val="single" w:sz="8" w:color="CCEEFF"/>
            </w:tcBorders>
            <w:shd w:val="clear" w:color="auto" w:fill="CCEEFF"/>
          </w:tcPr>
          <w:p>
            <w:pPr>
              <w:jc w:val="center"/>
              <w:ind w:left="236"/>
              <w:spacing w:after="0"/>
              <w:rPr>
                <w:sz w:val="20"/>
                <w:szCs w:val="20"/>
                <w:color w:val="auto"/>
              </w:rPr>
            </w:pPr>
            <w:r>
              <w:rPr>
                <w:rFonts w:ascii="Arial" w:cs="Arial" w:eastAsia="Arial" w:hAnsi="Arial"/>
                <w:sz w:val="18"/>
                <w:szCs w:val="18"/>
                <w:color w:val="auto"/>
                <w:w w:val="91"/>
              </w:rPr>
              <w:t>7/1/2016</w:t>
            </w:r>
          </w:p>
        </w:tc>
        <w:tc>
          <w:tcPr>
            <w:tcW w:w="2400" w:type="dxa"/>
            <w:vAlign w:val="bottom"/>
            <w:tcBorders>
              <w:bottom w:val="single" w:sz="8" w:color="CCEEFF"/>
            </w:tcBorders>
            <w:gridSpan w:val="2"/>
            <w:shd w:val="clear" w:color="auto" w:fill="CCEEFF"/>
          </w:tcPr>
          <w:p>
            <w:pPr>
              <w:ind w:left="1460"/>
              <w:spacing w:after="0"/>
              <w:rPr>
                <w:sz w:val="20"/>
                <w:szCs w:val="20"/>
                <w:color w:val="auto"/>
              </w:rPr>
            </w:pPr>
            <w:r>
              <w:rPr>
                <w:rFonts w:ascii="Arial" w:cs="Arial" w:eastAsia="Arial" w:hAnsi="Arial"/>
                <w:sz w:val="18"/>
                <w:szCs w:val="18"/>
                <w:color w:val="auto"/>
              </w:rPr>
              <w:t>5.99%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360" w:type="dxa"/>
            <w:vAlign w:val="bottom"/>
          </w:tcPr>
          <w:p>
            <w:pPr>
              <w:jc w:val="center"/>
              <w:ind w:left="236"/>
              <w:spacing w:after="0"/>
              <w:rPr>
                <w:sz w:val="20"/>
                <w:szCs w:val="20"/>
                <w:color w:val="auto"/>
              </w:rPr>
            </w:pPr>
            <w:r>
              <w:rPr>
                <w:rFonts w:ascii="Arial" w:cs="Arial" w:eastAsia="Arial" w:hAnsi="Arial"/>
                <w:sz w:val="18"/>
                <w:szCs w:val="18"/>
                <w:color w:val="auto"/>
                <w:w w:val="91"/>
              </w:rPr>
              <w:t>7/1/2016</w:t>
            </w:r>
          </w:p>
        </w:tc>
        <w:tc>
          <w:tcPr>
            <w:tcW w:w="1960" w:type="dxa"/>
            <w:vAlign w:val="bottom"/>
          </w:tcPr>
          <w:p>
            <w:pPr>
              <w:ind w:left="1460"/>
              <w:spacing w:after="0"/>
              <w:rPr>
                <w:sz w:val="20"/>
                <w:szCs w:val="20"/>
                <w:color w:val="auto"/>
              </w:rPr>
            </w:pPr>
            <w:r>
              <w:rPr>
                <w:rFonts w:ascii="Arial" w:cs="Arial" w:eastAsia="Arial" w:hAnsi="Arial"/>
                <w:sz w:val="18"/>
                <w:szCs w:val="18"/>
                <w:color w:val="auto"/>
                <w:w w:val="93"/>
              </w:rPr>
              <w:t>5.90%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7"/>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Fixed Rate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34,385</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Year</w:t>
            </w:r>
          </w:p>
        </w:tc>
        <w:tc>
          <w:tcPr>
            <w:tcW w:w="2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Scheduled Amortization</w:t>
            </w: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420" w:type="dxa"/>
            <w:vAlign w:val="bottom"/>
          </w:tcPr>
          <w:p>
            <w:pPr>
              <w:spacing w:after="0"/>
              <w:rPr>
                <w:sz w:val="14"/>
                <w:szCs w:val="14"/>
                <w:color w:val="auto"/>
              </w:rPr>
            </w:pPr>
          </w:p>
        </w:tc>
        <w:tc>
          <w:tcPr>
            <w:tcW w:w="126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44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2015</w:t>
            </w: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00" w:type="dxa"/>
            <w:vAlign w:val="bottom"/>
          </w:tcPr>
          <w:p>
            <w:pPr>
              <w:jc w:val="right"/>
              <w:ind w:right="34"/>
              <w:spacing w:after="0"/>
              <w:rPr>
                <w:sz w:val="20"/>
                <w:szCs w:val="20"/>
                <w:color w:val="auto"/>
              </w:rPr>
            </w:pPr>
            <w:r>
              <w:rPr>
                <w:rFonts w:ascii="Arial" w:cs="Arial" w:eastAsia="Arial" w:hAnsi="Arial"/>
                <w:sz w:val="18"/>
                <w:szCs w:val="18"/>
                <w:color w:val="auto"/>
              </w:rPr>
              <w:t>2016</w:t>
            </w:r>
          </w:p>
        </w:tc>
        <w:tc>
          <w:tcPr>
            <w:tcW w:w="760" w:type="dxa"/>
            <w:vAlign w:val="bottom"/>
          </w:tcPr>
          <w:p>
            <w:pPr>
              <w:spacing w:after="0"/>
              <w:rPr>
                <w:sz w:val="21"/>
                <w:szCs w:val="21"/>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2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34,385</w:t>
            </w:r>
          </w:p>
        </w:tc>
        <w:tc>
          <w:tcPr>
            <w:tcW w:w="4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34,385</w:t>
            </w:r>
          </w:p>
        </w:tc>
        <w:tc>
          <w:tcPr>
            <w:tcW w:w="4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right="220" w:hanging="585"/>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110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Real Estate</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174"/>
        </w:trPr>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2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MSA Description</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Grocery Anchor</w:t>
            </w: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1"/>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color w:val="auto"/>
                <w:w w:val="91"/>
              </w:rPr>
              <w:t>(in thousands)</w:t>
            </w:r>
          </w:p>
        </w:tc>
        <w:tc>
          <w:tcPr>
            <w:tcW w:w="100" w:type="dxa"/>
            <w:vAlign w:val="bottom"/>
          </w:tcPr>
          <w:p>
            <w:pPr>
              <w:spacing w:after="0"/>
              <w:rPr>
                <w:sz w:val="11"/>
                <w:szCs w:val="11"/>
                <w:color w:val="auto"/>
              </w:rPr>
            </w:pPr>
          </w:p>
        </w:tc>
        <w:tc>
          <w:tcPr>
            <w:tcW w:w="560" w:type="dxa"/>
            <w:vAlign w:val="bottom"/>
          </w:tcPr>
          <w:p>
            <w:pPr>
              <w:jc w:val="center"/>
              <w:ind w:right="41"/>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2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r>
      <w:tr>
        <w:trPr>
          <w:trHeight w:val="262"/>
        </w:trPr>
        <w:tc>
          <w:tcPr>
            <w:tcW w:w="1580" w:type="dxa"/>
            <w:vAlign w:val="bottom"/>
            <w:gridSpan w:val="4"/>
          </w:tcPr>
          <w:p>
            <w:pPr>
              <w:ind w:left="40"/>
              <w:spacing w:after="0"/>
              <w:rPr>
                <w:sz w:val="20"/>
                <w:szCs w:val="20"/>
                <w:color w:val="auto"/>
              </w:rPr>
            </w:pPr>
            <w:r>
              <w:rPr>
                <w:rFonts w:ascii="Arial" w:cs="Arial" w:eastAsia="Arial" w:hAnsi="Arial"/>
                <w:sz w:val="13"/>
                <w:szCs w:val="13"/>
                <w:color w:val="auto"/>
              </w:rPr>
              <w:t>Barcroft Plaza</w:t>
            </w:r>
          </w:p>
        </w:tc>
        <w:tc>
          <w:tcPr>
            <w:tcW w:w="2320" w:type="dxa"/>
            <w:vAlign w:val="bottom"/>
            <w:gridSpan w:val="2"/>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35,013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41"/>
              <w:spacing w:after="0"/>
              <w:rPr>
                <w:sz w:val="20"/>
                <w:szCs w:val="20"/>
                <w:color w:val="auto"/>
              </w:rPr>
            </w:pPr>
            <w:r>
              <w:rPr>
                <w:rFonts w:ascii="Arial" w:cs="Arial" w:eastAsia="Arial" w:hAnsi="Arial"/>
                <w:sz w:val="13"/>
                <w:szCs w:val="13"/>
                <w:color w:val="auto"/>
              </w:rPr>
              <w:t>20,785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81%</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48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3"/>
              </w:rPr>
              <w:t>Free State Shopping Center</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67,130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TJ Maxx / Ross Dress For Less / Office</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158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Plaza del Mercado</w:t>
            </w:r>
          </w:p>
        </w:tc>
        <w:tc>
          <w:tcPr>
            <w:tcW w:w="2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22,331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w w:val="94"/>
              </w:rPr>
              <w:t>Total Washington Metropolitan Area</w:t>
            </w: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124,474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70"/>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Nassau-Suffolk, NY</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20,854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13,600</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2"/>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New York / New Jersey</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20,854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7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r>
      <w:tr>
        <w:trPr>
          <w:trHeight w:val="148"/>
        </w:trPr>
        <w:tc>
          <w:tcPr>
            <w:tcW w:w="15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232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Boston-Worcester-Lawrence-Lowell-</w:t>
            </w:r>
          </w:p>
        </w:tc>
        <w:tc>
          <w:tcPr>
            <w:tcW w:w="800" w:type="dxa"/>
            <w:vAlign w:val="bottom"/>
          </w:tcPr>
          <w:p>
            <w:pPr>
              <w:jc w:val="right"/>
              <w:ind w:right="337"/>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20,209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110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4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2"/>
          </w:tcPr>
          <w:p>
            <w:pPr>
              <w:ind w:left="180"/>
              <w:spacing w:after="0"/>
              <w:rPr>
                <w:sz w:val="20"/>
                <w:szCs w:val="20"/>
                <w:color w:val="auto"/>
              </w:rPr>
            </w:pPr>
            <w:r>
              <w:rPr>
                <w:rFonts w:ascii="Arial" w:cs="Arial" w:eastAsia="Arial" w:hAnsi="Arial"/>
                <w:sz w:val="13"/>
                <w:szCs w:val="13"/>
                <w:color w:val="auto"/>
              </w:rPr>
              <w:t>Brockton, MA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Boston-Worcester-Lawrence-Lowell-</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23,033</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Brockton, MA</w:t>
            </w:r>
          </w:p>
        </w:tc>
        <w:tc>
          <w:tcPr>
            <w:tcW w:w="8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 New England</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43,242</w:t>
            </w: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r>
      <w:tr>
        <w:trPr>
          <w:trHeight w:val="264"/>
        </w:trPr>
        <w:tc>
          <w:tcPr>
            <w:tcW w:w="15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Totals</w:t>
            </w: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3"/>
              </w:rPr>
              <w:t>188,570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b w:val="1"/>
                <w:bCs w:val="1"/>
                <w:color w:val="auto"/>
              </w:rPr>
              <w:t>34,385</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820,000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92%</w:t>
            </w:r>
          </w:p>
        </w:tc>
        <w:tc>
          <w:tcPr>
            <w:tcW w:w="6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5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nine months ended September 30, 2015 and 2014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54,550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148,426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43,718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42,660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128,373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127,403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69,346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19,072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119,995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115,129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365,108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332,140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119,995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110,728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353,599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327,739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FFO, we have also included FFO excluding the "early extinguishment of debt" charge which relates to the early redemption of our 6.20% senior notes in 2015. We believe the unusual nature of this charge, being a make-whole payment on the remaining principal and interest on the redeemed notes, is worthy of separate evaluation and consequently have provided both relevant metrics.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2019-12-29T13:39:37Z</dcterms:created>
  <dcterms:modified xsi:type="dcterms:W3CDTF">2019-12-29T13:39:37Z</dcterms:modified>
</cp:coreProperties>
</file>