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(Ammendment No. 1)</w:t>
      </w:r>
    </w:p>
    <w:p>
      <w:pPr>
        <w:spacing w:after="0" w:line="211" w:lineRule="exact"/>
        <w:rPr>
          <w:sz w:val="24"/>
          <w:szCs w:val="24"/>
          <w:color w:val="auto"/>
        </w:rPr>
      </w:pPr>
    </w:p>
    <w:p>
      <w:pPr>
        <w:jc w:val="center"/>
        <w:ind w:left="420" w:right="2520"/>
        <w:spacing w:after="0" w:line="264"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79" w:lineRule="exact"/>
        <w:rPr>
          <w:sz w:val="24"/>
          <w:szCs w:val="24"/>
          <w:color w:val="auto"/>
        </w:rPr>
      </w:pPr>
    </w:p>
    <w:p>
      <w:pPr>
        <w:jc w:val="center"/>
        <w:ind w:right="-199"/>
        <w:spacing w:after="0"/>
        <w:rPr>
          <w:sz w:val="20"/>
          <w:szCs w:val="20"/>
          <w:color w:val="auto"/>
        </w:rPr>
      </w:pPr>
      <w:r>
        <w:rPr>
          <w:rFonts w:ascii="Arial" w:cs="Arial" w:eastAsia="Arial" w:hAnsi="Arial"/>
          <w:sz w:val="25"/>
          <w:szCs w:val="25"/>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313747206</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100" w:hanging="617"/>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00" w:hanging="617"/>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(Continued on the following pages)</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476" w:right="419" w:bottom="1440" w:gutter="0" w:footer="0" w:header="0"/>
        </w:sectPr>
      </w:pPr>
    </w:p>
    <w:bookmarkStart w:id="1" w:name="page2"/>
    <w:bookmarkEnd w:id="1"/>
    <w:p>
      <w:pPr>
        <w:spacing w:after="0"/>
        <w:tabs>
          <w:tab w:leader="none" w:pos="10120" w:val="left"/>
        </w:tabs>
        <w:rPr>
          <w:sz w:val="20"/>
          <w:szCs w:val="20"/>
          <w:color w:val="auto"/>
        </w:rPr>
      </w:pPr>
      <w:r>
        <w:rPr>
          <w:rFonts w:ascii="Arial" w:cs="Arial" w:eastAsia="Arial" w:hAnsi="Arial"/>
          <w:sz w:val="18"/>
          <w:szCs w:val="18"/>
          <w:color w:val="auto"/>
        </w:rPr>
        <w:t>CUSIP No. 313747206</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760" w:hanging="46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60" w:right="6500"/>
        <w:spacing w:after="0" w:line="51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AEW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-113030</wp:posOffset>
            </wp:positionV>
            <wp:extent cx="6809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159" w:lineRule="exact"/>
        <w:rPr>
          <w:sz w:val="20"/>
          <w:szCs w:val="20"/>
          <w:color w:val="auto"/>
        </w:rPr>
      </w:pPr>
    </w:p>
    <w:p>
      <w:pPr>
        <w:jc w:val="right"/>
        <w:ind w:left="300" w:right="5060"/>
        <w:spacing w:after="0" w:line="250" w:lineRule="exact"/>
        <w:rPr>
          <w:sz w:val="20"/>
          <w:szCs w:val="20"/>
          <w:color w:val="auto"/>
        </w:rPr>
      </w:pPr>
      <w:r>
        <w:rPr>
          <w:rFonts w:ascii="Arial" w:cs="Arial" w:eastAsia="Arial" w:hAnsi="Arial"/>
          <w:sz w:val="18"/>
          <w:szCs w:val="18"/>
          <w:color w:val="auto"/>
        </w:rPr>
        <w:t xml:space="preserve">(2)   Check the Appropriate Box if a Member of a Group (See Instructions)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22225</wp:posOffset>
            </wp:positionV>
            <wp:extent cx="6809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760" w:hanging="46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60" w:right="8040" w:hanging="46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120" w:right="7940" w:hanging="680"/>
        <w:spacing w:after="0" w:line="277" w:lineRule="auto"/>
        <w:tabs>
          <w:tab w:leader="none" w:pos="2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 421,774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59347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-559435</wp:posOffset>
            </wp:positionV>
            <wp:extent cx="6809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-1125220</wp:posOffset>
            </wp:positionV>
            <wp:extent cx="6809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Number of</w:t>
            </w:r>
          </w:p>
        </w:tc>
        <w:tc>
          <w:tcPr>
            <w:tcW w:w="860" w:type="dxa"/>
            <w:vAlign w:val="bottom"/>
            <w:vMerge w:val="restart"/>
          </w:tcPr>
          <w:p>
            <w:pPr>
              <w:jc w:val="right"/>
              <w:ind w:right="350"/>
              <w:spacing w:after="0"/>
              <w:rPr>
                <w:sz w:val="20"/>
                <w:szCs w:val="20"/>
                <w:color w:val="auto"/>
              </w:rPr>
            </w:pPr>
            <w:r>
              <w:rPr>
                <w:rFonts w:ascii="Arial" w:cs="Arial" w:eastAsia="Arial" w:hAnsi="Arial"/>
                <w:sz w:val="18"/>
                <w:szCs w:val="18"/>
                <w:color w:val="auto"/>
              </w:rPr>
              <w:t>(6)</w:t>
            </w:r>
          </w:p>
        </w:tc>
        <w:tc>
          <w:tcPr>
            <w:tcW w:w="93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1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8"/>
                <w:szCs w:val="8"/>
                <w:color w:val="auto"/>
              </w:rPr>
            </w:pPr>
          </w:p>
        </w:tc>
        <w:tc>
          <w:tcPr>
            <w:tcW w:w="9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34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09"/>
        </w:trPr>
        <w:tc>
          <w:tcPr>
            <w:tcW w:w="11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9"/>
                <w:szCs w:val="9"/>
                <w:color w:val="auto"/>
              </w:rPr>
            </w:pPr>
          </w:p>
        </w:tc>
        <w:tc>
          <w:tcPr>
            <w:tcW w:w="9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21"/>
                <w:szCs w:val="21"/>
                <w:color w:val="auto"/>
              </w:rPr>
            </w:pPr>
          </w:p>
        </w:tc>
        <w:tc>
          <w:tcPr>
            <w:tcW w:w="9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vMerge w:val="restart"/>
          </w:tcPr>
          <w:p>
            <w:pPr>
              <w:jc w:val="right"/>
              <w:ind w:right="350"/>
              <w:spacing w:after="0"/>
              <w:rPr>
                <w:sz w:val="20"/>
                <w:szCs w:val="20"/>
                <w:color w:val="auto"/>
              </w:rPr>
            </w:pPr>
            <w:r>
              <w:rPr>
                <w:rFonts w:ascii="Arial" w:cs="Arial" w:eastAsia="Arial" w:hAnsi="Arial"/>
                <w:sz w:val="18"/>
                <w:szCs w:val="18"/>
                <w:color w:val="auto"/>
              </w:rPr>
              <w:t>(7)</w:t>
            </w:r>
          </w:p>
        </w:tc>
        <w:tc>
          <w:tcPr>
            <w:tcW w:w="934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60" w:type="dxa"/>
            <w:vAlign w:val="bottom"/>
            <w:vMerge w:val="continue"/>
          </w:tcPr>
          <w:p>
            <w:pPr>
              <w:spacing w:after="0"/>
              <w:rPr>
                <w:sz w:val="12"/>
                <w:szCs w:val="12"/>
                <w:color w:val="auto"/>
              </w:rPr>
            </w:pPr>
          </w:p>
        </w:tc>
        <w:tc>
          <w:tcPr>
            <w:tcW w:w="9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340" w:type="dxa"/>
            <w:vAlign w:val="bottom"/>
            <w:vMerge w:val="restart"/>
          </w:tcPr>
          <w:p>
            <w:pPr>
              <w:ind w:left="40"/>
              <w:spacing w:after="0"/>
              <w:rPr>
                <w:sz w:val="20"/>
                <w:szCs w:val="20"/>
                <w:color w:val="auto"/>
              </w:rPr>
            </w:pPr>
            <w:r>
              <w:rPr>
                <w:rFonts w:ascii="Arial" w:cs="Arial" w:eastAsia="Arial" w:hAnsi="Arial"/>
                <w:sz w:val="18"/>
                <w:szCs w:val="18"/>
                <w:color w:val="auto"/>
              </w:rPr>
              <w:t>539,074</w:t>
            </w:r>
          </w:p>
        </w:tc>
        <w:tc>
          <w:tcPr>
            <w:tcW w:w="0" w:type="dxa"/>
            <w:vAlign w:val="bottom"/>
          </w:tcPr>
          <w:p>
            <w:pPr>
              <w:spacing w:after="0"/>
              <w:rPr>
                <w:sz w:val="1"/>
                <w:szCs w:val="1"/>
                <w:color w:val="auto"/>
              </w:rPr>
            </w:pPr>
          </w:p>
        </w:tc>
      </w:tr>
      <w:tr>
        <w:trPr>
          <w:trHeight w:val="163"/>
        </w:trPr>
        <w:tc>
          <w:tcPr>
            <w:tcW w:w="11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14"/>
                <w:szCs w:val="14"/>
                <w:color w:val="auto"/>
              </w:rPr>
            </w:pPr>
          </w:p>
        </w:tc>
        <w:tc>
          <w:tcPr>
            <w:tcW w:w="9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87"/>
        </w:trPr>
        <w:tc>
          <w:tcPr>
            <w:tcW w:w="1160" w:type="dxa"/>
            <w:vAlign w:val="bottom"/>
          </w:tcPr>
          <w:p>
            <w:pPr>
              <w:spacing w:after="0"/>
              <w:rPr>
                <w:sz w:val="24"/>
                <w:szCs w:val="24"/>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93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340" w:type="dxa"/>
            <w:vAlign w:val="bottom"/>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10720" w:type="dxa"/>
            <w:vAlign w:val="bottom"/>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10720" w:type="dxa"/>
            <w:vAlign w:val="bottom"/>
          </w:tcPr>
          <w:p>
            <w:pPr>
              <w:ind w:left="60"/>
              <w:spacing w:after="0"/>
              <w:rPr>
                <w:sz w:val="20"/>
                <w:szCs w:val="20"/>
                <w:color w:val="auto"/>
              </w:rPr>
            </w:pPr>
            <w:r>
              <w:rPr>
                <w:rFonts w:ascii="Arial" w:cs="Arial" w:eastAsia="Arial" w:hAnsi="Arial"/>
                <w:sz w:val="18"/>
                <w:szCs w:val="18"/>
                <w:color w:val="auto"/>
              </w:rPr>
              <w:t>539,074 shares of Common Stock</w:t>
            </w:r>
          </w:p>
        </w:tc>
        <w:tc>
          <w:tcPr>
            <w:tcW w:w="0" w:type="dxa"/>
            <w:vAlign w:val="bottom"/>
          </w:tcPr>
          <w:p>
            <w:pPr>
              <w:spacing w:after="0"/>
              <w:rPr>
                <w:sz w:val="1"/>
                <w:szCs w:val="1"/>
                <w:color w:val="auto"/>
              </w:rPr>
            </w:pPr>
          </w:p>
        </w:tc>
      </w:tr>
      <w:tr>
        <w:trPr>
          <w:trHeight w:val="54"/>
        </w:trPr>
        <w:tc>
          <w:tcPr>
            <w:tcW w:w="400" w:type="dxa"/>
            <w:vAlign w:val="bottom"/>
            <w:vMerge w:val="restart"/>
          </w:tcPr>
          <w:p>
            <w:pPr>
              <w:spacing w:after="0"/>
              <w:rPr>
                <w:sz w:val="20"/>
                <w:szCs w:val="20"/>
                <w:color w:val="auto"/>
              </w:rPr>
            </w:pPr>
            <w:r>
              <w:rPr>
                <w:rFonts w:ascii="Arial" w:cs="Arial" w:eastAsia="Arial" w:hAnsi="Arial"/>
                <w:sz w:val="18"/>
                <w:szCs w:val="18"/>
                <w:color w:val="auto"/>
              </w:rPr>
              <w:t>(10)</w:t>
            </w:r>
          </w:p>
        </w:tc>
        <w:tc>
          <w:tcPr>
            <w:tcW w:w="10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28"/>
        </w:trPr>
        <w:tc>
          <w:tcPr>
            <w:tcW w:w="400" w:type="dxa"/>
            <w:vAlign w:val="bottom"/>
            <w:vMerge w:val="continue"/>
          </w:tcPr>
          <w:p>
            <w:pPr>
              <w:spacing w:after="0"/>
              <w:rPr>
                <w:sz w:val="24"/>
                <w:szCs w:val="24"/>
                <w:color w:val="auto"/>
              </w:rPr>
            </w:pPr>
          </w:p>
        </w:tc>
        <w:tc>
          <w:tcPr>
            <w:tcW w:w="10720" w:type="dxa"/>
            <w:vAlign w:val="bottom"/>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 o</w:t>
            </w: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10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ind w:left="300"/>
        <w:spacing w:after="0"/>
        <w:tabs>
          <w:tab w:leader="none" w:pos="740" w:val="left"/>
        </w:tabs>
        <w:rPr>
          <w:sz w:val="20"/>
          <w:szCs w:val="20"/>
          <w:color w:val="auto"/>
        </w:rPr>
      </w:pPr>
      <w:r>
        <w:rPr>
          <w:rFonts w:ascii="Arial" w:cs="Arial" w:eastAsia="Arial" w:hAnsi="Arial"/>
          <w:sz w:val="18"/>
          <w:szCs w:val="18"/>
          <w:color w:val="auto"/>
        </w:rPr>
        <w:t>(11</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Percent of Class Represented by Amount in Row (9)</w:t>
      </w:r>
    </w:p>
    <w:p>
      <w:pPr>
        <w:ind w:left="760"/>
        <w:spacing w:after="0"/>
        <w:rPr>
          <w:sz w:val="20"/>
          <w:szCs w:val="20"/>
          <w:color w:val="auto"/>
        </w:rPr>
      </w:pPr>
      <w:r>
        <w:rPr>
          <w:rFonts w:ascii="Arial" w:cs="Arial" w:eastAsia="Arial" w:hAnsi="Arial"/>
          <w:sz w:val="18"/>
          <w:szCs w:val="18"/>
          <w:color w:val="auto"/>
        </w:rPr>
        <w:t>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38735</wp:posOffset>
            </wp:positionV>
            <wp:extent cx="68091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760" w:hanging="46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40005</wp:posOffset>
            </wp:positionV>
            <wp:extent cx="68091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tabs>
          <w:tab w:leader="none" w:pos="10120" w:val="left"/>
        </w:tabs>
        <w:rPr>
          <w:sz w:val="20"/>
          <w:szCs w:val="20"/>
          <w:color w:val="auto"/>
        </w:rPr>
      </w:pPr>
      <w:r>
        <w:rPr>
          <w:rFonts w:ascii="Arial" w:cs="Arial" w:eastAsia="Arial" w:hAnsi="Arial"/>
          <w:sz w:val="18"/>
          <w:szCs w:val="18"/>
          <w:color w:val="auto"/>
        </w:rPr>
        <w:t>CUSIP No. 313747206</w:t>
      </w:r>
      <w:r>
        <w:rPr>
          <w:sz w:val="20"/>
          <w:szCs w:val="20"/>
          <w:color w:val="auto"/>
        </w:rPr>
        <w:tab/>
      </w:r>
      <w:r>
        <w:rPr>
          <w:rFonts w:ascii="Arial" w:cs="Arial" w:eastAsia="Arial" w:hAnsi="Arial"/>
          <w:sz w:val="15"/>
          <w:szCs w:val="15"/>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760" w:hanging="46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60" w:right="6500"/>
        <w:spacing w:after="0" w:line="51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AEW Capital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-113030</wp:posOffset>
            </wp:positionV>
            <wp:extent cx="68091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159" w:lineRule="exact"/>
        <w:rPr>
          <w:sz w:val="20"/>
          <w:szCs w:val="20"/>
          <w:color w:val="auto"/>
        </w:rPr>
      </w:pPr>
    </w:p>
    <w:p>
      <w:pPr>
        <w:jc w:val="right"/>
        <w:ind w:left="300" w:right="5060"/>
        <w:spacing w:after="0" w:line="250" w:lineRule="exact"/>
        <w:rPr>
          <w:sz w:val="20"/>
          <w:szCs w:val="20"/>
          <w:color w:val="auto"/>
        </w:rPr>
      </w:pPr>
      <w:r>
        <w:rPr>
          <w:rFonts w:ascii="Arial" w:cs="Arial" w:eastAsia="Arial" w:hAnsi="Arial"/>
          <w:sz w:val="18"/>
          <w:szCs w:val="18"/>
          <w:color w:val="auto"/>
        </w:rPr>
        <w:t xml:space="preserve">(2)   Check the Appropriate Box if a Member of a Group (See Instructions)  (a)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22225</wp:posOffset>
            </wp:positionV>
            <wp:extent cx="68091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760" w:hanging="46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60" w:right="8040" w:hanging="46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Massachusetts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120" w:right="7940" w:hanging="680"/>
        <w:spacing w:after="0" w:line="277" w:lineRule="auto"/>
        <w:tabs>
          <w:tab w:leader="none" w:pos="2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 421,774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59347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3471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-559435</wp:posOffset>
            </wp:positionV>
            <wp:extent cx="68091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-1125220</wp:posOffset>
            </wp:positionV>
            <wp:extent cx="68091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Number of</w:t>
            </w:r>
          </w:p>
        </w:tc>
        <w:tc>
          <w:tcPr>
            <w:tcW w:w="860" w:type="dxa"/>
            <w:vAlign w:val="bottom"/>
            <w:vMerge w:val="restart"/>
          </w:tcPr>
          <w:p>
            <w:pPr>
              <w:jc w:val="right"/>
              <w:ind w:right="350"/>
              <w:spacing w:after="0"/>
              <w:rPr>
                <w:sz w:val="20"/>
                <w:szCs w:val="20"/>
                <w:color w:val="auto"/>
              </w:rPr>
            </w:pPr>
            <w:r>
              <w:rPr>
                <w:rFonts w:ascii="Arial" w:cs="Arial" w:eastAsia="Arial" w:hAnsi="Arial"/>
                <w:sz w:val="18"/>
                <w:szCs w:val="18"/>
                <w:color w:val="auto"/>
              </w:rPr>
              <w:t>(6)</w:t>
            </w:r>
          </w:p>
        </w:tc>
        <w:tc>
          <w:tcPr>
            <w:tcW w:w="93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1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8"/>
                <w:szCs w:val="8"/>
                <w:color w:val="auto"/>
              </w:rPr>
            </w:pPr>
          </w:p>
        </w:tc>
        <w:tc>
          <w:tcPr>
            <w:tcW w:w="9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934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09"/>
        </w:trPr>
        <w:tc>
          <w:tcPr>
            <w:tcW w:w="116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9"/>
                <w:szCs w:val="9"/>
                <w:color w:val="auto"/>
              </w:rPr>
            </w:pPr>
          </w:p>
        </w:tc>
        <w:tc>
          <w:tcPr>
            <w:tcW w:w="9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21"/>
                <w:szCs w:val="21"/>
                <w:color w:val="auto"/>
              </w:rPr>
            </w:pPr>
          </w:p>
        </w:tc>
        <w:tc>
          <w:tcPr>
            <w:tcW w:w="9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vMerge w:val="restart"/>
          </w:tcPr>
          <w:p>
            <w:pPr>
              <w:jc w:val="right"/>
              <w:ind w:right="350"/>
              <w:spacing w:after="0"/>
              <w:rPr>
                <w:sz w:val="20"/>
                <w:szCs w:val="20"/>
                <w:color w:val="auto"/>
              </w:rPr>
            </w:pPr>
            <w:r>
              <w:rPr>
                <w:rFonts w:ascii="Arial" w:cs="Arial" w:eastAsia="Arial" w:hAnsi="Arial"/>
                <w:sz w:val="18"/>
                <w:szCs w:val="18"/>
                <w:color w:val="auto"/>
              </w:rPr>
              <w:t>(7)</w:t>
            </w:r>
          </w:p>
        </w:tc>
        <w:tc>
          <w:tcPr>
            <w:tcW w:w="934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60" w:type="dxa"/>
            <w:vAlign w:val="bottom"/>
            <w:vMerge w:val="continue"/>
          </w:tcPr>
          <w:p>
            <w:pPr>
              <w:spacing w:after="0"/>
              <w:rPr>
                <w:sz w:val="12"/>
                <w:szCs w:val="12"/>
                <w:color w:val="auto"/>
              </w:rPr>
            </w:pPr>
          </w:p>
        </w:tc>
        <w:tc>
          <w:tcPr>
            <w:tcW w:w="9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340" w:type="dxa"/>
            <w:vAlign w:val="bottom"/>
            <w:vMerge w:val="restart"/>
          </w:tcPr>
          <w:p>
            <w:pPr>
              <w:ind w:left="40"/>
              <w:spacing w:after="0"/>
              <w:rPr>
                <w:sz w:val="20"/>
                <w:szCs w:val="20"/>
                <w:color w:val="auto"/>
              </w:rPr>
            </w:pPr>
            <w:r>
              <w:rPr>
                <w:rFonts w:ascii="Arial" w:cs="Arial" w:eastAsia="Arial" w:hAnsi="Arial"/>
                <w:sz w:val="18"/>
                <w:szCs w:val="18"/>
                <w:color w:val="auto"/>
              </w:rPr>
              <w:t>539,074</w:t>
            </w:r>
          </w:p>
        </w:tc>
        <w:tc>
          <w:tcPr>
            <w:tcW w:w="0" w:type="dxa"/>
            <w:vAlign w:val="bottom"/>
          </w:tcPr>
          <w:p>
            <w:pPr>
              <w:spacing w:after="0"/>
              <w:rPr>
                <w:sz w:val="1"/>
                <w:szCs w:val="1"/>
                <w:color w:val="auto"/>
              </w:rPr>
            </w:pPr>
          </w:p>
        </w:tc>
      </w:tr>
      <w:tr>
        <w:trPr>
          <w:trHeight w:val="163"/>
        </w:trPr>
        <w:tc>
          <w:tcPr>
            <w:tcW w:w="11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14"/>
                <w:szCs w:val="14"/>
                <w:color w:val="auto"/>
              </w:rPr>
            </w:pPr>
          </w:p>
        </w:tc>
        <w:tc>
          <w:tcPr>
            <w:tcW w:w="9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87"/>
        </w:trPr>
        <w:tc>
          <w:tcPr>
            <w:tcW w:w="1160" w:type="dxa"/>
            <w:vAlign w:val="bottom"/>
          </w:tcPr>
          <w:p>
            <w:pPr>
              <w:spacing w:after="0"/>
              <w:rPr>
                <w:sz w:val="24"/>
                <w:szCs w:val="24"/>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(8)</w:t>
            </w:r>
          </w:p>
        </w:tc>
        <w:tc>
          <w:tcPr>
            <w:tcW w:w="93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340" w:type="dxa"/>
            <w:vAlign w:val="bottom"/>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300"/>
        <w:spacing w:after="0"/>
        <w:tabs>
          <w:tab w:leader="none" w:pos="7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539,074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40005</wp:posOffset>
            </wp:positionV>
            <wp:extent cx="68091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300"/>
        <w:spacing w:after="0"/>
        <w:tabs>
          <w:tab w:leader="none" w:pos="740" w:val="left"/>
        </w:tabs>
        <w:rPr>
          <w:sz w:val="20"/>
          <w:szCs w:val="20"/>
          <w:color w:val="auto"/>
        </w:rPr>
      </w:pPr>
      <w:r>
        <w:rPr>
          <w:rFonts w:ascii="Arial" w:cs="Arial" w:eastAsia="Arial" w:hAnsi="Arial"/>
          <w:sz w:val="18"/>
          <w:szCs w:val="18"/>
          <w:color w:val="auto"/>
        </w:rPr>
        <w:t>(10</w:t>
      </w:r>
      <w:r>
        <w:rPr>
          <w:rFonts w:ascii="Arial" w:cs="Arial" w:eastAsia="Arial" w:hAnsi="Arial"/>
          <w:sz w:val="21"/>
          <w:szCs w:val="21"/>
          <w:color w:val="auto"/>
        </w:rPr>
        <w:t>)</w:t>
      </w:r>
      <w:r>
        <w:rPr>
          <w:sz w:val="20"/>
          <w:szCs w:val="20"/>
          <w:color w:val="auto"/>
        </w:rPr>
        <w:tab/>
      </w:r>
      <w:r>
        <w:rPr>
          <w:rFonts w:ascii="Arial" w:cs="Arial" w:eastAsia="Arial" w:hAnsi="Arial"/>
          <w:sz w:val="16"/>
          <w:szCs w:val="16"/>
          <w:color w:val="auto"/>
        </w:rPr>
        <w:t>Check if the Aggregate Amount in Row (9)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48895</wp:posOffset>
            </wp:positionV>
            <wp:extent cx="68091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60" w:right="6880" w:hanging="468"/>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0.66%</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760" w:hanging="46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40005</wp:posOffset>
            </wp:positionV>
            <wp:extent cx="68091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-525145</wp:posOffset>
            </wp:positionV>
            <wp:extent cx="68091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w w:val="98"/>
              </w:rPr>
              <w:t>CUSIP No. 313747206</w:t>
            </w:r>
          </w:p>
        </w:tc>
        <w:tc>
          <w:tcPr>
            <w:tcW w:w="9600" w:type="dxa"/>
            <w:vAlign w:val="bottom"/>
          </w:tcPr>
          <w:p>
            <w:pPr>
              <w:ind w:left="8320"/>
              <w:spacing w:after="0"/>
              <w:rPr>
                <w:sz w:val="20"/>
                <w:szCs w:val="20"/>
                <w:color w:val="auto"/>
              </w:rPr>
            </w:pPr>
            <w:r>
              <w:rPr>
                <w:rFonts w:ascii="Arial" w:cs="Arial" w:eastAsia="Arial" w:hAnsi="Arial"/>
                <w:sz w:val="18"/>
                <w:szCs w:val="18"/>
                <w:color w:val="auto"/>
                <w:w w:val="85"/>
              </w:rPr>
              <w:t>Page 4 of 6 Pages</w:t>
            </w:r>
          </w:p>
        </w:tc>
      </w:tr>
      <w:tr>
        <w:trPr>
          <w:trHeight w:val="486"/>
        </w:trPr>
        <w:tc>
          <w:tcPr>
            <w:tcW w:w="1820" w:type="dxa"/>
            <w:vAlign w:val="bottom"/>
          </w:tcPr>
          <w:p>
            <w:pPr>
              <w:spacing w:after="0"/>
              <w:rPr>
                <w:sz w:val="24"/>
                <w:szCs w:val="24"/>
                <w:color w:val="auto"/>
              </w:rPr>
            </w:pPr>
          </w:p>
        </w:tc>
        <w:tc>
          <w:tcPr>
            <w:tcW w:w="9600" w:type="dxa"/>
            <w:vAlign w:val="bottom"/>
          </w:tcPr>
          <w:p>
            <w:pPr>
              <w:ind w:left="2560"/>
              <w:spacing w:after="0"/>
              <w:rPr>
                <w:sz w:val="20"/>
                <w:szCs w:val="20"/>
                <w:color w:val="auto"/>
              </w:rPr>
            </w:pPr>
            <w:r>
              <w:rPr>
                <w:rFonts w:ascii="Arial" w:cs="Arial" w:eastAsia="Arial" w:hAnsi="Arial"/>
                <w:sz w:val="18"/>
                <w:szCs w:val="18"/>
                <w:color w:val="auto"/>
              </w:rPr>
              <w:t>STATEMENT ON SCHEDULE 13G</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Item 1(a).</w:t>
            </w:r>
          </w:p>
        </w:tc>
        <w:tc>
          <w:tcPr>
            <w:tcW w:w="9600" w:type="dxa"/>
            <w:vAlign w:val="bottom"/>
          </w:tcPr>
          <w:p>
            <w:pPr>
              <w:ind w:left="140"/>
              <w:spacing w:after="0"/>
              <w:rPr>
                <w:sz w:val="20"/>
                <w:szCs w:val="20"/>
                <w:color w:val="auto"/>
              </w:rPr>
            </w:pPr>
            <w:r>
              <w:rPr>
                <w:rFonts w:ascii="Arial" w:cs="Arial" w:eastAsia="Arial" w:hAnsi="Arial"/>
                <w:sz w:val="18"/>
                <w:szCs w:val="18"/>
                <w:color w:val="auto"/>
              </w:rPr>
              <w:t>NAME OF ISSUER:</w:t>
            </w:r>
          </w:p>
        </w:tc>
      </w:tr>
      <w:tr>
        <w:trPr>
          <w:trHeight w:val="432"/>
        </w:trPr>
        <w:tc>
          <w:tcPr>
            <w:tcW w:w="1820" w:type="dxa"/>
            <w:vAlign w:val="bottom"/>
          </w:tcPr>
          <w:p>
            <w:pPr>
              <w:spacing w:after="0"/>
              <w:rPr>
                <w:sz w:val="24"/>
                <w:szCs w:val="24"/>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Federal Realty Investment Trust</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Item 1(b).</w:t>
            </w:r>
          </w:p>
        </w:tc>
        <w:tc>
          <w:tcPr>
            <w:tcW w:w="9600" w:type="dxa"/>
            <w:vAlign w:val="bottom"/>
          </w:tcPr>
          <w:p>
            <w:pPr>
              <w:ind w:left="14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820" w:type="dxa"/>
            <w:vAlign w:val="bottom"/>
          </w:tcPr>
          <w:p>
            <w:pPr>
              <w:spacing w:after="0"/>
              <w:rPr>
                <w:sz w:val="24"/>
                <w:szCs w:val="24"/>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1626 E Jefferson Street</w:t>
            </w:r>
          </w:p>
        </w:tc>
      </w:tr>
      <w:tr>
        <w:trPr>
          <w:trHeight w:val="230"/>
        </w:trPr>
        <w:tc>
          <w:tcPr>
            <w:tcW w:w="1820" w:type="dxa"/>
            <w:vAlign w:val="bottom"/>
          </w:tcPr>
          <w:p>
            <w:pPr>
              <w:spacing w:after="0"/>
              <w:rPr>
                <w:sz w:val="20"/>
                <w:szCs w:val="20"/>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Rockville, MD 20852</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Item 2(a).</w:t>
            </w:r>
          </w:p>
        </w:tc>
        <w:tc>
          <w:tcPr>
            <w:tcW w:w="9600" w:type="dxa"/>
            <w:vAlign w:val="bottom"/>
          </w:tcPr>
          <w:p>
            <w:pPr>
              <w:ind w:left="140"/>
              <w:spacing w:after="0"/>
              <w:rPr>
                <w:sz w:val="20"/>
                <w:szCs w:val="20"/>
                <w:color w:val="auto"/>
              </w:rPr>
            </w:pPr>
            <w:r>
              <w:rPr>
                <w:rFonts w:ascii="Arial" w:cs="Arial" w:eastAsia="Arial" w:hAnsi="Arial"/>
                <w:sz w:val="18"/>
                <w:szCs w:val="18"/>
                <w:color w:val="auto"/>
              </w:rPr>
              <w:t>NAMES OF PERSON FILING:</w:t>
            </w:r>
          </w:p>
        </w:tc>
      </w:tr>
      <w:tr>
        <w:trPr>
          <w:trHeight w:val="418"/>
        </w:trPr>
        <w:tc>
          <w:tcPr>
            <w:tcW w:w="1820" w:type="dxa"/>
            <w:vAlign w:val="bottom"/>
          </w:tcPr>
          <w:p>
            <w:pPr>
              <w:spacing w:after="0"/>
              <w:rPr>
                <w:sz w:val="24"/>
                <w:szCs w:val="24"/>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AEW Capital Management, L.P.</w:t>
            </w:r>
          </w:p>
        </w:tc>
      </w:tr>
      <w:tr>
        <w:trPr>
          <w:trHeight w:val="230"/>
        </w:trPr>
        <w:tc>
          <w:tcPr>
            <w:tcW w:w="1820" w:type="dxa"/>
            <w:vAlign w:val="bottom"/>
          </w:tcPr>
          <w:p>
            <w:pPr>
              <w:spacing w:after="0"/>
              <w:rPr>
                <w:sz w:val="20"/>
                <w:szCs w:val="20"/>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AEW Capital Management, Inc.</w:t>
            </w:r>
          </w:p>
        </w:tc>
      </w:tr>
      <w:tr>
        <w:trPr>
          <w:trHeight w:val="648"/>
        </w:trPr>
        <w:tc>
          <w:tcPr>
            <w:tcW w:w="1820" w:type="dxa"/>
            <w:vAlign w:val="bottom"/>
          </w:tcPr>
          <w:p>
            <w:pPr>
              <w:spacing w:after="0"/>
              <w:rPr>
                <w:sz w:val="20"/>
                <w:szCs w:val="20"/>
                <w:color w:val="auto"/>
              </w:rPr>
            </w:pPr>
            <w:r>
              <w:rPr>
                <w:rFonts w:ascii="Arial" w:cs="Arial" w:eastAsia="Arial" w:hAnsi="Arial"/>
                <w:sz w:val="18"/>
                <w:szCs w:val="18"/>
                <w:color w:val="auto"/>
              </w:rPr>
              <w:t>Item 2(b).</w:t>
            </w:r>
          </w:p>
        </w:tc>
        <w:tc>
          <w:tcPr>
            <w:tcW w:w="9600" w:type="dxa"/>
            <w:vAlign w:val="bottom"/>
          </w:tcPr>
          <w:p>
            <w:pPr>
              <w:ind w:left="140"/>
              <w:spacing w:after="0"/>
              <w:rPr>
                <w:sz w:val="20"/>
                <w:szCs w:val="20"/>
                <w:color w:val="auto"/>
              </w:rPr>
            </w:pPr>
            <w:r>
              <w:rPr>
                <w:rFonts w:ascii="Arial" w:cs="Arial" w:eastAsia="Arial" w:hAnsi="Arial"/>
                <w:sz w:val="18"/>
                <w:szCs w:val="18"/>
                <w:color w:val="auto"/>
              </w:rPr>
              <w:t>BUSINESS MAILING ADDRESS FOR THE PERSON FILING:</w:t>
            </w:r>
          </w:p>
        </w:tc>
      </w:tr>
      <w:tr>
        <w:trPr>
          <w:trHeight w:val="418"/>
        </w:trPr>
        <w:tc>
          <w:tcPr>
            <w:tcW w:w="1820" w:type="dxa"/>
            <w:vAlign w:val="bottom"/>
          </w:tcPr>
          <w:p>
            <w:pPr>
              <w:spacing w:after="0"/>
              <w:rPr>
                <w:sz w:val="24"/>
                <w:szCs w:val="24"/>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Two Seaport Lane</w:t>
            </w:r>
          </w:p>
        </w:tc>
      </w:tr>
      <w:tr>
        <w:trPr>
          <w:trHeight w:val="230"/>
        </w:trPr>
        <w:tc>
          <w:tcPr>
            <w:tcW w:w="1820" w:type="dxa"/>
            <w:vAlign w:val="bottom"/>
          </w:tcPr>
          <w:p>
            <w:pPr>
              <w:spacing w:after="0"/>
              <w:rPr>
                <w:sz w:val="20"/>
                <w:szCs w:val="20"/>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Boston, MA 02110-2021</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Item 2(c).</w:t>
            </w:r>
          </w:p>
        </w:tc>
        <w:tc>
          <w:tcPr>
            <w:tcW w:w="9600" w:type="dxa"/>
            <w:vAlign w:val="bottom"/>
          </w:tcPr>
          <w:p>
            <w:pPr>
              <w:ind w:left="140"/>
              <w:spacing w:after="0"/>
              <w:rPr>
                <w:sz w:val="20"/>
                <w:szCs w:val="20"/>
                <w:color w:val="auto"/>
              </w:rPr>
            </w:pPr>
            <w:r>
              <w:rPr>
                <w:rFonts w:ascii="Arial" w:cs="Arial" w:eastAsia="Arial" w:hAnsi="Arial"/>
                <w:sz w:val="18"/>
                <w:szCs w:val="18"/>
                <w:color w:val="auto"/>
              </w:rPr>
              <w:t>CITIZENSHIP:</w:t>
            </w:r>
          </w:p>
        </w:tc>
      </w:tr>
      <w:tr>
        <w:trPr>
          <w:trHeight w:val="418"/>
        </w:trPr>
        <w:tc>
          <w:tcPr>
            <w:tcW w:w="1820" w:type="dxa"/>
            <w:vAlign w:val="bottom"/>
          </w:tcPr>
          <w:p>
            <w:pPr>
              <w:spacing w:after="0"/>
              <w:rPr>
                <w:sz w:val="24"/>
                <w:szCs w:val="24"/>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Delaware for AEW Capital Management, L.P.</w:t>
            </w:r>
          </w:p>
        </w:tc>
      </w:tr>
      <w:tr>
        <w:trPr>
          <w:trHeight w:val="230"/>
        </w:trPr>
        <w:tc>
          <w:tcPr>
            <w:tcW w:w="1820" w:type="dxa"/>
            <w:vAlign w:val="bottom"/>
          </w:tcPr>
          <w:p>
            <w:pPr>
              <w:spacing w:after="0"/>
              <w:rPr>
                <w:sz w:val="20"/>
                <w:szCs w:val="20"/>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Massachusetts for AEW Capital Management, Inc.</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Item 2(d).</w:t>
            </w:r>
          </w:p>
        </w:tc>
        <w:tc>
          <w:tcPr>
            <w:tcW w:w="9600" w:type="dxa"/>
            <w:vAlign w:val="bottom"/>
          </w:tcPr>
          <w:p>
            <w:pPr>
              <w:ind w:left="14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820" w:type="dxa"/>
            <w:vAlign w:val="bottom"/>
          </w:tcPr>
          <w:p>
            <w:pPr>
              <w:spacing w:after="0"/>
              <w:rPr>
                <w:sz w:val="24"/>
                <w:szCs w:val="24"/>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Common Stock</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Item 2(e).</w:t>
            </w:r>
          </w:p>
        </w:tc>
        <w:tc>
          <w:tcPr>
            <w:tcW w:w="9600" w:type="dxa"/>
            <w:vAlign w:val="bottom"/>
          </w:tcPr>
          <w:p>
            <w:pPr>
              <w:ind w:left="140"/>
              <w:spacing w:after="0"/>
              <w:rPr>
                <w:sz w:val="20"/>
                <w:szCs w:val="20"/>
                <w:color w:val="auto"/>
              </w:rPr>
            </w:pPr>
            <w:r>
              <w:rPr>
                <w:rFonts w:ascii="Arial" w:cs="Arial" w:eastAsia="Arial" w:hAnsi="Arial"/>
                <w:sz w:val="18"/>
                <w:szCs w:val="18"/>
                <w:color w:val="auto"/>
              </w:rPr>
              <w:t>CUSIP NUMBER:</w:t>
            </w:r>
          </w:p>
        </w:tc>
      </w:tr>
      <w:tr>
        <w:trPr>
          <w:trHeight w:val="432"/>
        </w:trPr>
        <w:tc>
          <w:tcPr>
            <w:tcW w:w="1820" w:type="dxa"/>
            <w:vAlign w:val="bottom"/>
          </w:tcPr>
          <w:p>
            <w:pPr>
              <w:spacing w:after="0"/>
              <w:rPr>
                <w:sz w:val="24"/>
                <w:szCs w:val="24"/>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313747206</w:t>
            </w:r>
          </w:p>
        </w:tc>
      </w:tr>
      <w:tr>
        <w:trPr>
          <w:trHeight w:val="418"/>
        </w:trPr>
        <w:tc>
          <w:tcPr>
            <w:tcW w:w="1820" w:type="dxa"/>
            <w:vAlign w:val="bottom"/>
          </w:tcPr>
          <w:p>
            <w:pPr>
              <w:spacing w:after="0"/>
              <w:rPr>
                <w:sz w:val="20"/>
                <w:szCs w:val="20"/>
                <w:color w:val="auto"/>
              </w:rPr>
            </w:pPr>
            <w:r>
              <w:rPr>
                <w:rFonts w:ascii="Arial" w:cs="Arial" w:eastAsia="Arial" w:hAnsi="Arial"/>
                <w:sz w:val="18"/>
                <w:szCs w:val="18"/>
                <w:color w:val="auto"/>
              </w:rPr>
              <w:t>Item 3.</w:t>
            </w:r>
          </w:p>
        </w:tc>
        <w:tc>
          <w:tcPr>
            <w:tcW w:w="9600" w:type="dxa"/>
            <w:vAlign w:val="bottom"/>
          </w:tcPr>
          <w:p>
            <w:pPr>
              <w:ind w:left="140"/>
              <w:spacing w:after="0"/>
              <w:rPr>
                <w:sz w:val="20"/>
                <w:szCs w:val="20"/>
                <w:color w:val="auto"/>
              </w:rPr>
            </w:pPr>
            <w:r>
              <w:rPr>
                <w:rFonts w:ascii="Arial" w:cs="Arial" w:eastAsia="Arial" w:hAnsi="Arial"/>
                <w:sz w:val="18"/>
                <w:szCs w:val="18"/>
                <w:color w:val="auto"/>
                <w:w w:val="95"/>
              </w:rPr>
              <w:t>IF THIS STATEMENT IS FILED PURSUANT TO RULES 13d-1(b), OR 13d-2(b), CHECK WHETHER THE PERSON FILING</w:t>
            </w:r>
          </w:p>
        </w:tc>
      </w:tr>
      <w:tr>
        <w:trPr>
          <w:trHeight w:val="230"/>
        </w:trPr>
        <w:tc>
          <w:tcPr>
            <w:tcW w:w="1820" w:type="dxa"/>
            <w:vAlign w:val="bottom"/>
          </w:tcPr>
          <w:p>
            <w:pPr>
              <w:spacing w:after="0"/>
              <w:rPr>
                <w:sz w:val="20"/>
                <w:szCs w:val="20"/>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IS A:</w:t>
            </w:r>
          </w:p>
        </w:tc>
      </w:tr>
      <w:tr>
        <w:trPr>
          <w:trHeight w:val="432"/>
        </w:trPr>
        <w:tc>
          <w:tcPr>
            <w:tcW w:w="1820" w:type="dxa"/>
            <w:vAlign w:val="bottom"/>
          </w:tcPr>
          <w:p>
            <w:pPr>
              <w:spacing w:after="0"/>
              <w:rPr>
                <w:sz w:val="24"/>
                <w:szCs w:val="24"/>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Not Applicable</w:t>
            </w:r>
          </w:p>
        </w:tc>
      </w:tr>
      <w:tr>
        <w:trPr>
          <w:trHeight w:val="648"/>
        </w:trPr>
        <w:tc>
          <w:tcPr>
            <w:tcW w:w="18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80" w:type="dxa"/>
            <w:vAlign w:val="bottom"/>
          </w:tcPr>
          <w:p>
            <w:pPr>
              <w:ind w:left="7600"/>
              <w:spacing w:after="0"/>
              <w:rPr>
                <w:sz w:val="20"/>
                <w:szCs w:val="20"/>
                <w:color w:val="auto"/>
              </w:rPr>
            </w:pPr>
            <w:r>
              <w:rPr>
                <w:rFonts w:ascii="Arial" w:cs="Arial" w:eastAsia="Arial" w:hAnsi="Arial"/>
                <w:sz w:val="18"/>
                <w:szCs w:val="18"/>
                <w:color w:val="auto"/>
                <w:w w:val="85"/>
              </w:rPr>
              <w:t>Page 5 of 6 Pages</w:t>
            </w:r>
          </w:p>
        </w:tc>
      </w:tr>
      <w:tr>
        <w:trPr>
          <w:trHeight w:val="486"/>
        </w:trPr>
        <w:tc>
          <w:tcPr>
            <w:tcW w:w="1280" w:type="dxa"/>
            <w:vAlign w:val="bottom"/>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OWNERSHIP:</w:t>
            </w:r>
          </w:p>
        </w:tc>
      </w:tr>
      <w:tr>
        <w:trPr>
          <w:trHeight w:val="432"/>
        </w:trPr>
        <w:tc>
          <w:tcPr>
            <w:tcW w:w="128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(a)</w:t>
            </w:r>
          </w:p>
        </w:tc>
        <w:tc>
          <w:tcPr>
            <w:tcW w:w="8880" w:type="dxa"/>
            <w:vAlign w:val="bottom"/>
          </w:tcPr>
          <w:p>
            <w:pPr>
              <w:ind w:left="380"/>
              <w:spacing w:after="0"/>
              <w:rPr>
                <w:sz w:val="20"/>
                <w:szCs w:val="20"/>
                <w:color w:val="auto"/>
              </w:rPr>
            </w:pPr>
            <w:r>
              <w:rPr>
                <w:rFonts w:ascii="Arial" w:cs="Arial" w:eastAsia="Arial" w:hAnsi="Arial"/>
                <w:sz w:val="18"/>
                <w:szCs w:val="18"/>
                <w:color w:val="auto"/>
              </w:rPr>
              <w:t>Amount Beneficially Owned:</w:t>
            </w:r>
          </w:p>
        </w:tc>
      </w:tr>
      <w:tr>
        <w:trPr>
          <w:trHeight w:val="432"/>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80" w:type="dxa"/>
            <w:vAlign w:val="bottom"/>
          </w:tcPr>
          <w:p>
            <w:pPr>
              <w:ind w:left="740"/>
              <w:spacing w:after="0"/>
              <w:rPr>
                <w:sz w:val="20"/>
                <w:szCs w:val="20"/>
                <w:color w:val="auto"/>
              </w:rPr>
            </w:pPr>
            <w:r>
              <w:rPr>
                <w:rFonts w:ascii="Arial" w:cs="Arial" w:eastAsia="Arial" w:hAnsi="Arial"/>
                <w:sz w:val="18"/>
                <w:szCs w:val="18"/>
                <w:color w:val="auto"/>
              </w:rPr>
              <w:t>539,074 shares of Common Stock</w:t>
            </w:r>
          </w:p>
        </w:tc>
      </w:tr>
      <w:tr>
        <w:trPr>
          <w:trHeight w:val="432"/>
        </w:trPr>
        <w:tc>
          <w:tcPr>
            <w:tcW w:w="128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(b)</w:t>
            </w:r>
          </w:p>
        </w:tc>
        <w:tc>
          <w:tcPr>
            <w:tcW w:w="8880" w:type="dxa"/>
            <w:vAlign w:val="bottom"/>
          </w:tcPr>
          <w:p>
            <w:pPr>
              <w:ind w:left="380"/>
              <w:spacing w:after="0"/>
              <w:rPr>
                <w:sz w:val="20"/>
                <w:szCs w:val="20"/>
                <w:color w:val="auto"/>
              </w:rPr>
            </w:pPr>
            <w:r>
              <w:rPr>
                <w:rFonts w:ascii="Arial" w:cs="Arial" w:eastAsia="Arial" w:hAnsi="Arial"/>
                <w:sz w:val="18"/>
                <w:szCs w:val="18"/>
                <w:color w:val="auto"/>
              </w:rPr>
              <w:t>Percent of Class Owned:</w:t>
            </w:r>
          </w:p>
        </w:tc>
      </w:tr>
      <w:tr>
        <w:trPr>
          <w:trHeight w:val="432"/>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80" w:type="dxa"/>
            <w:vAlign w:val="bottom"/>
          </w:tcPr>
          <w:p>
            <w:pPr>
              <w:ind w:left="700"/>
              <w:spacing w:after="0"/>
              <w:rPr>
                <w:sz w:val="20"/>
                <w:szCs w:val="20"/>
                <w:color w:val="auto"/>
              </w:rPr>
            </w:pPr>
            <w:r>
              <w:rPr>
                <w:rFonts w:ascii="Arial" w:cs="Arial" w:eastAsia="Arial" w:hAnsi="Arial"/>
                <w:sz w:val="18"/>
                <w:szCs w:val="18"/>
                <w:color w:val="auto"/>
              </w:rPr>
              <w:t>0.66 %</w:t>
            </w:r>
          </w:p>
        </w:tc>
      </w:tr>
      <w:tr>
        <w:trPr>
          <w:trHeight w:val="432"/>
        </w:trPr>
        <w:tc>
          <w:tcPr>
            <w:tcW w:w="128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(c)</w:t>
            </w:r>
          </w:p>
        </w:tc>
        <w:tc>
          <w:tcPr>
            <w:tcW w:w="8880" w:type="dxa"/>
            <w:vAlign w:val="bottom"/>
          </w:tcPr>
          <w:p>
            <w:pPr>
              <w:ind w:left="380"/>
              <w:spacing w:after="0"/>
              <w:rPr>
                <w:sz w:val="20"/>
                <w:szCs w:val="20"/>
                <w:color w:val="auto"/>
              </w:rPr>
            </w:pPr>
            <w:r>
              <w:rPr>
                <w:rFonts w:ascii="Arial" w:cs="Arial" w:eastAsia="Arial" w:hAnsi="Arial"/>
                <w:sz w:val="18"/>
                <w:szCs w:val="18"/>
                <w:color w:val="auto"/>
              </w:rPr>
              <w:t>Number of shares as to which such person has:</w:t>
            </w:r>
          </w:p>
        </w:tc>
      </w:tr>
      <w:tr>
        <w:trPr>
          <w:trHeight w:val="432"/>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80" w:type="dxa"/>
            <w:vAlign w:val="bottom"/>
          </w:tcPr>
          <w:p>
            <w:pPr>
              <w:ind w:left="740"/>
              <w:spacing w:after="0"/>
              <w:rPr>
                <w:sz w:val="20"/>
                <w:szCs w:val="20"/>
                <w:color w:val="auto"/>
              </w:rPr>
            </w:pPr>
            <w:r>
              <w:rPr>
                <w:rFonts w:ascii="Arial" w:cs="Arial" w:eastAsia="Arial" w:hAnsi="Arial"/>
                <w:sz w:val="18"/>
                <w:szCs w:val="18"/>
                <w:color w:val="auto"/>
              </w:rPr>
              <w:t>(i) sole power to vote or to direct the vote:</w:t>
            </w:r>
          </w:p>
        </w:tc>
      </w:tr>
      <w:tr>
        <w:trPr>
          <w:trHeight w:val="432"/>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80" w:type="dxa"/>
            <w:vAlign w:val="bottom"/>
          </w:tcPr>
          <w:p>
            <w:pPr>
              <w:ind w:left="1740"/>
              <w:spacing w:after="0"/>
              <w:rPr>
                <w:sz w:val="20"/>
                <w:szCs w:val="20"/>
                <w:color w:val="auto"/>
              </w:rPr>
            </w:pPr>
            <w:r>
              <w:rPr>
                <w:rFonts w:ascii="Arial" w:cs="Arial" w:eastAsia="Arial" w:hAnsi="Arial"/>
                <w:sz w:val="18"/>
                <w:szCs w:val="18"/>
                <w:color w:val="auto"/>
              </w:rPr>
              <w:t>421,774 shares of Common Stock</w:t>
            </w:r>
          </w:p>
        </w:tc>
      </w:tr>
      <w:tr>
        <w:trPr>
          <w:trHeight w:val="432"/>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80" w:type="dxa"/>
            <w:vAlign w:val="bottom"/>
          </w:tcPr>
          <w:p>
            <w:pPr>
              <w:ind w:left="740"/>
              <w:spacing w:after="0"/>
              <w:rPr>
                <w:sz w:val="20"/>
                <w:szCs w:val="20"/>
                <w:color w:val="auto"/>
              </w:rPr>
            </w:pPr>
            <w:r>
              <w:rPr>
                <w:rFonts w:ascii="Arial" w:cs="Arial" w:eastAsia="Arial" w:hAnsi="Arial"/>
                <w:sz w:val="18"/>
                <w:szCs w:val="18"/>
                <w:color w:val="auto"/>
              </w:rPr>
              <w:t>(ii) shared power to vote or to direct the vote:</w:t>
            </w:r>
          </w:p>
        </w:tc>
      </w:tr>
      <w:tr>
        <w:trPr>
          <w:trHeight w:val="432"/>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80" w:type="dxa"/>
            <w:vAlign w:val="bottom"/>
          </w:tcPr>
          <w:p>
            <w:pPr>
              <w:ind w:left="1740"/>
              <w:spacing w:after="0"/>
              <w:rPr>
                <w:sz w:val="20"/>
                <w:szCs w:val="20"/>
                <w:color w:val="auto"/>
              </w:rPr>
            </w:pPr>
            <w:r>
              <w:rPr>
                <w:rFonts w:ascii="Arial" w:cs="Arial" w:eastAsia="Arial" w:hAnsi="Arial"/>
                <w:sz w:val="18"/>
                <w:szCs w:val="18"/>
                <w:color w:val="auto"/>
              </w:rPr>
              <w:t>None</w:t>
            </w:r>
          </w:p>
        </w:tc>
      </w:tr>
      <w:tr>
        <w:trPr>
          <w:trHeight w:val="432"/>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80" w:type="dxa"/>
            <w:vAlign w:val="bottom"/>
          </w:tcPr>
          <w:p>
            <w:pPr>
              <w:ind w:left="740"/>
              <w:spacing w:after="0"/>
              <w:rPr>
                <w:sz w:val="20"/>
                <w:szCs w:val="20"/>
                <w:color w:val="auto"/>
              </w:rPr>
            </w:pPr>
            <w:r>
              <w:rPr>
                <w:rFonts w:ascii="Arial" w:cs="Arial" w:eastAsia="Arial" w:hAnsi="Arial"/>
                <w:sz w:val="18"/>
                <w:szCs w:val="18"/>
                <w:color w:val="auto"/>
              </w:rPr>
              <w:t>(iii) sole power to dispose or to direct the disposition of:</w:t>
            </w:r>
          </w:p>
        </w:tc>
      </w:tr>
      <w:tr>
        <w:trPr>
          <w:trHeight w:val="432"/>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80" w:type="dxa"/>
            <w:vAlign w:val="bottom"/>
          </w:tcPr>
          <w:p>
            <w:pPr>
              <w:ind w:left="1740"/>
              <w:spacing w:after="0"/>
              <w:rPr>
                <w:sz w:val="20"/>
                <w:szCs w:val="20"/>
                <w:color w:val="auto"/>
              </w:rPr>
            </w:pPr>
            <w:r>
              <w:rPr>
                <w:rFonts w:ascii="Arial" w:cs="Arial" w:eastAsia="Arial" w:hAnsi="Arial"/>
                <w:sz w:val="18"/>
                <w:szCs w:val="18"/>
                <w:color w:val="auto"/>
              </w:rPr>
              <w:t>539,074 shares of Common Stock</w:t>
            </w:r>
          </w:p>
        </w:tc>
      </w:tr>
      <w:tr>
        <w:trPr>
          <w:trHeight w:val="432"/>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80" w:type="dxa"/>
            <w:vAlign w:val="bottom"/>
          </w:tcPr>
          <w:p>
            <w:pPr>
              <w:ind w:left="740"/>
              <w:spacing w:after="0"/>
              <w:rPr>
                <w:sz w:val="20"/>
                <w:szCs w:val="20"/>
                <w:color w:val="auto"/>
              </w:rPr>
            </w:pPr>
            <w:r>
              <w:rPr>
                <w:rFonts w:ascii="Arial" w:cs="Arial" w:eastAsia="Arial" w:hAnsi="Arial"/>
                <w:sz w:val="18"/>
                <w:szCs w:val="18"/>
                <w:color w:val="auto"/>
              </w:rPr>
              <w:t>(iv) shared power to dispose or to direct The disposition of:</w:t>
            </w:r>
          </w:p>
        </w:tc>
      </w:tr>
      <w:tr>
        <w:trPr>
          <w:trHeight w:val="432"/>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80" w:type="dxa"/>
            <w:vAlign w:val="bottom"/>
          </w:tcPr>
          <w:p>
            <w:pPr>
              <w:ind w:left="1740"/>
              <w:spacing w:after="0"/>
              <w:rPr>
                <w:sz w:val="20"/>
                <w:szCs w:val="20"/>
                <w:color w:val="auto"/>
              </w:rPr>
            </w:pPr>
            <w:r>
              <w:rPr>
                <w:rFonts w:ascii="Arial" w:cs="Arial" w:eastAsia="Arial" w:hAnsi="Arial"/>
                <w:sz w:val="18"/>
                <w:szCs w:val="18"/>
                <w:color w:val="auto"/>
              </w:rPr>
              <w:t>None</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Item 5.</w:t>
            </w: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OWNERSHIP OF FIVE PERCENT OR LESS OF A CLASS:</w:t>
            </w:r>
          </w:p>
        </w:tc>
      </w:tr>
      <w:tr>
        <w:trPr>
          <w:trHeight w:val="432"/>
        </w:trPr>
        <w:tc>
          <w:tcPr>
            <w:tcW w:w="1280" w:type="dxa"/>
            <w:vAlign w:val="bottom"/>
          </w:tcPr>
          <w:p>
            <w:pPr>
              <w:spacing w:after="0"/>
              <w:rPr>
                <w:sz w:val="24"/>
                <w:szCs w:val="24"/>
                <w:color w:val="auto"/>
              </w:rPr>
            </w:pP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w w:val="90"/>
              </w:rPr>
              <w:t>As of the date hereof the reporting person has ceased to be the beneficial owner of more than five percent of the class of securities</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Item 6.</w:t>
            </w: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32"/>
        </w:trPr>
        <w:tc>
          <w:tcPr>
            <w:tcW w:w="1280" w:type="dxa"/>
            <w:vAlign w:val="bottom"/>
          </w:tcPr>
          <w:p>
            <w:pPr>
              <w:spacing w:after="0"/>
              <w:rPr>
                <w:sz w:val="24"/>
                <w:szCs w:val="24"/>
                <w:color w:val="auto"/>
              </w:rPr>
            </w:pP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Not Applicable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Item 7.</w:t>
            </w: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IDENTIFICATION  AND  CLASSIFICATION  OF  THE  SUBSIDIARY  WHICH  ACQUIRED  THE  SECURITY  BEING</w:t>
            </w: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REPORTED ON BY THE PARENT HOLDING COMPANY:</w:t>
            </w:r>
          </w:p>
        </w:tc>
      </w:tr>
      <w:tr>
        <w:trPr>
          <w:trHeight w:val="432"/>
        </w:trPr>
        <w:tc>
          <w:tcPr>
            <w:tcW w:w="1280" w:type="dxa"/>
            <w:vAlign w:val="bottom"/>
          </w:tcPr>
          <w:p>
            <w:pPr>
              <w:spacing w:after="0"/>
              <w:rPr>
                <w:sz w:val="24"/>
                <w:szCs w:val="24"/>
                <w:color w:val="auto"/>
              </w:rPr>
            </w:pP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Not Applicable</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Item 8.</w:t>
            </w: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32"/>
        </w:trPr>
        <w:tc>
          <w:tcPr>
            <w:tcW w:w="1280" w:type="dxa"/>
            <w:vAlign w:val="bottom"/>
          </w:tcPr>
          <w:p>
            <w:pPr>
              <w:spacing w:after="0"/>
              <w:rPr>
                <w:sz w:val="24"/>
                <w:szCs w:val="24"/>
                <w:color w:val="auto"/>
              </w:rPr>
            </w:pP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Not Applicable</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Item 9.</w:t>
            </w: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NOTICE OF DISSOLUTION OF GROUP:</w:t>
            </w:r>
          </w:p>
        </w:tc>
      </w:tr>
      <w:tr>
        <w:trPr>
          <w:trHeight w:val="432"/>
        </w:trPr>
        <w:tc>
          <w:tcPr>
            <w:tcW w:w="1280" w:type="dxa"/>
            <w:vAlign w:val="bottom"/>
          </w:tcPr>
          <w:p>
            <w:pPr>
              <w:spacing w:after="0"/>
              <w:rPr>
                <w:sz w:val="24"/>
                <w:szCs w:val="24"/>
                <w:color w:val="auto"/>
              </w:rPr>
            </w:pP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Not Applicable</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Item 10.</w:t>
            </w: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CERTIFICATION:</w:t>
            </w:r>
          </w:p>
        </w:tc>
      </w:tr>
      <w:tr>
        <w:trPr>
          <w:trHeight w:val="418"/>
        </w:trPr>
        <w:tc>
          <w:tcPr>
            <w:tcW w:w="1280" w:type="dxa"/>
            <w:vAlign w:val="bottom"/>
          </w:tcPr>
          <w:p>
            <w:pPr>
              <w:spacing w:after="0"/>
              <w:rPr>
                <w:sz w:val="24"/>
                <w:szCs w:val="24"/>
                <w:color w:val="auto"/>
              </w:rPr>
            </w:pP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w:t>
            </w:r>
          </w:p>
        </w:tc>
      </w:tr>
      <w:tr>
        <w:trPr>
          <w:trHeight w:val="216"/>
        </w:trPr>
        <w:tc>
          <w:tcPr>
            <w:tcW w:w="1280" w:type="dxa"/>
            <w:vAlign w:val="bottom"/>
          </w:tcPr>
          <w:p>
            <w:pPr>
              <w:spacing w:after="0"/>
              <w:rPr>
                <w:sz w:val="18"/>
                <w:szCs w:val="18"/>
                <w:color w:val="auto"/>
              </w:rPr>
            </w:pP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w w:val="95"/>
              </w:rPr>
              <w:t>not held for the purpose of or with the effect of changing or influencing the control of the issuer of the securities and were not</w:t>
            </w: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680"/>
              <w:spacing w:after="0"/>
              <w:rPr>
                <w:sz w:val="20"/>
                <w:szCs w:val="20"/>
                <w:color w:val="auto"/>
              </w:rPr>
            </w:pPr>
            <w:r>
              <w:rPr>
                <w:rFonts w:ascii="Arial" w:cs="Arial" w:eastAsia="Arial" w:hAnsi="Arial"/>
                <w:sz w:val="18"/>
                <w:szCs w:val="18"/>
                <w:color w:val="auto"/>
              </w:rPr>
              <w:t>acquired and are not held in connection with or as a participant in any transaction having that purpose or effect.</w:t>
            </w:r>
          </w:p>
        </w:tc>
      </w:tr>
      <w:tr>
        <w:trPr>
          <w:trHeight w:val="648"/>
        </w:trPr>
        <w:tc>
          <w:tcPr>
            <w:tcW w:w="1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Page 6 of 6 Pages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AEW CAPITAL MANAGEMENT,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AEW Capital Management, Inc., its general partner</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J. Finnegan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62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648"/>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AEW CAPITAL MANAGEMENT, INC.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J. Finnegan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62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648"/>
        </w:trPr>
        <w:tc>
          <w:tcPr>
            <w:tcW w:w="6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of Brandywine Realty Trust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4th day of February,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AEW CAPITAL MANAGEMENT,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AEW Capital Management, Inc., its General partner</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J. Finnegan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62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648"/>
        </w:trPr>
        <w:tc>
          <w:tcPr>
            <w:tcW w:w="11420" w:type="dxa"/>
            <w:vAlign w:val="bottom"/>
            <w:gridSpan w:val="3"/>
          </w:tcPr>
          <w:p>
            <w:pPr>
              <w:ind w:left="5720"/>
              <w:spacing w:after="0"/>
              <w:rPr>
                <w:sz w:val="20"/>
                <w:szCs w:val="20"/>
                <w:color w:val="auto"/>
              </w:rPr>
            </w:pPr>
            <w:r>
              <w:rPr>
                <w:rFonts w:ascii="Arial" w:cs="Arial" w:eastAsia="Arial" w:hAnsi="Arial"/>
                <w:sz w:val="18"/>
                <w:szCs w:val="18"/>
                <w:color w:val="auto"/>
              </w:rPr>
              <w:t>AEW CAPITAL MANAGEMENT, INC.</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J. Finnegan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62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648"/>
        </w:trPr>
        <w:tc>
          <w:tcPr>
            <w:tcW w:w="6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lvl w:ilvl="1">
      <w:lvlJc w:val="left"/>
      <w:lvlText w:val="(%2)"/>
      <w:numFmt w:val="decimal"/>
      <w:start w:val="5"/>
    </w:lvl>
  </w:abstractNum>
  <w:abstractNum w:abstractNumId="3">
    <w:nsid w:val="3D1B58BA"/>
    <w:multiLevelType w:val="hybridMultilevel"/>
    <w:lvl w:ilvl="0">
      <w:lvlJc w:val="left"/>
      <w:lvlText w:val="(%1)"/>
      <w:numFmt w:val="decimal"/>
      <w:start w:val="12"/>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3"/>
    </w:lvl>
    <w:lvl w:ilvl="1">
      <w:lvlJc w:val="left"/>
      <w:lvlText w:val="(%2)"/>
      <w:numFmt w:val="decimal"/>
      <w:start w:val="5"/>
    </w:lvl>
  </w:abstractNum>
  <w:abstractNum w:abstractNumId="6">
    <w:nsid w:val="41B71EF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2020-02-05T07:56:59Z</dcterms:created>
  <dcterms:modified xsi:type="dcterms:W3CDTF">2020-02-05T07:56:59Z</dcterms:modified>
</cp:coreProperties>
</file>