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29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Date of Report (Date of earliest event reported) November 04, 2021</w:t>
      </w:r>
    </w:p>
    <w:p>
      <w:pPr>
        <w:spacing w:after="0" w:line="150"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3" w:lineRule="exact"/>
        <w:rPr>
          <w:sz w:val="24"/>
          <w:szCs w:val="24"/>
          <w:color w:val="auto"/>
        </w:rPr>
      </w:pPr>
    </w:p>
    <w:tbl>
      <w:tblPr>
        <w:tblLayout w:type="fixed"/>
        <w:tblInd w:w="180" w:type="dxa"/>
        <w:tblCellMar>
          <w:top w:w="0" w:type="dxa"/>
          <w:left w:w="0" w:type="dxa"/>
          <w:bottom w:w="0" w:type="dxa"/>
          <w:right w:w="0" w:type="dxa"/>
        </w:tblCellMar>
      </w:tblPr>
      <w:tr>
        <w:trPr>
          <w:trHeight w:val="230"/>
        </w:trPr>
        <w:tc>
          <w:tcPr>
            <w:tcW w:w="3980" w:type="dxa"/>
            <w:vAlign w:val="bottom"/>
            <w:gridSpan w:val="3"/>
          </w:tcPr>
          <w:p>
            <w:pPr>
              <w:jc w:val="center"/>
              <w:ind w:right="584"/>
              <w:spacing w:after="0"/>
              <w:rPr>
                <w:sz w:val="20"/>
                <w:szCs w:val="20"/>
                <w:color w:val="auto"/>
              </w:rPr>
            </w:pPr>
            <w:r>
              <w:rPr>
                <w:rFonts w:ascii="Arial" w:cs="Arial" w:eastAsia="Arial" w:hAnsi="Arial"/>
                <w:sz w:val="18"/>
                <w:szCs w:val="18"/>
                <w:b w:val="1"/>
                <w:bCs w:val="1"/>
                <w:color w:val="auto"/>
                <w:w w:val="96"/>
              </w:rPr>
              <w:t>Maryland</w:t>
            </w:r>
          </w:p>
        </w:tc>
        <w:tc>
          <w:tcPr>
            <w:tcW w:w="2020" w:type="dxa"/>
            <w:vAlign w:val="bottom"/>
            <w:gridSpan w:val="3"/>
          </w:tcPr>
          <w:p>
            <w:pPr>
              <w:jc w:val="center"/>
              <w:ind w:left="773"/>
              <w:spacing w:after="0"/>
              <w:rPr>
                <w:sz w:val="20"/>
                <w:szCs w:val="20"/>
                <w:color w:val="auto"/>
              </w:rPr>
            </w:pPr>
            <w:r>
              <w:rPr>
                <w:rFonts w:ascii="Arial" w:cs="Arial" w:eastAsia="Arial" w:hAnsi="Arial"/>
                <w:sz w:val="18"/>
                <w:szCs w:val="18"/>
                <w:b w:val="1"/>
                <w:bCs w:val="1"/>
                <w:color w:val="auto"/>
                <w:w w:val="90"/>
              </w:rPr>
              <w:t>1-07533</w:t>
            </w:r>
          </w:p>
        </w:tc>
        <w:tc>
          <w:tcPr>
            <w:tcW w:w="1120" w:type="dxa"/>
            <w:vAlign w:val="bottom"/>
          </w:tcPr>
          <w:p>
            <w:pPr>
              <w:spacing w:after="0"/>
              <w:rPr>
                <w:sz w:val="19"/>
                <w:szCs w:val="19"/>
                <w:color w:val="auto"/>
              </w:rPr>
            </w:pPr>
          </w:p>
        </w:tc>
        <w:tc>
          <w:tcPr>
            <w:tcW w:w="3220" w:type="dxa"/>
            <w:vAlign w:val="bottom"/>
          </w:tcPr>
          <w:p>
            <w:pPr>
              <w:jc w:val="center"/>
              <w:ind w:left="904"/>
              <w:spacing w:after="0"/>
              <w:rPr>
                <w:sz w:val="20"/>
                <w:szCs w:val="20"/>
                <w:color w:val="auto"/>
              </w:rPr>
            </w:pPr>
            <w:r>
              <w:rPr>
                <w:rFonts w:ascii="Arial" w:cs="Arial" w:eastAsia="Arial" w:hAnsi="Arial"/>
                <w:sz w:val="18"/>
                <w:szCs w:val="18"/>
                <w:b w:val="1"/>
                <w:bCs w:val="1"/>
                <w:color w:val="auto"/>
                <w:w w:val="91"/>
              </w:rPr>
              <w:t>52-0782497</w:t>
            </w:r>
          </w:p>
        </w:tc>
      </w:tr>
      <w:tr>
        <w:trPr>
          <w:trHeight w:val="126"/>
        </w:trPr>
        <w:tc>
          <w:tcPr>
            <w:tcW w:w="3980" w:type="dxa"/>
            <w:vAlign w:val="bottom"/>
            <w:gridSpan w:val="3"/>
          </w:tcPr>
          <w:p>
            <w:pPr>
              <w:jc w:val="center"/>
              <w:ind w:right="584"/>
              <w:spacing w:after="0" w:line="126" w:lineRule="exact"/>
              <w:rPr>
                <w:sz w:val="20"/>
                <w:szCs w:val="20"/>
                <w:color w:val="auto"/>
              </w:rPr>
            </w:pPr>
            <w:r>
              <w:rPr>
                <w:rFonts w:ascii="Arial" w:cs="Arial" w:eastAsia="Arial" w:hAnsi="Arial"/>
                <w:sz w:val="13"/>
                <w:szCs w:val="13"/>
                <w:b w:val="1"/>
                <w:bCs w:val="1"/>
                <w:color w:val="auto"/>
                <w:w w:val="88"/>
              </w:rPr>
              <w:t>(State or other jurisdiction</w:t>
            </w:r>
          </w:p>
        </w:tc>
        <w:tc>
          <w:tcPr>
            <w:tcW w:w="900" w:type="dxa"/>
            <w:vAlign w:val="bottom"/>
          </w:tcPr>
          <w:p>
            <w:pPr>
              <w:spacing w:after="0"/>
              <w:rPr>
                <w:sz w:val="10"/>
                <w:szCs w:val="10"/>
                <w:color w:val="auto"/>
              </w:rPr>
            </w:pPr>
          </w:p>
        </w:tc>
        <w:tc>
          <w:tcPr>
            <w:tcW w:w="2240" w:type="dxa"/>
            <w:vAlign w:val="bottom"/>
            <w:gridSpan w:val="3"/>
          </w:tcPr>
          <w:p>
            <w:pPr>
              <w:jc w:val="center"/>
              <w:ind w:right="1140"/>
              <w:spacing w:after="0" w:line="126" w:lineRule="exact"/>
              <w:rPr>
                <w:sz w:val="20"/>
                <w:szCs w:val="20"/>
                <w:color w:val="auto"/>
              </w:rPr>
            </w:pPr>
            <w:r>
              <w:rPr>
                <w:rFonts w:ascii="Arial" w:cs="Arial" w:eastAsia="Arial" w:hAnsi="Arial"/>
                <w:sz w:val="13"/>
                <w:szCs w:val="13"/>
                <w:b w:val="1"/>
                <w:bCs w:val="1"/>
                <w:color w:val="auto"/>
                <w:w w:val="84"/>
              </w:rPr>
              <w:t>(Commission</w:t>
            </w:r>
          </w:p>
        </w:tc>
        <w:tc>
          <w:tcPr>
            <w:tcW w:w="3220" w:type="dxa"/>
            <w:vAlign w:val="bottom"/>
          </w:tcPr>
          <w:p>
            <w:pPr>
              <w:jc w:val="center"/>
              <w:ind w:left="924"/>
              <w:spacing w:after="0" w:line="126"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3980" w:type="dxa"/>
            <w:vAlign w:val="bottom"/>
            <w:gridSpan w:val="3"/>
          </w:tcPr>
          <w:p>
            <w:pPr>
              <w:jc w:val="center"/>
              <w:ind w:right="584"/>
              <w:spacing w:after="0"/>
              <w:rPr>
                <w:sz w:val="20"/>
                <w:szCs w:val="20"/>
                <w:color w:val="auto"/>
              </w:rPr>
            </w:pPr>
            <w:r>
              <w:rPr>
                <w:rFonts w:ascii="Arial" w:cs="Arial" w:eastAsia="Arial" w:hAnsi="Arial"/>
                <w:sz w:val="13"/>
                <w:szCs w:val="13"/>
                <w:b w:val="1"/>
                <w:bCs w:val="1"/>
                <w:color w:val="auto"/>
                <w:w w:val="88"/>
              </w:rPr>
              <w:t>of incorporation)</w:t>
            </w:r>
          </w:p>
        </w:tc>
        <w:tc>
          <w:tcPr>
            <w:tcW w:w="900" w:type="dxa"/>
            <w:vAlign w:val="bottom"/>
          </w:tcPr>
          <w:p>
            <w:pPr>
              <w:spacing w:after="0"/>
              <w:rPr>
                <w:sz w:val="14"/>
                <w:szCs w:val="14"/>
                <w:color w:val="auto"/>
              </w:rPr>
            </w:pPr>
          </w:p>
        </w:tc>
        <w:tc>
          <w:tcPr>
            <w:tcW w:w="2240" w:type="dxa"/>
            <w:vAlign w:val="bottom"/>
            <w:gridSpan w:val="3"/>
          </w:tcPr>
          <w:p>
            <w:pPr>
              <w:jc w:val="center"/>
              <w:ind w:right="1160"/>
              <w:spacing w:after="0"/>
              <w:rPr>
                <w:sz w:val="20"/>
                <w:szCs w:val="20"/>
                <w:color w:val="auto"/>
              </w:rPr>
            </w:pPr>
            <w:r>
              <w:rPr>
                <w:rFonts w:ascii="Arial" w:cs="Arial" w:eastAsia="Arial" w:hAnsi="Arial"/>
                <w:sz w:val="13"/>
                <w:szCs w:val="13"/>
                <w:b w:val="1"/>
                <w:bCs w:val="1"/>
                <w:color w:val="auto"/>
                <w:w w:val="90"/>
              </w:rPr>
              <w:t>File Number)</w:t>
            </w:r>
          </w:p>
        </w:tc>
        <w:tc>
          <w:tcPr>
            <w:tcW w:w="3220" w:type="dxa"/>
            <w:vAlign w:val="bottom"/>
          </w:tcPr>
          <w:p>
            <w:pPr>
              <w:jc w:val="center"/>
              <w:ind w:left="924"/>
              <w:spacing w:after="0"/>
              <w:rPr>
                <w:sz w:val="20"/>
                <w:szCs w:val="20"/>
                <w:color w:val="auto"/>
              </w:rPr>
            </w:pPr>
            <w:r>
              <w:rPr>
                <w:rFonts w:ascii="Arial" w:cs="Arial" w:eastAsia="Arial" w:hAnsi="Arial"/>
                <w:sz w:val="13"/>
                <w:szCs w:val="13"/>
                <w:b w:val="1"/>
                <w:bCs w:val="1"/>
                <w:color w:val="auto"/>
                <w:w w:val="89"/>
              </w:rPr>
              <w:t>Identification No.)</w:t>
            </w:r>
          </w:p>
        </w:tc>
      </w:tr>
      <w:tr>
        <w:trPr>
          <w:trHeight w:val="628"/>
        </w:trPr>
        <w:tc>
          <w:tcPr>
            <w:tcW w:w="1500" w:type="dxa"/>
            <w:vAlign w:val="bottom"/>
          </w:tcPr>
          <w:p>
            <w:pPr>
              <w:spacing w:after="0"/>
              <w:rPr>
                <w:sz w:val="24"/>
                <w:szCs w:val="24"/>
                <w:color w:val="auto"/>
              </w:rPr>
            </w:pPr>
          </w:p>
        </w:tc>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909 Rose Avenue, Suite 200</w:t>
            </w: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North Bethesda,</w:t>
            </w: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Maryland</w:t>
            </w:r>
          </w:p>
        </w:tc>
        <w:tc>
          <w:tcPr>
            <w:tcW w:w="3220" w:type="dxa"/>
            <w:vAlign w:val="bottom"/>
          </w:tcPr>
          <w:p>
            <w:pPr>
              <w:jc w:val="right"/>
              <w:ind w:right="1824"/>
              <w:spacing w:after="0"/>
              <w:rPr>
                <w:sz w:val="20"/>
                <w:szCs w:val="20"/>
                <w:color w:val="auto"/>
              </w:rPr>
            </w:pPr>
            <w:r>
              <w:rPr>
                <w:rFonts w:ascii="Arial" w:cs="Arial" w:eastAsia="Arial" w:hAnsi="Arial"/>
                <w:sz w:val="18"/>
                <w:szCs w:val="18"/>
                <w:b w:val="1"/>
                <w:bCs w:val="1"/>
                <w:color w:val="auto"/>
              </w:rPr>
              <w:t>20852</w:t>
            </w:r>
          </w:p>
        </w:tc>
      </w:tr>
      <w:tr>
        <w:trPr>
          <w:trHeight w:val="164"/>
        </w:trPr>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00" w:type="dxa"/>
            <w:vAlign w:val="bottom"/>
            <w:gridSpan w:val="3"/>
          </w:tcPr>
          <w:p>
            <w:pPr>
              <w:ind w:left="240"/>
              <w:spacing w:after="0"/>
              <w:rPr>
                <w:sz w:val="20"/>
                <w:szCs w:val="20"/>
                <w:color w:val="auto"/>
              </w:rPr>
            </w:pPr>
            <w:r>
              <w:rPr>
                <w:rFonts w:ascii="Arial" w:cs="Arial" w:eastAsia="Arial" w:hAnsi="Arial"/>
                <w:sz w:val="13"/>
                <w:szCs w:val="13"/>
                <w:b w:val="1"/>
                <w:bCs w:val="1"/>
                <w:color w:val="auto"/>
              </w:rPr>
              <w:t>(Address of principal executive offices)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20" w:type="dxa"/>
            <w:vAlign w:val="bottom"/>
          </w:tcPr>
          <w:p>
            <w:pPr>
              <w:jc w:val="center"/>
              <w:ind w:right="964"/>
              <w:spacing w:after="0"/>
              <w:rPr>
                <w:sz w:val="20"/>
                <w:szCs w:val="20"/>
                <w:color w:val="auto"/>
              </w:rPr>
            </w:pPr>
            <w:r>
              <w:rPr>
                <w:rFonts w:ascii="Arial" w:cs="Arial" w:eastAsia="Arial" w:hAnsi="Arial"/>
                <w:sz w:val="13"/>
                <w:szCs w:val="13"/>
                <w:b w:val="1"/>
                <w:bCs w:val="1"/>
                <w:color w:val="auto"/>
                <w:w w:val="90"/>
              </w:rPr>
              <w:t>(Zip Code)</w:t>
            </w:r>
          </w:p>
        </w:tc>
      </w:tr>
      <w:tr>
        <w:trPr>
          <w:trHeight w:val="488"/>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40" w:type="dxa"/>
            <w:vAlign w:val="bottom"/>
            <w:gridSpan w:val="6"/>
          </w:tcPr>
          <w:p>
            <w:pPr>
              <w:jc w:val="center"/>
              <w:ind w:right="2164"/>
              <w:spacing w:after="0"/>
              <w:rPr>
                <w:sz w:val="20"/>
                <w:szCs w:val="20"/>
                <w:color w:val="auto"/>
              </w:rPr>
            </w:pPr>
            <w:r>
              <w:rPr>
                <w:rFonts w:ascii="Arial" w:cs="Arial" w:eastAsia="Arial" w:hAnsi="Arial"/>
                <w:sz w:val="18"/>
                <w:szCs w:val="18"/>
                <w:b w:val="1"/>
                <w:bCs w:val="1"/>
                <w:color w:val="auto"/>
                <w:w w:val="89"/>
              </w:rPr>
              <w:t>Registrant's telephone number including area code: 301/998-8100</w:t>
            </w:r>
          </w:p>
        </w:tc>
      </w:tr>
      <w:tr>
        <w:trPr>
          <w:trHeight w:val="364"/>
        </w:trPr>
        <w:tc>
          <w:tcPr>
            <w:tcW w:w="15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180" w:type="dxa"/>
            <w:vAlign w:val="bottom"/>
          </w:tcPr>
          <w:p>
            <w:pPr>
              <w:spacing w:after="0"/>
              <w:rPr>
                <w:sz w:val="24"/>
                <w:szCs w:val="24"/>
                <w:color w:val="auto"/>
              </w:rPr>
            </w:pPr>
          </w:p>
        </w:tc>
        <w:tc>
          <w:tcPr>
            <w:tcW w:w="31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2"/>
              </w:rPr>
              <w:t>Trading Symbol</w:t>
            </w:r>
          </w:p>
        </w:tc>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50"/>
        </w:trPr>
        <w:tc>
          <w:tcPr>
            <w:tcW w:w="3980" w:type="dxa"/>
            <w:vAlign w:val="bottom"/>
            <w:gridSpan w:val="3"/>
          </w:tcPr>
          <w:p>
            <w:pPr>
              <w:jc w:val="center"/>
              <w:ind w:left="244"/>
              <w:spacing w:after="0"/>
              <w:rPr>
                <w:sz w:val="20"/>
                <w:szCs w:val="20"/>
                <w:color w:val="auto"/>
              </w:rPr>
            </w:pPr>
            <w:r>
              <w:rPr>
                <w:rFonts w:ascii="Arial" w:cs="Arial" w:eastAsia="Arial" w:hAnsi="Arial"/>
                <w:sz w:val="16"/>
                <w:szCs w:val="16"/>
                <w:color w:val="auto"/>
                <w:w w:val="92"/>
              </w:rPr>
              <w:t>Common Shares of Beneficial Interest</w:t>
            </w:r>
          </w:p>
        </w:tc>
        <w:tc>
          <w:tcPr>
            <w:tcW w:w="900" w:type="dxa"/>
            <w:vAlign w:val="bottom"/>
          </w:tcPr>
          <w:p>
            <w:pPr>
              <w:spacing w:after="0"/>
              <w:rPr>
                <w:sz w:val="21"/>
                <w:szCs w:val="21"/>
                <w:color w:val="auto"/>
              </w:rPr>
            </w:pPr>
          </w:p>
        </w:tc>
        <w:tc>
          <w:tcPr>
            <w:tcW w:w="820" w:type="dxa"/>
            <w:vAlign w:val="bottom"/>
          </w:tcPr>
          <w:p>
            <w:pPr>
              <w:jc w:val="center"/>
              <w:ind w:left="224"/>
              <w:spacing w:after="0"/>
              <w:rPr>
                <w:sz w:val="20"/>
                <w:szCs w:val="20"/>
                <w:color w:val="auto"/>
              </w:rPr>
            </w:pPr>
            <w:r>
              <w:rPr>
                <w:rFonts w:ascii="Arial" w:cs="Arial" w:eastAsia="Arial" w:hAnsi="Arial"/>
                <w:sz w:val="18"/>
                <w:szCs w:val="18"/>
                <w:color w:val="auto"/>
                <w:w w:val="91"/>
              </w:rPr>
              <w:t>FRT</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166"/>
        </w:trPr>
        <w:tc>
          <w:tcPr>
            <w:tcW w:w="5700" w:type="dxa"/>
            <w:vAlign w:val="bottom"/>
            <w:gridSpan w:val="5"/>
          </w:tcPr>
          <w:p>
            <w:pPr>
              <w:jc w:val="center"/>
              <w:ind w:right="1324"/>
              <w:spacing w:after="0" w:line="166"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500" w:type="dxa"/>
            <w:vAlign w:val="bottom"/>
          </w:tcPr>
          <w:p>
            <w:pPr>
              <w:spacing w:after="0"/>
              <w:rPr>
                <w:sz w:val="17"/>
                <w:szCs w:val="17"/>
                <w:color w:val="auto"/>
              </w:rPr>
            </w:pPr>
          </w:p>
        </w:tc>
        <w:tc>
          <w:tcPr>
            <w:tcW w:w="2480" w:type="dxa"/>
            <w:vAlign w:val="bottom"/>
            <w:gridSpan w:val="2"/>
          </w:tcPr>
          <w:p>
            <w:pPr>
              <w:jc w:val="center"/>
              <w:ind w:right="1104"/>
              <w:spacing w:after="0"/>
              <w:rPr>
                <w:sz w:val="20"/>
                <w:szCs w:val="20"/>
                <w:color w:val="auto"/>
              </w:rPr>
            </w:pPr>
            <w:r>
              <w:rPr>
                <w:rFonts w:ascii="Arial" w:cs="Arial" w:eastAsia="Arial" w:hAnsi="Arial"/>
                <w:sz w:val="16"/>
                <w:szCs w:val="16"/>
                <w:color w:val="auto"/>
                <w:w w:val="92"/>
              </w:rPr>
              <w:t>Rights</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44"/>
        </w:trPr>
        <w:tc>
          <w:tcPr>
            <w:tcW w:w="3980" w:type="dxa"/>
            <w:vAlign w:val="bottom"/>
            <w:gridSpan w:val="3"/>
          </w:tcPr>
          <w:p>
            <w:pPr>
              <w:jc w:val="center"/>
              <w:ind w:left="244"/>
              <w:spacing w:after="0"/>
              <w:rPr>
                <w:sz w:val="20"/>
                <w:szCs w:val="20"/>
                <w:color w:val="auto"/>
              </w:rPr>
            </w:pPr>
            <w:r>
              <w:rPr>
                <w:rFonts w:ascii="Arial" w:cs="Arial" w:eastAsia="Arial" w:hAnsi="Arial"/>
                <w:sz w:val="16"/>
                <w:szCs w:val="16"/>
                <w:color w:val="auto"/>
                <w:w w:val="90"/>
              </w:rPr>
              <w:t>Depositary Shares, each representing 1/1000 of a share</w:t>
            </w:r>
          </w:p>
        </w:tc>
        <w:tc>
          <w:tcPr>
            <w:tcW w:w="900" w:type="dxa"/>
            <w:vAlign w:val="bottom"/>
          </w:tcPr>
          <w:p>
            <w:pPr>
              <w:spacing w:after="0"/>
              <w:rPr>
                <w:sz w:val="24"/>
                <w:szCs w:val="24"/>
                <w:color w:val="auto"/>
              </w:rPr>
            </w:pPr>
          </w:p>
        </w:tc>
        <w:tc>
          <w:tcPr>
            <w:tcW w:w="820" w:type="dxa"/>
            <w:vAlign w:val="bottom"/>
          </w:tcPr>
          <w:p>
            <w:pPr>
              <w:jc w:val="center"/>
              <w:ind w:left="224"/>
              <w:spacing w:after="0"/>
              <w:rPr>
                <w:sz w:val="20"/>
                <w:szCs w:val="20"/>
                <w:color w:val="auto"/>
              </w:rPr>
            </w:pPr>
            <w:r>
              <w:rPr>
                <w:rFonts w:ascii="Arial" w:cs="Arial" w:eastAsia="Arial" w:hAnsi="Arial"/>
                <w:sz w:val="18"/>
                <w:szCs w:val="18"/>
                <w:color w:val="auto"/>
                <w:w w:val="88"/>
              </w:rPr>
              <w:t>FRT-C</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4" w:lineRule="exact"/>
        <w:rPr>
          <w:sz w:val="24"/>
          <w:szCs w:val="24"/>
          <w:color w:val="auto"/>
        </w:rPr>
      </w:pPr>
    </w:p>
    <w:p>
      <w:pPr>
        <w:jc w:val="center"/>
        <w:ind w:right="628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4" w:lineRule="exact"/>
        <w:rPr>
          <w:sz w:val="24"/>
          <w:szCs w:val="24"/>
          <w:color w:val="auto"/>
        </w:rPr>
      </w:pPr>
    </w:p>
    <w:p>
      <w:pPr>
        <w:jc w:val="center"/>
        <w:ind w:right="6280"/>
        <w:spacing w:after="0"/>
        <w:rPr>
          <w:sz w:val="20"/>
          <w:szCs w:val="20"/>
          <w:color w:val="auto"/>
        </w:rPr>
      </w:pPr>
      <w:r>
        <w:rPr>
          <w:rFonts w:ascii="Arial" w:cs="Arial" w:eastAsia="Arial" w:hAnsi="Arial"/>
          <w:sz w:val="16"/>
          <w:szCs w:val="16"/>
          <w:color w:val="auto"/>
        </w:rPr>
        <w:t>value per share</w:t>
      </w:r>
    </w:p>
    <w:p>
      <w:pPr>
        <w:spacing w:after="0" w:line="392"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4"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460" w:hanging="414"/>
        <w:spacing w:after="0" w:line="23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89" w:right="6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3" w:lineRule="exact"/>
        <w:rPr>
          <w:sz w:val="20"/>
          <w:szCs w:val="20"/>
          <w:color w:val="auto"/>
        </w:rPr>
      </w:pPr>
    </w:p>
    <w:p>
      <w:pPr>
        <w:ind w:firstLine="180"/>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74" w:lineRule="exact"/>
        <w:rPr>
          <w:sz w:val="20"/>
          <w:szCs w:val="20"/>
          <w:color w:val="auto"/>
        </w:rPr>
      </w:pPr>
    </w:p>
    <w:p>
      <w:pPr>
        <w:ind w:right="40" w:firstLine="180"/>
        <w:spacing w:after="0" w:line="253" w:lineRule="auto"/>
        <w:rPr>
          <w:sz w:val="20"/>
          <w:szCs w:val="20"/>
          <w:color w:val="auto"/>
        </w:rPr>
      </w:pPr>
      <w:r>
        <w:rPr>
          <w:rFonts w:ascii="Arial" w:cs="Arial" w:eastAsia="Arial" w:hAnsi="Arial"/>
          <w:sz w:val="22"/>
          <w:szCs w:val="22"/>
          <w:color w:val="auto"/>
        </w:rPr>
        <w:t>On November 4, 2021, Federal Realty Investment Trust issued supplemental data pertaining to its operations, as well as a press release, to report its financial results for the quarter ended September 30, 2021. The supplemental data and press release are furnished as Exhibit 99.1 hereto.</w:t>
      </w:r>
    </w:p>
    <w:p>
      <w:pPr>
        <w:spacing w:after="0" w:line="206"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53"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47" w:lineRule="exact"/>
        <w:rPr>
          <w:sz w:val="20"/>
          <w:szCs w:val="20"/>
          <w:color w:val="auto"/>
        </w:rPr>
      </w:pPr>
    </w:p>
    <w:p>
      <w:pPr>
        <w:ind w:left="180"/>
        <w:spacing w:after="0"/>
        <w:tabs>
          <w:tab w:leader="none" w:pos="78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September 30, 2021 (including press release dated November 4, 2021)</w:t>
      </w:r>
    </w:p>
    <w:p>
      <w:pPr>
        <w:spacing w:after="0" w:line="260"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19"/>
          <w:szCs w:val="19"/>
          <w:color w:val="auto"/>
        </w:rPr>
        <w:t>104</w:t>
        <w:tab/>
        <w:t>Cover Page Interactive Data File (the Cover Page Interactive Data File is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96" w:lineRule="exact"/>
        <w:rPr>
          <w:sz w:val="20"/>
          <w:szCs w:val="20"/>
          <w:color w:val="auto"/>
        </w:rPr>
      </w:pPr>
    </w:p>
    <w:p>
      <w:pPr>
        <w:ind w:right="140" w:firstLine="180"/>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FEDERAL REALTY INVESTMENT TRUST</w:t>
      </w:r>
    </w:p>
    <w:p>
      <w:pPr>
        <w:spacing w:after="0" w:line="293" w:lineRule="exact"/>
        <w:rPr>
          <w:sz w:val="20"/>
          <w:szCs w:val="20"/>
          <w:color w:val="auto"/>
        </w:rPr>
      </w:pPr>
    </w:p>
    <w:p>
      <w:pPr>
        <w:ind w:left="1040"/>
        <w:spacing w:after="0"/>
        <w:tabs>
          <w:tab w:leader="none" w:pos="1760" w:val="left"/>
          <w:tab w:leader="none" w:pos="4980" w:val="left"/>
        </w:tabs>
        <w:rPr>
          <w:sz w:val="20"/>
          <w:szCs w:val="20"/>
          <w:color w:val="auto"/>
        </w:rPr>
      </w:pPr>
      <w:r>
        <w:rPr>
          <w:rFonts w:ascii="Arial" w:cs="Arial" w:eastAsia="Arial" w:hAnsi="Arial"/>
          <w:sz w:val="22"/>
          <w:szCs w:val="22"/>
          <w:color w:val="auto"/>
        </w:rPr>
        <w:t>Date:</w:t>
        <w:tab/>
        <w:t>November 4, 2021</w:t>
      </w:r>
      <w:r>
        <w:rPr>
          <w:sz w:val="20"/>
          <w:szCs w:val="20"/>
          <w:color w:val="auto"/>
        </w:rPr>
        <w:tab/>
      </w:r>
      <w:r>
        <w:rPr>
          <w:rFonts w:ascii="Arial" w:cs="Arial" w:eastAsia="Arial" w:hAnsi="Arial"/>
          <w:sz w:val="19"/>
          <w:szCs w:val="19"/>
          <w:u w:val="single" w:color="auto"/>
          <w:color w:val="auto"/>
        </w:rPr>
        <w:t>/s/ Daniel Guglielmone</w:t>
      </w:r>
    </w:p>
    <w:p>
      <w:pPr>
        <w:spacing w:after="0" w:line="28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Daniel Guglielmone</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Executive Vice President-</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1071880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00" w:type="dxa"/>
            <w:vAlign w:val="bottom"/>
          </w:tcPr>
          <w:p>
            <w:pPr>
              <w:ind w:left="2900"/>
              <w:spacing w:after="0"/>
              <w:rPr>
                <w:sz w:val="20"/>
                <w:szCs w:val="20"/>
                <w:color w:val="auto"/>
              </w:rPr>
            </w:pPr>
            <w:r>
              <w:rPr>
                <w:rFonts w:ascii="Arial" w:cs="Arial" w:eastAsia="Arial" w:hAnsi="Arial"/>
                <w:sz w:val="22"/>
                <w:szCs w:val="22"/>
                <w:color w:val="auto"/>
              </w:rPr>
              <w:t>EXHIBIT INDEX</w:t>
            </w:r>
          </w:p>
        </w:tc>
      </w:tr>
      <w:tr>
        <w:trPr>
          <w:trHeight w:val="705"/>
        </w:trPr>
        <w:tc>
          <w:tcPr>
            <w:tcW w:w="20" w:type="dxa"/>
            <w:vAlign w:val="bottom"/>
          </w:tcPr>
          <w:p>
            <w:pPr>
              <w:spacing w:after="0"/>
              <w:rPr>
                <w:sz w:val="24"/>
                <w:szCs w:val="24"/>
                <w:color w:val="auto"/>
              </w:rPr>
            </w:pPr>
          </w:p>
        </w:tc>
        <w:tc>
          <w:tcPr>
            <w:tcW w:w="190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 Number</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2"/>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40" w:type="dxa"/>
            <w:vAlign w:val="bottom"/>
          </w:tcPr>
          <w:p>
            <w:pPr>
              <w:spacing w:after="0"/>
              <w:rPr>
                <w:sz w:val="15"/>
                <w:szCs w:val="15"/>
                <w:color w:val="auto"/>
              </w:rPr>
            </w:pPr>
          </w:p>
        </w:tc>
        <w:tc>
          <w:tcPr>
            <w:tcW w:w="93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Supplemental Information at September 30, 2021</w:t>
            </w:r>
          </w:p>
        </w:tc>
      </w:tr>
      <w:tr>
        <w:trPr>
          <w:trHeight w:val="304"/>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9"/>
              </w:rPr>
              <w:t>104</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Arial" w:cs="Arial" w:eastAsia="Arial" w:hAnsi="Arial"/>
                <w:sz w:val="18"/>
                <w:szCs w:val="18"/>
                <w:color w:val="auto"/>
                <w:w w:val="98"/>
              </w:rPr>
              <w:t>Cover Page Interactive Data File (the Cover Page Interactive Data File is embedded within the Inline XBRL Document</w:t>
            </w:r>
          </w:p>
        </w:tc>
      </w:tr>
    </w:tbl>
    <w:p>
      <w:pPr>
        <w:sectPr>
          <w:pgSz w:w="11900" w:h="16838" w:orient="portrait"/>
          <w:cols w:equalWidth="0" w:num="1">
            <w:col w:w="11220"/>
          </w:cols>
          <w:pgMar w:left="320" w:top="901" w:right="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SUPPLEMENTAL INFORMATION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September 30, 2021</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1</w:t>
            </w: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Third Quarter 2021 Earnings Press Release</w:t>
            </w:r>
          </w:p>
        </w:tc>
        <w:tc>
          <w:tcPr>
            <w:tcW w:w="1860" w:type="dxa"/>
            <w:vAlign w:val="bottom"/>
            <w:gridSpan w:val="4"/>
            <w:shd w:val="clear" w:color="auto" w:fill="CCEEFF"/>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16"/>
        </w:trPr>
        <w:tc>
          <w:tcPr>
            <w:tcW w:w="460" w:type="dxa"/>
            <w:vAlign w:val="bottom"/>
            <w:tcBorders>
              <w:top w:val="single" w:sz="8" w:color="CCEEFF"/>
            </w:tcBorders>
          </w:tcPr>
          <w:p>
            <w:pPr>
              <w:spacing w:after="0"/>
              <w:rPr>
                <w:sz w:val="18"/>
                <w:szCs w:val="18"/>
                <w:color w:val="auto"/>
              </w:rPr>
            </w:pPr>
          </w:p>
        </w:tc>
        <w:tc>
          <w:tcPr>
            <w:tcW w:w="69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29"/>
        </w:trPr>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2</w:t>
            </w: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Highlights</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Arial" w:cs="Arial" w:eastAsia="Arial" w:hAnsi="Arial"/>
                <w:sz w:val="18"/>
                <w:szCs w:val="18"/>
                <w:color w:val="auto"/>
              </w:rPr>
              <w:t>Consolidated Income Statements</w:t>
            </w:r>
          </w:p>
        </w:tc>
        <w:tc>
          <w:tcPr>
            <w:tcW w:w="1860" w:type="dxa"/>
            <w:vAlign w:val="bottom"/>
            <w:gridSpan w:val="4"/>
          </w:tcPr>
          <w:p>
            <w:pPr>
              <w:jc w:val="right"/>
              <w:ind w:right="20"/>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1"/>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0" w:type="dxa"/>
            <w:vAlign w:val="bottom"/>
            <w:tcBorders>
              <w:bottom w:val="single" w:sz="8" w:color="CCEEFF"/>
            </w:tcBorders>
            <w:shd w:val="clear" w:color="auto" w:fill="CCEEFF"/>
          </w:tcPr>
          <w:p>
            <w:pPr>
              <w:spacing w:after="0"/>
              <w:rPr>
                <w:sz w:val="18"/>
                <w:szCs w:val="18"/>
                <w:color w:val="auto"/>
              </w:rPr>
            </w:pPr>
          </w:p>
        </w:tc>
        <w:tc>
          <w:tcPr>
            <w:tcW w:w="6980" w:type="dxa"/>
            <w:vAlign w:val="bottom"/>
            <w:tcBorders>
              <w:bottom w:val="single" w:sz="8" w:color="CCEEFF"/>
            </w:tcBorders>
            <w:shd w:val="clear" w:color="auto" w:fill="CCEEFF"/>
          </w:tcPr>
          <w:p>
            <w:pPr>
              <w:ind w:left="1140"/>
              <w:spacing w:after="0" w:line="189" w:lineRule="exact"/>
              <w:rPr>
                <w:sz w:val="20"/>
                <w:szCs w:val="20"/>
                <w:color w:val="auto"/>
              </w:rPr>
            </w:pPr>
            <w:r>
              <w:rPr>
                <w:rFonts w:ascii="Arial" w:cs="Arial" w:eastAsia="Arial" w:hAnsi="Arial"/>
                <w:sz w:val="18"/>
                <w:szCs w:val="18"/>
                <w:color w:val="auto"/>
              </w:rPr>
              <w:t>Consolidated Balance Sheets</w:t>
            </w:r>
          </w:p>
        </w:tc>
        <w:tc>
          <w:tcPr>
            <w:tcW w:w="17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8</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Arial" w:cs="Arial" w:eastAsia="Arial" w:hAnsi="Arial"/>
                <w:sz w:val="18"/>
                <w:szCs w:val="18"/>
                <w:color w:val="auto"/>
              </w:rPr>
              <w:t>Funds From Operations / Other Supplemental Information</w:t>
            </w:r>
          </w:p>
        </w:tc>
        <w:tc>
          <w:tcPr>
            <w:tcW w:w="1860" w:type="dxa"/>
            <w:vAlign w:val="bottom"/>
            <w:gridSpan w:val="4"/>
          </w:tcPr>
          <w:p>
            <w:pPr>
              <w:jc w:val="right"/>
              <w:ind w:right="20"/>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20"/>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0" w:type="dxa"/>
            <w:vAlign w:val="bottom"/>
            <w:shd w:val="clear" w:color="auto" w:fill="CCEEFF"/>
          </w:tcPr>
          <w:p>
            <w:pPr>
              <w:spacing w:after="0"/>
              <w:rPr>
                <w:sz w:val="18"/>
                <w:szCs w:val="18"/>
                <w:color w:val="auto"/>
              </w:rPr>
            </w:pPr>
          </w:p>
        </w:tc>
        <w:tc>
          <w:tcPr>
            <w:tcW w:w="6980" w:type="dxa"/>
            <w:vAlign w:val="bottom"/>
            <w:shd w:val="clear" w:color="auto" w:fill="CCEEFF"/>
          </w:tcPr>
          <w:p>
            <w:pPr>
              <w:ind w:left="1140"/>
              <w:spacing w:after="0" w:line="189" w:lineRule="exact"/>
              <w:rPr>
                <w:sz w:val="20"/>
                <w:szCs w:val="20"/>
                <w:color w:val="auto"/>
              </w:rPr>
            </w:pPr>
            <w:r>
              <w:rPr>
                <w:rFonts w:ascii="Arial" w:cs="Arial" w:eastAsia="Arial" w:hAnsi="Arial"/>
                <w:sz w:val="18"/>
                <w:szCs w:val="18"/>
                <w:color w:val="auto"/>
              </w:rPr>
              <w:t>COVID-19 Collectibility Related Impacts</w:t>
            </w:r>
          </w:p>
        </w:tc>
        <w:tc>
          <w:tcPr>
            <w:tcW w:w="18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10</w:t>
              </w:r>
            </w:hyperlink>
          </w:p>
        </w:tc>
        <w:tc>
          <w:tcPr>
            <w:tcW w:w="20" w:type="dxa"/>
            <w:vAlign w:val="bottom"/>
            <w:shd w:val="clear" w:color="auto" w:fill="CCEEFF"/>
          </w:tcPr>
          <w:p>
            <w:pPr>
              <w:spacing w:after="0"/>
              <w:rPr>
                <w:sz w:val="18"/>
                <w:szCs w:val="18"/>
                <w:color w:val="auto"/>
              </w:rPr>
            </w:pPr>
          </w:p>
        </w:tc>
      </w:tr>
      <w:tr>
        <w:trPr>
          <w:trHeight w:val="189"/>
        </w:trPr>
        <w:tc>
          <w:tcPr>
            <w:tcW w:w="460" w:type="dxa"/>
            <w:vAlign w:val="bottom"/>
            <w:tcBorders>
              <w:top w:val="single" w:sz="8" w:color="CCEEFF"/>
            </w:tcBorders>
          </w:tcPr>
          <w:p>
            <w:pPr>
              <w:spacing w:after="0"/>
              <w:rPr>
                <w:sz w:val="16"/>
                <w:szCs w:val="16"/>
                <w:color w:val="auto"/>
              </w:rPr>
            </w:pPr>
          </w:p>
        </w:tc>
        <w:tc>
          <w:tcPr>
            <w:tcW w:w="6980" w:type="dxa"/>
            <w:vAlign w:val="bottom"/>
            <w:tcBorders>
              <w:top w:val="single" w:sz="8" w:color="CCEEFF"/>
            </w:tcBorders>
          </w:tcPr>
          <w:p>
            <w:pPr>
              <w:ind w:left="1140"/>
              <w:spacing w:after="0" w:line="189" w:lineRule="exact"/>
              <w:rPr>
                <w:sz w:val="20"/>
                <w:szCs w:val="20"/>
                <w:color w:val="auto"/>
              </w:rPr>
            </w:pPr>
            <w:r>
              <w:rPr>
                <w:rFonts w:ascii="Arial" w:cs="Arial" w:eastAsia="Arial" w:hAnsi="Arial"/>
                <w:sz w:val="18"/>
                <w:szCs w:val="18"/>
                <w:color w:val="auto"/>
              </w:rPr>
              <w:t>Components of Rental Income</w:t>
            </w:r>
          </w:p>
        </w:tc>
        <w:tc>
          <w:tcPr>
            <w:tcW w:w="1660" w:type="dxa"/>
            <w:vAlign w:val="bottom"/>
            <w:tcBorders>
              <w:top w:val="single" w:sz="8" w:color="CCEEFF"/>
            </w:tcBorders>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line="189"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c>
          <w:tcPr>
            <w:tcW w:w="20" w:type="dxa"/>
            <w:vAlign w:val="bottom"/>
            <w:tcBorders>
              <w:top w:val="single" w:sz="8" w:color="CCEEFF"/>
            </w:tcBorders>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6980" w:type="dxa"/>
            <w:vAlign w:val="bottom"/>
            <w:shd w:val="clear" w:color="auto" w:fill="CCEEFF"/>
          </w:tcPr>
          <w:p>
            <w:pPr>
              <w:ind w:left="1140"/>
              <w:spacing w:after="0" w:line="189" w:lineRule="exact"/>
              <w:rPr>
                <w:sz w:val="20"/>
                <w:szCs w:val="20"/>
                <w:color w:val="auto"/>
              </w:rPr>
            </w:pPr>
            <w:r>
              <w:rPr>
                <w:rFonts w:ascii="Arial" w:cs="Arial" w:eastAsia="Arial" w:hAnsi="Arial"/>
                <w:sz w:val="18"/>
                <w:szCs w:val="18"/>
                <w:color w:val="auto"/>
              </w:rPr>
              <w:t>Comparable Property Information</w:t>
            </w:r>
          </w:p>
        </w:tc>
        <w:tc>
          <w:tcPr>
            <w:tcW w:w="18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12</w:t>
              </w:r>
            </w:hyperlink>
          </w:p>
        </w:tc>
        <w:tc>
          <w:tcPr>
            <w:tcW w:w="20" w:type="dxa"/>
            <w:vAlign w:val="bottom"/>
            <w:shd w:val="clear" w:color="auto" w:fill="CCEEFF"/>
          </w:tcPr>
          <w:p>
            <w:pPr>
              <w:spacing w:after="0"/>
              <w:rPr>
                <w:sz w:val="16"/>
                <w:szCs w:val="16"/>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Arial" w:cs="Arial" w:eastAsia="Arial" w:hAnsi="Arial"/>
                <w:sz w:val="18"/>
                <w:szCs w:val="18"/>
                <w:color w:val="auto"/>
              </w:rPr>
              <w:t>Market Data</w:t>
            </w:r>
          </w:p>
        </w:tc>
        <w:tc>
          <w:tcPr>
            <w:tcW w:w="1840" w:type="dxa"/>
            <w:vAlign w:val="bottom"/>
            <w:gridSpan w:val="3"/>
          </w:tcPr>
          <w:p>
            <w:pPr>
              <w:jc w:val="right"/>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13</w:t>
              </w:r>
            </w:hyperlink>
          </w:p>
        </w:tc>
        <w:tc>
          <w:tcPr>
            <w:tcW w:w="20" w:type="dxa"/>
            <w:vAlign w:val="bottom"/>
          </w:tcPr>
          <w:p>
            <w:pPr>
              <w:spacing w:after="0"/>
              <w:rPr>
                <w:sz w:val="16"/>
                <w:szCs w:val="16"/>
                <w:color w:val="auto"/>
              </w:rPr>
            </w:pPr>
          </w:p>
        </w:tc>
      </w:tr>
      <w:tr>
        <w:trPr>
          <w:trHeight w:val="21"/>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ind w:left="800" w:hanging="789"/>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shd w:val="clear" w:color="auto" w:fill="CCEEFF"/>
          </w:tcPr>
          <w:p>
            <w:pPr>
              <w:spacing w:after="0"/>
              <w:rPr>
                <w:sz w:val="17"/>
                <w:szCs w:val="17"/>
                <w:color w:val="auto"/>
              </w:rPr>
            </w:pPr>
          </w:p>
        </w:tc>
        <w:tc>
          <w:tcPr>
            <w:tcW w:w="65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w:t>
            </w:r>
          </w:p>
        </w:tc>
        <w:tc>
          <w:tcPr>
            <w:tcW w:w="2200" w:type="dxa"/>
            <w:vAlign w:val="bottom"/>
            <w:gridSpan w:val="2"/>
            <w:shd w:val="clear" w:color="auto" w:fill="CCEEFF"/>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14</w:t>
              </w:r>
            </w:hyperlink>
          </w:p>
        </w:tc>
        <w:tc>
          <w:tcPr>
            <w:tcW w:w="20" w:type="dxa"/>
            <w:vAlign w:val="bottom"/>
            <w:shd w:val="clear" w:color="auto" w:fill="CCEEFF"/>
          </w:tcPr>
          <w:p>
            <w:pPr>
              <w:spacing w:after="0"/>
              <w:rPr>
                <w:sz w:val="17"/>
                <w:szCs w:val="17"/>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6580" w:type="dxa"/>
            <w:vAlign w:val="bottom"/>
          </w:tcPr>
          <w:p>
            <w:pPr>
              <w:ind w:left="1100"/>
              <w:spacing w:after="0" w:line="189" w:lineRule="exact"/>
              <w:rPr>
                <w:sz w:val="20"/>
                <w:szCs w:val="20"/>
                <w:color w:val="auto"/>
              </w:rPr>
            </w:pPr>
            <w:r>
              <w:rPr>
                <w:rFonts w:ascii="Arial" w:cs="Arial" w:eastAsia="Arial" w:hAnsi="Arial"/>
                <w:sz w:val="18"/>
                <w:szCs w:val="18"/>
                <w:color w:val="auto"/>
              </w:rPr>
              <w:t>Summary of Debt Maturities</w:t>
            </w:r>
          </w:p>
        </w:tc>
        <w:tc>
          <w:tcPr>
            <w:tcW w:w="2200" w:type="dxa"/>
            <w:vAlign w:val="bottom"/>
            <w:gridSpan w:val="2"/>
          </w:tcPr>
          <w:p>
            <w:pPr>
              <w:jc w:val="right"/>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16</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4</w:t>
            </w:r>
          </w:p>
        </w:tc>
        <w:tc>
          <w:tcPr>
            <w:tcW w:w="6580" w:type="dxa"/>
            <w:vAlign w:val="bottom"/>
          </w:tcPr>
          <w:p>
            <w:pPr>
              <w:ind w:left="300"/>
              <w:spacing w:after="0" w:line="189" w:lineRule="exact"/>
              <w:rPr>
                <w:sz w:val="20"/>
                <w:szCs w:val="20"/>
                <w:color w:val="auto"/>
              </w:rPr>
            </w:pPr>
            <w:r>
              <w:rPr>
                <w:rFonts w:ascii="Arial" w:cs="Arial" w:eastAsia="Arial" w:hAnsi="Arial"/>
                <w:sz w:val="18"/>
                <w:szCs w:val="18"/>
                <w:color w:val="auto"/>
              </w:rPr>
              <w:t>Summary of Redevelopment Opportunities</w:t>
            </w:r>
          </w:p>
        </w:tc>
        <w:tc>
          <w:tcPr>
            <w:tcW w:w="2200" w:type="dxa"/>
            <w:vAlign w:val="bottom"/>
            <w:gridSpan w:val="2"/>
          </w:tcPr>
          <w:p>
            <w:pPr>
              <w:jc w:val="right"/>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17</w:t>
              </w:r>
            </w:hyperlink>
          </w:p>
        </w:tc>
        <w:tc>
          <w:tcPr>
            <w:tcW w:w="20" w:type="dxa"/>
            <w:vAlign w:val="bottom"/>
          </w:tcPr>
          <w:p>
            <w:pPr>
              <w:spacing w:after="0"/>
              <w:rPr>
                <w:sz w:val="16"/>
                <w:szCs w:val="16"/>
                <w:color w:val="auto"/>
              </w:rPr>
            </w:pPr>
          </w:p>
        </w:tc>
      </w:tr>
      <w:tr>
        <w:trPr>
          <w:trHeight w:val="21"/>
        </w:trPr>
        <w:tc>
          <w:tcPr>
            <w:tcW w:w="5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5</w:t>
            </w:r>
          </w:p>
        </w:tc>
        <w:tc>
          <w:tcPr>
            <w:tcW w:w="6580" w:type="dxa"/>
            <w:vAlign w:val="bottom"/>
          </w:tcPr>
          <w:p>
            <w:pPr>
              <w:ind w:left="300"/>
              <w:spacing w:after="0" w:line="189" w:lineRule="exact"/>
              <w:rPr>
                <w:sz w:val="20"/>
                <w:szCs w:val="20"/>
                <w:color w:val="auto"/>
              </w:rPr>
            </w:pPr>
            <w:r>
              <w:rPr>
                <w:rFonts w:ascii="Arial" w:cs="Arial" w:eastAsia="Arial" w:hAnsi="Arial"/>
                <w:sz w:val="18"/>
                <w:szCs w:val="18"/>
                <w:color w:val="auto"/>
              </w:rPr>
              <w:t>Assembly Row, Pike &amp; Rose, and Santana Row</w:t>
            </w:r>
          </w:p>
        </w:tc>
        <w:tc>
          <w:tcPr>
            <w:tcW w:w="2200" w:type="dxa"/>
            <w:vAlign w:val="bottom"/>
            <w:gridSpan w:val="2"/>
          </w:tcPr>
          <w:p>
            <w:pPr>
              <w:jc w:val="right"/>
              <w:spacing w:after="0" w:line="189" w:lineRule="exact"/>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00" w:type="dxa"/>
            <w:vAlign w:val="bottom"/>
            <w:shd w:val="clear" w:color="auto" w:fill="CCEEFF"/>
          </w:tcPr>
          <w:p>
            <w:pPr>
              <w:spacing w:after="0"/>
              <w:rPr>
                <w:sz w:val="23"/>
                <w:szCs w:val="23"/>
                <w:color w:val="auto"/>
              </w:rPr>
            </w:pPr>
          </w:p>
        </w:tc>
        <w:tc>
          <w:tcPr>
            <w:tcW w:w="658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6</w:t>
            </w:r>
          </w:p>
        </w:tc>
        <w:tc>
          <w:tcPr>
            <w:tcW w:w="6580" w:type="dxa"/>
            <w:vAlign w:val="bottom"/>
          </w:tcPr>
          <w:p>
            <w:pPr>
              <w:ind w:left="300"/>
              <w:spacing w:after="0" w:line="189" w:lineRule="exact"/>
              <w:rPr>
                <w:sz w:val="20"/>
                <w:szCs w:val="20"/>
                <w:color w:val="auto"/>
              </w:rPr>
            </w:pPr>
            <w:r>
              <w:rPr>
                <w:rFonts w:ascii="Arial" w:cs="Arial" w:eastAsia="Arial" w:hAnsi="Arial"/>
                <w:sz w:val="18"/>
                <w:szCs w:val="18"/>
                <w:color w:val="auto"/>
              </w:rPr>
              <w:t>Future Redevelopment Opportunities</w:t>
            </w:r>
          </w:p>
        </w:tc>
        <w:tc>
          <w:tcPr>
            <w:tcW w:w="2200" w:type="dxa"/>
            <w:vAlign w:val="bottom"/>
            <w:gridSpan w:val="2"/>
          </w:tcPr>
          <w:p>
            <w:pPr>
              <w:jc w:val="right"/>
              <w:spacing w:after="0" w:line="189" w:lineRule="exact"/>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c>
          <w:tcPr>
            <w:tcW w:w="20" w:type="dxa"/>
            <w:vAlign w:val="bottom"/>
          </w:tcPr>
          <w:p>
            <w:pPr>
              <w:spacing w:after="0"/>
              <w:rPr>
                <w:sz w:val="16"/>
                <w:szCs w:val="16"/>
                <w:color w:val="auto"/>
              </w:rPr>
            </w:pPr>
          </w:p>
        </w:tc>
      </w:tr>
      <w:tr>
        <w:trPr>
          <w:trHeight w:val="21"/>
        </w:trPr>
        <w:tc>
          <w:tcPr>
            <w:tcW w:w="5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7</w:t>
            </w:r>
          </w:p>
        </w:tc>
        <w:tc>
          <w:tcPr>
            <w:tcW w:w="6580" w:type="dxa"/>
            <w:vAlign w:val="bottom"/>
          </w:tcPr>
          <w:p>
            <w:pPr>
              <w:ind w:left="300"/>
              <w:spacing w:after="0" w:line="189" w:lineRule="exact"/>
              <w:rPr>
                <w:sz w:val="20"/>
                <w:szCs w:val="20"/>
                <w:color w:val="auto"/>
              </w:rPr>
            </w:pPr>
            <w:r>
              <w:rPr>
                <w:rFonts w:ascii="Arial" w:cs="Arial" w:eastAsia="Arial" w:hAnsi="Arial"/>
                <w:sz w:val="18"/>
                <w:szCs w:val="18"/>
                <w:color w:val="auto"/>
              </w:rPr>
              <w:t>Property Acquisitions, Disposition, and Other Transactions</w:t>
            </w:r>
          </w:p>
        </w:tc>
        <w:tc>
          <w:tcPr>
            <w:tcW w:w="2200" w:type="dxa"/>
            <w:vAlign w:val="bottom"/>
            <w:gridSpan w:val="2"/>
          </w:tcPr>
          <w:p>
            <w:pPr>
              <w:jc w:val="right"/>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c>
          <w:tcPr>
            <w:tcW w:w="20" w:type="dxa"/>
            <w:vAlign w:val="bottom"/>
          </w:tcPr>
          <w:p>
            <w:pPr>
              <w:spacing w:after="0"/>
              <w:rPr>
                <w:sz w:val="16"/>
                <w:szCs w:val="16"/>
                <w:color w:val="auto"/>
              </w:rPr>
            </w:pPr>
          </w:p>
        </w:tc>
      </w:tr>
      <w:tr>
        <w:trPr>
          <w:trHeight w:val="21"/>
        </w:trPr>
        <w:tc>
          <w:tcPr>
            <w:tcW w:w="5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8</w:t>
            </w:r>
          </w:p>
        </w:tc>
        <w:tc>
          <w:tcPr>
            <w:tcW w:w="6580" w:type="dxa"/>
            <w:vAlign w:val="bottom"/>
          </w:tcPr>
          <w:p>
            <w:pPr>
              <w:ind w:left="300"/>
              <w:spacing w:after="0" w:line="189" w:lineRule="exact"/>
              <w:rPr>
                <w:sz w:val="20"/>
                <w:szCs w:val="20"/>
                <w:color w:val="auto"/>
              </w:rPr>
            </w:pPr>
            <w:r>
              <w:rPr>
                <w:rFonts w:ascii="Arial" w:cs="Arial" w:eastAsia="Arial" w:hAnsi="Arial"/>
                <w:sz w:val="18"/>
                <w:szCs w:val="18"/>
                <w:color w:val="auto"/>
              </w:rPr>
              <w:t>Real Estate Status Report</w:t>
            </w:r>
          </w:p>
        </w:tc>
        <w:tc>
          <w:tcPr>
            <w:tcW w:w="2200" w:type="dxa"/>
            <w:vAlign w:val="bottom"/>
            <w:gridSpan w:val="2"/>
          </w:tcPr>
          <w:p>
            <w:pPr>
              <w:jc w:val="right"/>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9</w:t>
            </w:r>
          </w:p>
        </w:tc>
        <w:tc>
          <w:tcPr>
            <w:tcW w:w="6580" w:type="dxa"/>
            <w:vAlign w:val="bottom"/>
          </w:tcPr>
          <w:p>
            <w:pPr>
              <w:ind w:left="300"/>
              <w:spacing w:after="0" w:line="189" w:lineRule="exact"/>
              <w:rPr>
                <w:sz w:val="20"/>
                <w:szCs w:val="20"/>
                <w:color w:val="auto"/>
              </w:rPr>
            </w:pPr>
            <w:r>
              <w:rPr>
                <w:rFonts w:ascii="Arial" w:cs="Arial" w:eastAsia="Arial" w:hAnsi="Arial"/>
                <w:sz w:val="18"/>
                <w:szCs w:val="18"/>
                <w:color w:val="auto"/>
              </w:rPr>
              <w:t>Retail Leasing Summary</w:t>
            </w:r>
          </w:p>
        </w:tc>
        <w:tc>
          <w:tcPr>
            <w:tcW w:w="2200" w:type="dxa"/>
            <w:vAlign w:val="bottom"/>
            <w:gridSpan w:val="2"/>
          </w:tcPr>
          <w:p>
            <w:pPr>
              <w:jc w:val="right"/>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10</w:t>
            </w:r>
          </w:p>
        </w:tc>
        <w:tc>
          <w:tcPr>
            <w:tcW w:w="6580" w:type="dxa"/>
            <w:vAlign w:val="bottom"/>
          </w:tcPr>
          <w:p>
            <w:pPr>
              <w:ind w:left="300"/>
              <w:spacing w:after="0" w:line="189" w:lineRule="exact"/>
              <w:rPr>
                <w:sz w:val="20"/>
                <w:szCs w:val="20"/>
                <w:color w:val="auto"/>
              </w:rPr>
            </w:pPr>
            <w:r>
              <w:rPr>
                <w:rFonts w:ascii="Arial" w:cs="Arial" w:eastAsia="Arial" w:hAnsi="Arial"/>
                <w:sz w:val="18"/>
                <w:szCs w:val="18"/>
                <w:color w:val="auto"/>
              </w:rPr>
              <w:t>Lease Expirations</w:t>
            </w:r>
          </w:p>
        </w:tc>
        <w:tc>
          <w:tcPr>
            <w:tcW w:w="2200" w:type="dxa"/>
            <w:vAlign w:val="bottom"/>
            <w:gridSpan w:val="2"/>
          </w:tcPr>
          <w:p>
            <w:pPr>
              <w:jc w:val="right"/>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26</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11</w:t>
            </w:r>
          </w:p>
        </w:tc>
        <w:tc>
          <w:tcPr>
            <w:tcW w:w="6580" w:type="dxa"/>
            <w:vAlign w:val="bottom"/>
          </w:tcPr>
          <w:p>
            <w:pPr>
              <w:ind w:left="300"/>
              <w:spacing w:after="0" w:line="189" w:lineRule="exact"/>
              <w:rPr>
                <w:sz w:val="20"/>
                <w:szCs w:val="20"/>
                <w:color w:val="auto"/>
              </w:rPr>
            </w:pPr>
            <w:r>
              <w:rPr>
                <w:rFonts w:ascii="Arial" w:cs="Arial" w:eastAsia="Arial" w:hAnsi="Arial"/>
                <w:sz w:val="18"/>
                <w:szCs w:val="18"/>
                <w:color w:val="auto"/>
              </w:rPr>
              <w:t>Portfolio Leased Statistics</w:t>
            </w:r>
          </w:p>
        </w:tc>
        <w:tc>
          <w:tcPr>
            <w:tcW w:w="2200" w:type="dxa"/>
            <w:vAlign w:val="bottom"/>
            <w:gridSpan w:val="2"/>
          </w:tcPr>
          <w:p>
            <w:pPr>
              <w:jc w:val="right"/>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12</w:t>
            </w:r>
          </w:p>
        </w:tc>
        <w:tc>
          <w:tcPr>
            <w:tcW w:w="6580" w:type="dxa"/>
            <w:vAlign w:val="bottom"/>
          </w:tcPr>
          <w:p>
            <w:pPr>
              <w:ind w:left="300"/>
              <w:spacing w:after="0" w:line="189" w:lineRule="exact"/>
              <w:rPr>
                <w:sz w:val="20"/>
                <w:szCs w:val="20"/>
                <w:color w:val="auto"/>
              </w:rPr>
            </w:pPr>
            <w:r>
              <w:rPr>
                <w:rFonts w:ascii="Arial" w:cs="Arial" w:eastAsia="Arial" w:hAnsi="Arial"/>
                <w:sz w:val="18"/>
                <w:szCs w:val="18"/>
                <w:color w:val="auto"/>
              </w:rPr>
              <w:t>Summary of Top 25 Tenants</w:t>
            </w:r>
          </w:p>
        </w:tc>
        <w:tc>
          <w:tcPr>
            <w:tcW w:w="2200" w:type="dxa"/>
            <w:vAlign w:val="bottom"/>
            <w:gridSpan w:val="2"/>
          </w:tcPr>
          <w:p>
            <w:pPr>
              <w:jc w:val="right"/>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13</w:t>
            </w:r>
          </w:p>
        </w:tc>
        <w:tc>
          <w:tcPr>
            <w:tcW w:w="6580" w:type="dxa"/>
            <w:vAlign w:val="bottom"/>
          </w:tcPr>
          <w:p>
            <w:pPr>
              <w:ind w:left="300"/>
              <w:spacing w:after="0" w:line="189" w:lineRule="exact"/>
              <w:rPr>
                <w:sz w:val="20"/>
                <w:szCs w:val="20"/>
                <w:color w:val="auto"/>
              </w:rPr>
            </w:pPr>
            <w:r>
              <w:rPr>
                <w:rFonts w:ascii="Arial" w:cs="Arial" w:eastAsia="Arial" w:hAnsi="Arial"/>
                <w:sz w:val="18"/>
                <w:szCs w:val="18"/>
                <w:color w:val="auto"/>
              </w:rPr>
              <w:t>Tenant Diversification by Category</w:t>
            </w:r>
          </w:p>
        </w:tc>
        <w:tc>
          <w:tcPr>
            <w:tcW w:w="2200" w:type="dxa"/>
            <w:vAlign w:val="bottom"/>
            <w:gridSpan w:val="2"/>
          </w:tcPr>
          <w:p>
            <w:pPr>
              <w:jc w:val="right"/>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00" w:type="dxa"/>
            <w:vAlign w:val="bottom"/>
            <w:shd w:val="clear" w:color="auto" w:fill="CCEEFF"/>
          </w:tcPr>
          <w:p>
            <w:pPr>
              <w:spacing w:after="0"/>
              <w:rPr>
                <w:sz w:val="23"/>
                <w:szCs w:val="23"/>
                <w:color w:val="auto"/>
              </w:rPr>
            </w:pPr>
          </w:p>
        </w:tc>
        <w:tc>
          <w:tcPr>
            <w:tcW w:w="658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14</w:t>
            </w:r>
          </w:p>
        </w:tc>
        <w:tc>
          <w:tcPr>
            <w:tcW w:w="6580" w:type="dxa"/>
            <w:vAlign w:val="bottom"/>
          </w:tcPr>
          <w:p>
            <w:pPr>
              <w:ind w:left="300"/>
              <w:spacing w:after="0" w:line="189" w:lineRule="exact"/>
              <w:rPr>
                <w:sz w:val="20"/>
                <w:szCs w:val="20"/>
                <w:color w:val="auto"/>
              </w:rPr>
            </w:pPr>
            <w:r>
              <w:rPr>
                <w:rFonts w:ascii="Arial" w:cs="Arial" w:eastAsia="Arial" w:hAnsi="Arial"/>
                <w:sz w:val="18"/>
                <w:szCs w:val="18"/>
                <w:color w:val="auto"/>
              </w:rPr>
              <w:t>Reconciliation of FFO Guidance</w:t>
            </w:r>
          </w:p>
        </w:tc>
        <w:tc>
          <w:tcPr>
            <w:tcW w:w="2200" w:type="dxa"/>
            <w:vAlign w:val="bottom"/>
            <w:gridSpan w:val="2"/>
          </w:tcPr>
          <w:p>
            <w:pPr>
              <w:jc w:val="right"/>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00" w:type="dxa"/>
            <w:vAlign w:val="bottom"/>
            <w:shd w:val="clear" w:color="auto" w:fill="CCEEFF"/>
          </w:tcPr>
          <w:p>
            <w:pPr>
              <w:spacing w:after="0"/>
              <w:rPr>
                <w:sz w:val="23"/>
                <w:szCs w:val="23"/>
                <w:color w:val="auto"/>
              </w:rPr>
            </w:pPr>
          </w:p>
        </w:tc>
        <w:tc>
          <w:tcPr>
            <w:tcW w:w="658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15</w:t>
            </w:r>
          </w:p>
        </w:tc>
        <w:tc>
          <w:tcPr>
            <w:tcW w:w="6580" w:type="dxa"/>
            <w:vAlign w:val="bottom"/>
          </w:tcPr>
          <w:p>
            <w:pPr>
              <w:ind w:left="300"/>
              <w:spacing w:after="0" w:line="189" w:lineRule="exact"/>
              <w:rPr>
                <w:sz w:val="20"/>
                <w:szCs w:val="20"/>
                <w:color w:val="auto"/>
              </w:rPr>
            </w:pPr>
            <w:r>
              <w:rPr>
                <w:rFonts w:ascii="Arial" w:cs="Arial" w:eastAsia="Arial" w:hAnsi="Arial"/>
                <w:sz w:val="18"/>
                <w:szCs w:val="18"/>
                <w:color w:val="auto"/>
              </w:rPr>
              <w:t>Glossary of Terms</w:t>
            </w:r>
          </w:p>
        </w:tc>
        <w:tc>
          <w:tcPr>
            <w:tcW w:w="2200" w:type="dxa"/>
            <w:vAlign w:val="bottom"/>
            <w:gridSpan w:val="2"/>
          </w:tcPr>
          <w:p>
            <w:pPr>
              <w:jc w:val="right"/>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909 Rose Avenue,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5906135"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6135" cy="146050"/>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North Bethesda, Maryland 20852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06135" cy="145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6135" cy="145415"/>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301/998-8100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300"/>
          </w:cols>
          <w:pgMar w:left="1300" w:top="1026" w:right="1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11, 2021 and subsequent quarterly reports on Form 10-Q, and include the following:</w:t>
      </w:r>
    </w:p>
    <w:p>
      <w:pPr>
        <w:spacing w:after="0" w:line="1" w:lineRule="exact"/>
        <w:rPr>
          <w:sz w:val="20"/>
          <w:szCs w:val="20"/>
          <w:color w:val="auto"/>
        </w:rPr>
      </w:pPr>
    </w:p>
    <w:p>
      <w:pPr>
        <w:ind w:left="980" w:right="14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ind w:left="98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4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color w:val="auto"/>
        </w:rPr>
      </w:pPr>
    </w:p>
    <w:p>
      <w:pPr>
        <w:ind w:left="980" w:right="80" w:hanging="324"/>
        <w:spacing w:after="0" w:line="265"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i w:val="1"/>
          <w:iCs w:val="1"/>
          <w:color w:val="auto"/>
        </w:rPr>
      </w:pPr>
    </w:p>
    <w:p>
      <w:pPr>
        <w:ind w:left="980" w:right="340" w:hanging="324"/>
        <w:spacing w:after="0" w:line="281"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1" w:lineRule="exact"/>
        <w:rPr>
          <w:rFonts w:ascii="Arial" w:cs="Arial" w:eastAsia="Arial" w:hAnsi="Arial"/>
          <w:sz w:val="16"/>
          <w:szCs w:val="16"/>
          <w:color w:val="auto"/>
        </w:rPr>
      </w:pPr>
    </w:p>
    <w:p>
      <w:pPr>
        <w:jc w:val="both"/>
        <w:ind w:left="980" w:right="40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8"/>
          <w:szCs w:val="18"/>
          <w:color w:val="auto"/>
        </w:rPr>
      </w:pPr>
    </w:p>
    <w:p>
      <w:pPr>
        <w:ind w:left="980" w:right="20" w:hanging="324"/>
        <w:spacing w:after="0" w:line="253"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11, 2021 and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891"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757555</wp:posOffset>
            </wp:positionV>
            <wp:extent cx="2451735" cy="960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4517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8560" w:val="left"/>
        </w:tabs>
        <w:rPr>
          <w:sz w:val="20"/>
          <w:szCs w:val="20"/>
          <w:color w:val="auto"/>
        </w:rPr>
      </w:pPr>
      <w:r>
        <w:rPr>
          <w:rFonts w:ascii="Arial" w:cs="Arial" w:eastAsia="Arial" w:hAnsi="Arial"/>
          <w:sz w:val="17"/>
          <w:szCs w:val="17"/>
          <w:b w:val="1"/>
          <w:bCs w:val="1"/>
          <w:color w:val="auto"/>
        </w:rPr>
        <w:t>NEWS RELEASE</w:t>
      </w:r>
      <w:r>
        <w:rPr>
          <w:sz w:val="20"/>
          <w:szCs w:val="20"/>
          <w:color w:val="auto"/>
        </w:rPr>
        <w:tab/>
      </w:r>
      <w:r>
        <w:rPr>
          <w:rFonts w:ascii="Arial" w:cs="Arial" w:eastAsia="Arial" w:hAnsi="Arial"/>
          <w:sz w:val="16"/>
          <w:szCs w:val="16"/>
          <w:b w:val="1"/>
          <w:bCs w:val="1"/>
          <w:color w:val="auto"/>
        </w:rPr>
        <w:t>www.federalrealty.com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626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6225" cy="17145"/>
                    </a:xfrm>
                    <a:prstGeom prst="rect">
                      <a:avLst/>
                    </a:prstGeom>
                    <a:noFill/>
                  </pic:spPr>
                </pic:pic>
              </a:graphicData>
            </a:graphic>
          </wp:anchor>
        </w:drawing>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FOR IMMEDIATE RELEASE</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Investor and Media Inquiries: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Brenda Pomar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Director, Corporate Communications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301.998.8316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bpomar@federalrealty.com</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Federal Realty Investment Trust Announces Third Quarter 2021 Operating Results</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NORTH BETHESDA, Md. (November 4, 2021) - </w:t>
      </w:r>
      <w:r>
        <w:rPr>
          <w:rFonts w:ascii="Arial" w:cs="Arial" w:eastAsia="Arial" w:hAnsi="Arial"/>
          <w:sz w:val="17"/>
          <w:szCs w:val="17"/>
          <w:u w:val="single" w:color="auto"/>
          <w:color w:val="auto"/>
        </w:rPr>
        <w:t>Federal Realty Investment Trust</w:t>
      </w:r>
      <w:r>
        <w:rPr>
          <w:rFonts w:ascii="Arial" w:cs="Arial" w:eastAsia="Arial" w:hAnsi="Arial"/>
          <w:sz w:val="17"/>
          <w:szCs w:val="17"/>
          <w:color w:val="auto"/>
        </w:rPr>
        <w:t xml:space="preserve"> (NYSE:FRT) today reported operating results for its third quarter</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ended September 30, 2021. For the three months ended September 30, 2021 and 2020, net income (loss) available for common shareholders was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$0.64 per diluted share and ($0.41) per diluted share,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Highlights for the quarter and subsequent events include:</w:t>
      </w:r>
    </w:p>
    <w:p>
      <w:pPr>
        <w:spacing w:after="0" w:line="250" w:lineRule="exact"/>
        <w:rPr>
          <w:sz w:val="20"/>
          <w:szCs w:val="20"/>
          <w:color w:val="auto"/>
        </w:rPr>
      </w:pPr>
    </w:p>
    <w:p>
      <w:pPr>
        <w:ind w:left="660" w:right="20" w:hanging="328"/>
        <w:spacing w:after="0" w:line="36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Generated funds from operations available to common shareholders (FFO) per diluted share of $1.51 for the quarter compared to $1.12 for the third quarter 2020.</w:t>
      </w:r>
    </w:p>
    <w:p>
      <w:pPr>
        <w:spacing w:after="0" w:line="1" w:lineRule="exact"/>
        <w:rPr>
          <w:rFonts w:ascii="Arial" w:cs="Arial" w:eastAsia="Arial" w:hAnsi="Arial"/>
          <w:sz w:val="17"/>
          <w:szCs w:val="17"/>
          <w:color w:val="auto"/>
        </w:rPr>
      </w:pPr>
    </w:p>
    <w:p>
      <w:pPr>
        <w:ind w:left="660" w:right="320" w:hanging="328"/>
        <w:spacing w:after="0" w:line="36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Strong levels of leasing activity with 119 signed leases for 430,234 square feet of comparable space during third quarter and 346 signed leases for 1.5 million square feet of comparable space through the first nine months of 2021.</w:t>
      </w:r>
    </w:p>
    <w:p>
      <w:pPr>
        <w:spacing w:after="0" w:line="1"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Federal Realty’s portfolio was 90.2% occupied, a sequential increase of 60 basis points.</w:t>
      </w:r>
    </w:p>
    <w:p>
      <w:pPr>
        <w:spacing w:after="0" w:line="101"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260 basis point spread between leased and occupied</w:t>
      </w:r>
    </w:p>
    <w:p>
      <w:pPr>
        <w:spacing w:after="0" w:line="101" w:lineRule="exact"/>
        <w:rPr>
          <w:rFonts w:ascii="Arial" w:cs="Arial" w:eastAsia="Arial" w:hAnsi="Arial"/>
          <w:sz w:val="17"/>
          <w:szCs w:val="17"/>
          <w:color w:val="auto"/>
        </w:rPr>
      </w:pPr>
    </w:p>
    <w:p>
      <w:pPr>
        <w:ind w:left="660" w:hanging="328"/>
        <w:spacing w:after="0" w:line="36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Acquired Twinbrooke Shopping Centre in Fairfax, Virginia, bringing the COVID-era, off-market acquisitions total to 5 properties, 1.9 million square feet and 135 acres.</w:t>
      </w:r>
    </w:p>
    <w:p>
      <w:pPr>
        <w:spacing w:after="0" w:line="1" w:lineRule="exact"/>
        <w:rPr>
          <w:rFonts w:ascii="Arial" w:cs="Arial" w:eastAsia="Arial" w:hAnsi="Arial"/>
          <w:sz w:val="17"/>
          <w:szCs w:val="17"/>
          <w:color w:val="auto"/>
        </w:rPr>
      </w:pPr>
    </w:p>
    <w:p>
      <w:pPr>
        <w:ind w:left="660" w:hanging="328"/>
        <w:spacing w:after="0" w:line="364"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Increased 2021 earnings per diluted share guidance to $2.30 to $2.35 and increased 2021 FFO per diluted share guidance to $5.45 to $5.50.</w:t>
      </w:r>
    </w:p>
    <w:p>
      <w:pPr>
        <w:spacing w:after="0" w:line="1" w:lineRule="exact"/>
        <w:rPr>
          <w:rFonts w:ascii="Arial" w:cs="Arial" w:eastAsia="Arial" w:hAnsi="Arial"/>
          <w:sz w:val="17"/>
          <w:szCs w:val="17"/>
          <w:color w:val="auto"/>
        </w:rPr>
      </w:pPr>
    </w:p>
    <w:p>
      <w:pPr>
        <w:ind w:left="660" w:hanging="328"/>
        <w:spacing w:after="0" w:line="375"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Increased 2022 earnings per diluted share guidance to $2.25 to $2.45 and increased 2022 FFO per diluted share guidance to $5.65 to $5.85.</w:t>
      </w:r>
    </w:p>
    <w:p>
      <w:pPr>
        <w:spacing w:after="0" w:line="118" w:lineRule="exact"/>
        <w:rPr>
          <w:sz w:val="20"/>
          <w:szCs w:val="20"/>
          <w:color w:val="auto"/>
        </w:rPr>
      </w:pPr>
    </w:p>
    <w:p>
      <w:pPr>
        <w:ind w:right="100"/>
        <w:spacing w:after="0" w:line="368" w:lineRule="auto"/>
        <w:rPr>
          <w:sz w:val="20"/>
          <w:szCs w:val="20"/>
          <w:color w:val="auto"/>
        </w:rPr>
      </w:pPr>
      <w:r>
        <w:rPr>
          <w:rFonts w:ascii="Arial" w:cs="Arial" w:eastAsia="Arial" w:hAnsi="Arial"/>
          <w:sz w:val="17"/>
          <w:szCs w:val="17"/>
          <w:color w:val="auto"/>
        </w:rPr>
        <w:t>“Strong results from all facets of our business were on full display in the third quarter,” said Donald C. Wood, Chief Executive Officer. “Collections have improved dramatically, new and exciting retail and office tenants are committing to long term leases at a very brisk pace, and our development and acquisition pipeline have never been more active. We’re more confident than ever that the places we create and the markets that we’re in are spot on in a post COVID world.”</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Financial Results</w:t>
      </w:r>
    </w:p>
    <w:p>
      <w:pPr>
        <w:spacing w:after="0" w:line="270" w:lineRule="exact"/>
        <w:rPr>
          <w:sz w:val="20"/>
          <w:szCs w:val="20"/>
          <w:color w:val="auto"/>
        </w:rPr>
      </w:pPr>
    </w:p>
    <w:p>
      <w:pPr>
        <w:spacing w:after="0" w:line="375" w:lineRule="auto"/>
        <w:rPr>
          <w:sz w:val="20"/>
          <w:szCs w:val="20"/>
          <w:color w:val="auto"/>
        </w:rPr>
      </w:pPr>
      <w:r>
        <w:rPr>
          <w:rFonts w:ascii="Arial" w:cs="Arial" w:eastAsia="Arial" w:hAnsi="Arial"/>
          <w:sz w:val="17"/>
          <w:szCs w:val="17"/>
          <w:color w:val="auto"/>
        </w:rPr>
        <w:t>Net income (loss) available for common shareholders was $50.1 million and earnings per diluted share was $0.64 for third quarter 2021 versus ($30.3) million and ($0.41) which includes the $50.7 million net impairment charge relating to The Shops at Sunset Place for third quarter 2020.</w:t>
      </w:r>
    </w:p>
    <w:p>
      <w:pPr>
        <w:spacing w:after="0" w:line="118" w:lineRule="exact"/>
        <w:rPr>
          <w:sz w:val="20"/>
          <w:szCs w:val="20"/>
          <w:color w:val="auto"/>
        </w:rPr>
      </w:pPr>
    </w:p>
    <w:p>
      <w:pPr>
        <w:spacing w:after="0" w:line="375" w:lineRule="auto"/>
        <w:rPr>
          <w:sz w:val="20"/>
          <w:szCs w:val="20"/>
          <w:color w:val="auto"/>
        </w:rPr>
      </w:pPr>
      <w:r>
        <w:rPr>
          <w:rFonts w:ascii="Arial" w:cs="Arial" w:eastAsia="Arial" w:hAnsi="Arial"/>
          <w:sz w:val="17"/>
          <w:szCs w:val="17"/>
          <w:color w:val="auto"/>
        </w:rPr>
        <w:t>In the third quarter 2021, Federal Realty generated FFO of $118.0 million, or $1.51 per diluted share. This compares to FFO of $85.0 million, or $1.12 per diluted share, in third quarter 2020.</w:t>
      </w:r>
    </w:p>
    <w:p>
      <w:pPr>
        <w:spacing w:after="0" w:line="132" w:lineRule="exact"/>
        <w:rPr>
          <w:sz w:val="20"/>
          <w:szCs w:val="20"/>
          <w:color w:val="auto"/>
        </w:rPr>
      </w:pPr>
    </w:p>
    <w:p>
      <w:pPr>
        <w:ind w:right="100"/>
        <w:spacing w:after="0" w:line="375" w:lineRule="auto"/>
        <w:rPr>
          <w:sz w:val="20"/>
          <w:szCs w:val="20"/>
          <w:color w:val="auto"/>
        </w:rPr>
      </w:pPr>
      <w:r>
        <w:rPr>
          <w:rFonts w:ascii="Arial" w:cs="Arial" w:eastAsia="Arial" w:hAnsi="Arial"/>
          <w:sz w:val="17"/>
          <w:szCs w:val="17"/>
          <w:color w:val="auto"/>
        </w:rPr>
        <w:t>FFO is a non-GAAP supplemental earnings measure which the Trust considers meaningful in measuring its operating performance. A reconciliation of FFO to net income is attached to this press release.</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Operational Update</w:t>
      </w:r>
    </w:p>
    <w:p>
      <w:pPr>
        <w:spacing w:after="0" w:line="257" w:lineRule="exact"/>
        <w:rPr>
          <w:sz w:val="20"/>
          <w:szCs w:val="20"/>
          <w:color w:val="auto"/>
        </w:rPr>
      </w:pPr>
    </w:p>
    <w:p>
      <w:pPr>
        <w:spacing w:after="0" w:line="375" w:lineRule="auto"/>
        <w:rPr>
          <w:sz w:val="20"/>
          <w:szCs w:val="20"/>
          <w:color w:val="auto"/>
        </w:rPr>
      </w:pPr>
      <w:r>
        <w:rPr>
          <w:rFonts w:ascii="Arial" w:cs="Arial" w:eastAsia="Arial" w:hAnsi="Arial"/>
          <w:sz w:val="17"/>
          <w:szCs w:val="17"/>
          <w:color w:val="auto"/>
        </w:rPr>
        <w:t>The portfolio was 90.2% occupied as of September 30, 2021, a sequential increase of 60 basis points over the second quarter 2021, and a spread of 260 basis points versus our leased percentage, 92.8%, at the end of the third quarter.</w:t>
      </w:r>
    </w:p>
    <w:p>
      <w:pPr>
        <w:spacing w:after="0" w:line="132" w:lineRule="exact"/>
        <w:rPr>
          <w:sz w:val="20"/>
          <w:szCs w:val="20"/>
          <w:color w:val="auto"/>
        </w:rPr>
      </w:pPr>
    </w:p>
    <w:p>
      <w:pPr>
        <w:ind w:right="80"/>
        <w:spacing w:after="0" w:line="367" w:lineRule="auto"/>
        <w:rPr>
          <w:sz w:val="20"/>
          <w:szCs w:val="20"/>
          <w:color w:val="auto"/>
        </w:rPr>
      </w:pPr>
      <w:r>
        <w:rPr>
          <w:rFonts w:ascii="Arial" w:cs="Arial" w:eastAsia="Arial" w:hAnsi="Arial"/>
          <w:sz w:val="17"/>
          <w:szCs w:val="17"/>
          <w:color w:val="auto"/>
        </w:rPr>
        <w:t>During the third quarter 2021, Federal Realty signed 124 leases for 481,607 square feet of retail space. On a comparable space basis (i.e., spaces for which there was a former tenant), Federal Realty signed 119 leases for 430,234 square feet at an average rent of $40.73 per square foot compared to the average contractual rent of $38.13 per square foot for the last year of the prior leases, representing a cash basis rollover growth on those comparable spaces of 7%, 16% on a straight-line basis. Additionally, as of November 2, 2021, Federal Realty signed 19 leases for approximately 224,000 square feet of office space during and subsequent to the third quarter 2021.</w:t>
      </w:r>
    </w:p>
    <w:p>
      <w:pPr>
        <w:spacing w:after="0" w:line="139" w:lineRule="exact"/>
        <w:rPr>
          <w:sz w:val="20"/>
          <w:szCs w:val="20"/>
          <w:color w:val="auto"/>
        </w:rPr>
      </w:pPr>
    </w:p>
    <w:p>
      <w:pPr>
        <w:jc w:val="both"/>
        <w:ind w:right="20"/>
        <w:spacing w:after="0" w:line="375" w:lineRule="auto"/>
        <w:rPr>
          <w:sz w:val="20"/>
          <w:szCs w:val="20"/>
          <w:color w:val="auto"/>
        </w:rPr>
      </w:pPr>
      <w:r>
        <w:rPr>
          <w:rFonts w:ascii="Arial" w:cs="Arial" w:eastAsia="Arial" w:hAnsi="Arial"/>
          <w:sz w:val="17"/>
          <w:szCs w:val="17"/>
          <w:color w:val="auto"/>
        </w:rPr>
        <w:t>As of October 29, 2021, the Company has collected approximately 96% of total third quarter 2021 billed recurring rents. Including rent deferral and abatement agreements, total addressed recurring rent was 99%.</w:t>
      </w:r>
    </w:p>
    <w:p>
      <w:pPr>
        <w:spacing w:after="0" w:line="118"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With $178 million of cash and cash equivalents as of September 30, 2021, Federal Realty has approximately $1.2 billion of liquidity in cash and undrawn availability under its $1 billion revolving credit facility.</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Regular Quarterly Dividends</w:t>
      </w:r>
    </w:p>
    <w:p>
      <w:pPr>
        <w:spacing w:after="0" w:line="270" w:lineRule="exact"/>
        <w:rPr>
          <w:sz w:val="20"/>
          <w:szCs w:val="20"/>
          <w:color w:val="auto"/>
        </w:rPr>
      </w:pPr>
    </w:p>
    <w:p>
      <w:pPr>
        <w:jc w:val="both"/>
        <w:spacing w:after="0" w:line="370" w:lineRule="auto"/>
        <w:rPr>
          <w:sz w:val="20"/>
          <w:szCs w:val="20"/>
          <w:color w:val="auto"/>
        </w:rPr>
      </w:pPr>
      <w:r>
        <w:rPr>
          <w:rFonts w:ascii="Arial" w:cs="Arial" w:eastAsia="Arial" w:hAnsi="Arial"/>
          <w:sz w:val="17"/>
          <w:szCs w:val="17"/>
          <w:color w:val="auto"/>
        </w:rPr>
        <w:t>Federal Realty announced today that its Board of Trustees declared a regular quarterly cash dividend of $1.07 per common share, resulting in an indicated annual rate of $4.28 per common share. The regular common dividend will be payable on January 18, 2022 to common shareholders of record as of January 3, 2022.</w:t>
      </w:r>
    </w:p>
    <w:p>
      <w:pPr>
        <w:spacing w:after="0" w:line="122" w:lineRule="exact"/>
        <w:rPr>
          <w:sz w:val="20"/>
          <w:szCs w:val="20"/>
          <w:color w:val="auto"/>
        </w:rPr>
      </w:pPr>
    </w:p>
    <w:p>
      <w:pPr>
        <w:jc w:val="both"/>
        <w:ind w:right="100"/>
        <w:spacing w:after="0" w:line="370" w:lineRule="auto"/>
        <w:rPr>
          <w:sz w:val="20"/>
          <w:szCs w:val="20"/>
          <w:color w:val="auto"/>
        </w:rPr>
      </w:pPr>
      <w:r>
        <w:rPr>
          <w:rFonts w:ascii="Arial" w:cs="Arial" w:eastAsia="Arial" w:hAnsi="Arial"/>
          <w:sz w:val="17"/>
          <w:szCs w:val="17"/>
          <w:color w:val="auto"/>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January 18, 2022 to shareholders of record as of January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Summary of Other Quarterly Activities and Recent Developments</w:t>
      </w:r>
    </w:p>
    <w:p>
      <w:pPr>
        <w:spacing w:after="0" w:line="270" w:lineRule="exact"/>
        <w:rPr>
          <w:sz w:val="20"/>
          <w:szCs w:val="20"/>
          <w:color w:val="auto"/>
        </w:rPr>
      </w:pPr>
    </w:p>
    <w:p>
      <w:pPr>
        <w:ind w:right="460"/>
        <w:spacing w:after="0" w:line="368" w:lineRule="auto"/>
        <w:rPr>
          <w:sz w:val="20"/>
          <w:szCs w:val="20"/>
          <w:color w:val="auto"/>
        </w:rPr>
      </w:pPr>
      <w:r>
        <w:rPr>
          <w:rFonts w:ascii="Arial" w:cs="Arial" w:eastAsia="Arial" w:hAnsi="Arial"/>
          <w:sz w:val="17"/>
          <w:szCs w:val="17"/>
          <w:color w:val="auto"/>
        </w:rPr>
        <w:t>September 2021 – Federal Realty acquired an 100% interest in Twinbrooke Shopping Centre, a 109,000 square foot grocery anchored neighborhood shopping center on 10 acres located in Fairfax, Virginia. Federal sourced the acquisition off-market for a purchase price of $33.8 million cash. In 2021, Federal Realty has acquired 5 properties totaling 1.9 million square feet and 135 acres at a gross value of $441 million of which Federal has an average 82% ownership interest.</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Guidance</w:t>
      </w:r>
    </w:p>
    <w:p>
      <w:pPr>
        <w:spacing w:after="0" w:line="270" w:lineRule="exact"/>
        <w:rPr>
          <w:sz w:val="20"/>
          <w:szCs w:val="20"/>
          <w:color w:val="auto"/>
        </w:rPr>
      </w:pPr>
    </w:p>
    <w:p>
      <w:pPr>
        <w:ind w:right="20"/>
        <w:spacing w:after="0" w:line="375" w:lineRule="auto"/>
        <w:rPr>
          <w:sz w:val="20"/>
          <w:szCs w:val="20"/>
          <w:color w:val="auto"/>
        </w:rPr>
      </w:pPr>
      <w:r>
        <w:rPr>
          <w:rFonts w:ascii="Arial" w:cs="Arial" w:eastAsia="Arial" w:hAnsi="Arial"/>
          <w:sz w:val="17"/>
          <w:szCs w:val="17"/>
          <w:color w:val="auto"/>
        </w:rPr>
        <w:t>Federal Realty increased its 2021 guidance for earnings per diluted share to $2.30 to $2.35 and 2021 FFO per diluted share guidance to $5.45 to $5.50.</w:t>
      </w:r>
    </w:p>
    <w:p>
      <w:pPr>
        <w:spacing w:after="0" w:line="132" w:lineRule="exact"/>
        <w:rPr>
          <w:sz w:val="20"/>
          <w:szCs w:val="20"/>
          <w:color w:val="auto"/>
        </w:rPr>
      </w:pPr>
    </w:p>
    <w:p>
      <w:pPr>
        <w:spacing w:after="0" w:line="375" w:lineRule="auto"/>
        <w:rPr>
          <w:sz w:val="20"/>
          <w:szCs w:val="20"/>
          <w:color w:val="auto"/>
        </w:rPr>
      </w:pPr>
      <w:r>
        <w:rPr>
          <w:rFonts w:ascii="Arial" w:cs="Arial" w:eastAsia="Arial" w:hAnsi="Arial"/>
          <w:sz w:val="17"/>
          <w:szCs w:val="17"/>
          <w:color w:val="auto"/>
        </w:rPr>
        <w:t>Additionally, Federal Realty increased its 2022 guidance for earnings per diluted share to $2.25 to $2.45 and 2022 FFO per diluted share guidance to $5.65 to $5.85.</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 Information</w:t>
      </w:r>
    </w:p>
    <w:p>
      <w:pPr>
        <w:spacing w:after="0" w:line="270" w:lineRule="exact"/>
        <w:rPr>
          <w:sz w:val="20"/>
          <w:szCs w:val="20"/>
          <w:color w:val="auto"/>
        </w:rPr>
      </w:pPr>
    </w:p>
    <w:p>
      <w:pPr>
        <w:spacing w:after="0" w:line="367" w:lineRule="auto"/>
        <w:rPr>
          <w:sz w:val="20"/>
          <w:szCs w:val="20"/>
          <w:color w:val="auto"/>
        </w:rPr>
      </w:pPr>
      <w:r>
        <w:rPr>
          <w:rFonts w:ascii="Arial" w:cs="Arial" w:eastAsia="Arial" w:hAnsi="Arial"/>
          <w:sz w:val="17"/>
          <w:szCs w:val="17"/>
          <w:color w:val="auto"/>
        </w:rPr>
        <w:t>Federal Realty’s management team will present an in-depth discussion of Federal Realty’s operating performance on its third quarter 2021 earnings conference call, which is scheduled for Thursday, November 4, 2021 at 5:00 PM ET. To participate, please call 877.407.9208 five to ten minutes prior to the call start time and use the passcode 13723057 (required). The teleconference can also be accessed via a live webcast at www.federalrealty.com in the Investors section. A replay of the webcast will be available on Federal Realty’s website at www.federalrealty.com. A telephonic replay of the conference call will also be available through November 18, 2021 by dialing 844.512.2921; Passcode: 13723057.</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Federal Realty</w:t>
      </w:r>
    </w:p>
    <w:p>
      <w:pPr>
        <w:spacing w:after="0" w:line="270" w:lineRule="exact"/>
        <w:rPr>
          <w:sz w:val="20"/>
          <w:szCs w:val="20"/>
          <w:color w:val="auto"/>
        </w:rPr>
      </w:pPr>
    </w:p>
    <w:p>
      <w:pPr>
        <w:ind w:right="80"/>
        <w:spacing w:after="0" w:line="366" w:lineRule="auto"/>
        <w:rPr>
          <w:sz w:val="20"/>
          <w:szCs w:val="20"/>
          <w:color w:val="auto"/>
        </w:rPr>
      </w:pPr>
      <w:r>
        <w:rPr>
          <w:rFonts w:ascii="Arial" w:cs="Arial" w:eastAsia="Arial" w:hAnsi="Arial"/>
          <w:sz w:val="17"/>
          <w:szCs w:val="17"/>
          <w:color w:val="auto"/>
        </w:rPr>
        <w:t>Federal Realty is a recognized leader in the ownership, operation and redevelopment of high-quality retail-based properties located primarily in major coastal markets from Washington, D.C. to Boston as well as San Francisco and Los Angeles. Founded in 1962, Federal Realty’s mission is to deliver long-term, sustainable growth through investing in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106 properties include approximately 3,100 tenants, in 25 million square feet, and approximately 3,200 residential units Federal Realty has increased its quarterly dividends to its shareholders for 54 consecutive years, the longest record in the REIT industry.</w:t>
      </w:r>
    </w:p>
    <w:p>
      <w:pPr>
        <w:spacing w:after="0" w:line="140" w:lineRule="exact"/>
        <w:rPr>
          <w:sz w:val="20"/>
          <w:szCs w:val="20"/>
          <w:color w:val="auto"/>
        </w:rPr>
      </w:pPr>
    </w:p>
    <w:p>
      <w:pPr>
        <w:ind w:right="40"/>
        <w:spacing w:after="0" w:line="375" w:lineRule="auto"/>
        <w:rPr>
          <w:sz w:val="20"/>
          <w:szCs w:val="20"/>
          <w:color w:val="auto"/>
        </w:rPr>
      </w:pPr>
      <w:r>
        <w:rPr>
          <w:rFonts w:ascii="Arial" w:cs="Arial" w:eastAsia="Arial" w:hAnsi="Arial"/>
          <w:sz w:val="17"/>
          <w:szCs w:val="17"/>
          <w:color w:val="auto"/>
        </w:rPr>
        <w:t>Federal Realty is an S&amp;P 500 index member and its shares are traded on the NYSE under the symbol FRT. For additional information about Federal Realty and its properties, visit www.federalrealty.com.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2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Safe Harbor Language</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11, 2021, and include the following:</w:t>
      </w:r>
    </w:p>
    <w:p>
      <w:pPr>
        <w:spacing w:after="0" w:line="18" w:lineRule="exact"/>
        <w:rPr>
          <w:sz w:val="20"/>
          <w:szCs w:val="20"/>
          <w:color w:val="auto"/>
        </w:rPr>
      </w:pPr>
    </w:p>
    <w:p>
      <w:pPr>
        <w:ind w:left="980" w:right="60" w:hanging="324"/>
        <w:spacing w:after="0" w:line="238"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ind w:left="980" w:right="200" w:hanging="324"/>
        <w:spacing w:after="0" w:line="241"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ind w:left="980" w:right="360" w:hanging="324"/>
        <w:spacing w:after="0" w:line="241"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4"/>
          <w:szCs w:val="14"/>
          <w:i w:val="1"/>
          <w:iCs w:val="1"/>
          <w:color w:val="auto"/>
        </w:rPr>
      </w:pPr>
    </w:p>
    <w:p>
      <w:pPr>
        <w:ind w:left="980" w:hanging="324"/>
        <w:spacing w:after="0" w:line="241"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4"/>
          <w:szCs w:val="14"/>
          <w:i w:val="1"/>
          <w:iCs w:val="1"/>
          <w:color w:val="auto"/>
        </w:rPr>
      </w:pPr>
    </w:p>
    <w:p>
      <w:pPr>
        <w:ind w:left="980" w:hanging="324"/>
        <w:spacing w:after="0"/>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our growth will be limited if we cannot obtain additional capital;</w:t>
      </w:r>
    </w:p>
    <w:p>
      <w:pPr>
        <w:spacing w:after="0" w:line="1" w:lineRule="exact"/>
        <w:rPr>
          <w:rFonts w:ascii="Arial" w:cs="Arial" w:eastAsia="Arial" w:hAnsi="Arial"/>
          <w:sz w:val="14"/>
          <w:szCs w:val="14"/>
          <w:i w:val="1"/>
          <w:iCs w:val="1"/>
          <w:color w:val="auto"/>
        </w:rPr>
      </w:pPr>
    </w:p>
    <w:p>
      <w:pPr>
        <w:ind w:left="980" w:hanging="324"/>
        <w:spacing w:after="0"/>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1" w:lineRule="exact"/>
        <w:rPr>
          <w:rFonts w:ascii="Arial" w:cs="Arial" w:eastAsia="Arial" w:hAnsi="Arial"/>
          <w:sz w:val="14"/>
          <w:szCs w:val="14"/>
          <w:i w:val="1"/>
          <w:iCs w:val="1"/>
          <w:color w:val="auto"/>
        </w:rPr>
      </w:pPr>
    </w:p>
    <w:p>
      <w:pPr>
        <w:ind w:left="980" w:right="320" w:hanging="324"/>
        <w:spacing w:after="0" w:line="241"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980" w:hanging="324"/>
        <w:spacing w:after="0" w:line="241"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4"/>
          <w:szCs w:val="14"/>
          <w:i w:val="1"/>
          <w:iCs w:val="1"/>
          <w:color w:val="auto"/>
        </w:rPr>
      </w:pPr>
    </w:p>
    <w:p>
      <w:pPr>
        <w:ind w:left="980" w:right="40" w:hanging="324"/>
        <w:spacing w:after="0" w:line="247"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34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11, 2021 and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24"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Income Statements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5"/>
                <w:szCs w:val="15"/>
                <w:color w:val="auto"/>
              </w:rPr>
            </w:pPr>
          </w:p>
        </w:tc>
        <w:tc>
          <w:tcPr>
            <w:tcW w:w="21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6"/>
                <w:szCs w:val="16"/>
                <w:color w:val="auto"/>
              </w:rPr>
            </w:pPr>
          </w:p>
        </w:tc>
      </w:tr>
      <w:tr>
        <w:trPr>
          <w:trHeight w:val="187"/>
        </w:trPr>
        <w:tc>
          <w:tcPr>
            <w:tcW w:w="61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2020</w:t>
            </w:r>
          </w:p>
        </w:tc>
      </w:tr>
      <w:tr>
        <w:trPr>
          <w:trHeight w:val="175"/>
        </w:trPr>
        <w:tc>
          <w:tcPr>
            <w:tcW w:w="6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5"/>
          </w:tcPr>
          <w:p>
            <w:pPr>
              <w:spacing w:after="0"/>
              <w:rPr>
                <w:sz w:val="20"/>
                <w:szCs w:val="20"/>
                <w:color w:val="auto"/>
              </w:rPr>
            </w:pPr>
            <w:r>
              <w:rPr>
                <w:rFonts w:ascii="Arial" w:cs="Arial" w:eastAsia="Arial" w:hAnsi="Arial"/>
                <w:sz w:val="14"/>
                <w:szCs w:val="14"/>
                <w:b w:val="1"/>
                <w:bCs w:val="1"/>
                <w:color w:val="auto"/>
                <w:w w:val="99"/>
              </w:rPr>
              <w:t>(in thousands, except per share data)</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6"/>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42"/>
        </w:trPr>
        <w:tc>
          <w:tcPr>
            <w:tcW w:w="61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613,687</w:t>
            </w:r>
          </w:p>
        </w:tc>
      </w:tr>
      <w:tr>
        <w:trPr>
          <w:trHeight w:val="229"/>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Mortgage interest income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w:t>
            </w:r>
          </w:p>
        </w:tc>
      </w:tr>
      <w:tr>
        <w:trPr>
          <w:trHeight w:val="223"/>
        </w:trPr>
        <w:tc>
          <w:tcPr>
            <w:tcW w:w="6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247,284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208,197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697,070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615,981</w:t>
            </w:r>
          </w:p>
        </w:tc>
      </w:tr>
      <w:tr>
        <w:trPr>
          <w:trHeight w:val="209"/>
        </w:trPr>
        <w:tc>
          <w:tcPr>
            <w:tcW w:w="6160" w:type="dxa"/>
            <w:vAlign w:val="bottom"/>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122,561</w:t>
            </w:r>
          </w:p>
        </w:tc>
      </w:tr>
      <w:tr>
        <w:trPr>
          <w:trHeight w:val="229"/>
        </w:trPr>
        <w:tc>
          <w:tcPr>
            <w:tcW w:w="6160" w:type="dxa"/>
            <w:vAlign w:val="bottom"/>
          </w:tcPr>
          <w:p>
            <w:pPr>
              <w:ind w:left="220"/>
              <w:spacing w:after="0"/>
              <w:rPr>
                <w:sz w:val="20"/>
                <w:szCs w:val="20"/>
                <w:color w:val="auto"/>
              </w:rPr>
            </w:pPr>
            <w:r>
              <w:rPr>
                <w:rFonts w:ascii="Arial" w:cs="Arial" w:eastAsia="Arial" w:hAnsi="Arial"/>
                <w:sz w:val="18"/>
                <w:szCs w:val="18"/>
                <w:color w:val="auto"/>
              </w:rPr>
              <w:t>Real estate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88,272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90,183</w:t>
            </w:r>
          </w:p>
        </w:tc>
      </w:tr>
      <w:tr>
        <w:trPr>
          <w:trHeight w:val="229"/>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29,373</w:t>
            </w:r>
          </w:p>
        </w:tc>
      </w:tr>
      <w:tr>
        <w:trPr>
          <w:trHeight w:val="230"/>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202,160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190,603</w:t>
            </w:r>
          </w:p>
        </w:tc>
      </w:tr>
      <w:tr>
        <w:trPr>
          <w:trHeight w:val="223"/>
        </w:trPr>
        <w:tc>
          <w:tcPr>
            <w:tcW w:w="6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147,291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467,263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432,720</w:t>
            </w:r>
          </w:p>
        </w:tc>
      </w:tr>
      <w:tr>
        <w:trPr>
          <w:trHeight w:val="250"/>
        </w:trPr>
        <w:tc>
          <w:tcPr>
            <w:tcW w:w="6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charge</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(57,218)</w:t>
            </w:r>
          </w:p>
        </w:tc>
      </w:tr>
      <w:tr>
        <w:trPr>
          <w:trHeight w:val="229"/>
        </w:trPr>
        <w:tc>
          <w:tcPr>
            <w:tcW w:w="6160" w:type="dxa"/>
            <w:vAlign w:val="bottom"/>
          </w:tcPr>
          <w:p>
            <w:pPr>
              <w:ind w:left="220"/>
              <w:spacing w:after="0"/>
              <w:rPr>
                <w:sz w:val="20"/>
                <w:szCs w:val="20"/>
                <w:color w:val="auto"/>
              </w:rPr>
            </w:pPr>
            <w:r>
              <w:rPr>
                <w:rFonts w:ascii="Arial" w:cs="Arial" w:eastAsia="Arial" w:hAnsi="Arial"/>
                <w:sz w:val="18"/>
                <w:szCs w:val="18"/>
                <w:color w:val="auto"/>
              </w:rPr>
              <w:t>Gain on sale of real estate and change in control of interest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11,682</w:t>
            </w:r>
          </w:p>
        </w:tc>
      </w:tr>
      <w:tr>
        <w:trPr>
          <w:trHeight w:val="250"/>
        </w:trPr>
        <w:tc>
          <w:tcPr>
            <w:tcW w:w="61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85,573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247,235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137,725</w:t>
            </w:r>
          </w:p>
        </w:tc>
      </w:tr>
      <w:tr>
        <w:trPr>
          <w:trHeight w:val="270"/>
        </w:trPr>
        <w:tc>
          <w:tcPr>
            <w:tcW w:w="6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OTHER INCOME/(EXPENSE)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interest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r>
      <w:tr>
        <w:trPr>
          <w:trHeight w:val="230"/>
        </w:trPr>
        <w:tc>
          <w:tcPr>
            <w:tcW w:w="61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(95,511)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(98,746)</w:t>
            </w:r>
          </w:p>
        </w:tc>
      </w:tr>
      <w:tr>
        <w:trPr>
          <w:trHeight w:val="230"/>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from partnerships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54,541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152,339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33,677</w:t>
            </w:r>
          </w:p>
        </w:tc>
      </w:tr>
      <w:tr>
        <w:trPr>
          <w:trHeight w:val="230"/>
        </w:trPr>
        <w:tc>
          <w:tcPr>
            <w:tcW w:w="6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NET INCOME (LOSS) ATTRIBUTABLE TO THE TRUST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146,562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36,981</w:t>
            </w:r>
          </w:p>
        </w:tc>
      </w:tr>
      <w:tr>
        <w:trPr>
          <w:trHeight w:val="230"/>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on preferred shares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(6,031)</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NET INCOME (LOSS) AVAILABLE FOR COMMON SHAREHOLDERS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140,531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30,950</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6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5"/>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(loss) available for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60" w:type="dxa"/>
            <w:vAlign w:val="bottom"/>
          </w:tcPr>
          <w:p>
            <w:pPr>
              <w:ind w:left="220"/>
              <w:spacing w:after="0" w:line="203" w:lineRule="exact"/>
              <w:rPr>
                <w:sz w:val="20"/>
                <w:szCs w:val="20"/>
                <w:color w:val="auto"/>
              </w:rPr>
            </w:pPr>
            <w:r>
              <w:rPr>
                <w:rFonts w:ascii="Arial" w:cs="Arial" w:eastAsia="Arial" w:hAnsi="Arial"/>
                <w:sz w:val="18"/>
                <w:szCs w:val="18"/>
                <w:color w:val="auto"/>
              </w:rPr>
              <w:t>Weighted average number of common shares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77,485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75,404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77,269</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75,386</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7"/>
        </w:trPr>
        <w:tc>
          <w:tcPr>
            <w:tcW w:w="6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COMMON SHARE, DILUTED:</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6160" w:type="dxa"/>
            <w:vAlign w:val="bottom"/>
          </w:tcPr>
          <w:p>
            <w:pPr>
              <w:ind w:left="220"/>
              <w:spacing w:after="0"/>
              <w:rPr>
                <w:sz w:val="20"/>
                <w:szCs w:val="20"/>
                <w:color w:val="auto"/>
              </w:rPr>
            </w:pPr>
            <w:r>
              <w:rPr>
                <w:rFonts w:ascii="Arial" w:cs="Arial" w:eastAsia="Arial" w:hAnsi="Arial"/>
                <w:sz w:val="18"/>
                <w:szCs w:val="18"/>
                <w:color w:val="auto"/>
              </w:rPr>
              <w:t>Net income (loss) available for common shareholders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8"/>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number of common shares</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75,386</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2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5"/>
                <w:szCs w:val="15"/>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5"/>
        </w:trPr>
        <w:tc>
          <w:tcPr>
            <w:tcW w:w="8560" w:type="dxa"/>
            <w:vAlign w:val="bottom"/>
          </w:tcPr>
          <w:p>
            <w:pPr>
              <w:spacing w:after="0"/>
              <w:rPr>
                <w:sz w:val="11"/>
                <w:szCs w:val="11"/>
                <w:color w:val="auto"/>
              </w:rPr>
            </w:pPr>
          </w:p>
        </w:tc>
        <w:tc>
          <w:tcPr>
            <w:tcW w:w="2620" w:type="dxa"/>
            <w:vAlign w:val="bottom"/>
            <w:gridSpan w:val="5"/>
          </w:tcPr>
          <w:p>
            <w:pPr>
              <w:ind w:left="40"/>
              <w:spacing w:after="0" w:line="135" w:lineRule="exact"/>
              <w:rPr>
                <w:sz w:val="20"/>
                <w:szCs w:val="20"/>
                <w:color w:val="auto"/>
              </w:rPr>
            </w:pPr>
            <w:r>
              <w:rPr>
                <w:rFonts w:ascii="Arial" w:cs="Arial" w:eastAsia="Arial" w:hAnsi="Arial"/>
                <w:sz w:val="14"/>
                <w:szCs w:val="14"/>
                <w:b w:val="1"/>
                <w:bCs w:val="1"/>
                <w:color w:val="auto"/>
                <w:w w:val="91"/>
              </w:rPr>
              <w:t>(in thousands, except share and per share</w:t>
            </w:r>
          </w:p>
        </w:tc>
        <w:tc>
          <w:tcPr>
            <w:tcW w:w="0" w:type="dxa"/>
            <w:vAlign w:val="bottom"/>
          </w:tcPr>
          <w:p>
            <w:pPr>
              <w:spacing w:after="0"/>
              <w:rPr>
                <w:sz w:val="1"/>
                <w:szCs w:val="1"/>
                <w:color w:val="auto"/>
              </w:rPr>
            </w:pPr>
          </w:p>
        </w:tc>
      </w:tr>
      <w:tr>
        <w:trPr>
          <w:trHeight w:val="180"/>
        </w:trPr>
        <w:tc>
          <w:tcPr>
            <w:tcW w:w="8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data)</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56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 at cost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w w:val="96"/>
              </w:rPr>
              <w:t>Operating (including $2,188,736 and $1,703,202 of consolidated variable interest entities, respectively)</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8,730,079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7,771,981</w:t>
            </w: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rPr>
              <w:t>Construction-in-progress (including $28,277 and $44,896 of consolidated variable interest entities,</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662,643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810,889</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9,392,722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8,582,870</w:t>
            </w: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1"/>
              </w:rPr>
              <w:t>Less accumulated depreciation and amortization (including $374,970 and $335,735 of consolidated variable</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(2,501,622)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(2,357,692)</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interest entities, 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tcPr>
          <w:p>
            <w:pPr>
              <w:ind w:left="340"/>
              <w:spacing w:after="0"/>
              <w:rPr>
                <w:sz w:val="20"/>
                <w:szCs w:val="20"/>
                <w:color w:val="auto"/>
              </w:rPr>
            </w:pPr>
            <w:r>
              <w:rPr>
                <w:rFonts w:ascii="Arial" w:cs="Arial" w:eastAsia="Arial" w:hAnsi="Arial"/>
                <w:sz w:val="18"/>
                <w:szCs w:val="18"/>
                <w:color w:val="auto"/>
              </w:rPr>
              <w:t>Net real estate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6,891,100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6,225,178</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798,329</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Accounts and notes receivable,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159,840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159,780</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 notes receivable,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39,892</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Investment in partnerships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22,128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 of use 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92,248</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Finance lease right of use assets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51,116</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242,322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218,953</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7,634,442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7,607,624</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AND SHAREHOLDERS’ EQUITY</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9"/>
              </w:rPr>
              <w:t>Mortgages payable, net (including $388,489 and $413,681 of consolidated variable interest entities,</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457,203</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484,111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Notes payable, net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301,462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402,776</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Senior notes and debentures,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3,405,685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3,404,488</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244,272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228,641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Dividends payable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83,839</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Security deposits payable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20,388</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72,441</w:t>
            </w: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rPr>
              <w:t>Finance lease liabilities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72,037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72,049</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liabilities and deferred credits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152,424</w:t>
            </w:r>
          </w:p>
        </w:tc>
        <w:tc>
          <w:tcPr>
            <w:tcW w:w="0" w:type="dxa"/>
            <w:vAlign w:val="bottom"/>
          </w:tcPr>
          <w:p>
            <w:pPr>
              <w:spacing w:after="0"/>
              <w:rPr>
                <w:sz w:val="1"/>
                <w:szCs w:val="1"/>
                <w:color w:val="auto"/>
              </w:rPr>
            </w:pPr>
          </w:p>
        </w:tc>
      </w:tr>
      <w:tr>
        <w:trPr>
          <w:trHeight w:val="223"/>
        </w:trPr>
        <w:tc>
          <w:tcPr>
            <w:tcW w:w="85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4,875,310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4,921,157</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212,950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137,720</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Preferred shares, authorized 15,000,000 shares, $.01 par:</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4"/>
              </w:rPr>
              <w:t>5.0% Series C Cumulative Redeemable Preferred Shares, (stated at liquidation preference $25,000 per</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share), 6,000 shares issued and outstanding</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780"/>
              <w:spacing w:after="0" w:line="176" w:lineRule="exact"/>
              <w:rPr>
                <w:sz w:val="20"/>
                <w:szCs w:val="20"/>
                <w:color w:val="auto"/>
              </w:rPr>
            </w:pPr>
            <w:r>
              <w:rPr>
                <w:rFonts w:ascii="Arial" w:cs="Arial" w:eastAsia="Arial" w:hAnsi="Arial"/>
                <w:sz w:val="18"/>
                <w:szCs w:val="18"/>
                <w:color w:val="auto"/>
                <w:w w:val="90"/>
              </w:rPr>
              <w:t>5.417% Series 1 Cumulative Convertible Preferred Shares, (stated at liquidation preference $25 per share),</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30"/>
        </w:trPr>
        <w:tc>
          <w:tcPr>
            <w:tcW w:w="8560" w:type="dxa"/>
            <w:vAlign w:val="bottom"/>
          </w:tcPr>
          <w:p>
            <w:pPr>
              <w:ind w:left="780"/>
              <w:spacing w:after="0"/>
              <w:rPr>
                <w:sz w:val="20"/>
                <w:szCs w:val="20"/>
                <w:color w:val="auto"/>
              </w:rPr>
            </w:pPr>
            <w:r>
              <w:rPr>
                <w:rFonts w:ascii="Arial" w:cs="Arial" w:eastAsia="Arial" w:hAnsi="Arial"/>
                <w:sz w:val="18"/>
                <w:szCs w:val="18"/>
                <w:color w:val="auto"/>
              </w:rPr>
              <w:t>399,896 shares issued and outstanding</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1"/>
              </w:rPr>
              <w:t>Common shares of beneficial interest, $.01 par, 100,000,000 shares authorized, 77,774,645 and 76,727,394</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shares issued and outstanding, respectively</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3,398,851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3,297,305</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Accumulated dividends in excess of net income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(1,095,741)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(988,272)</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 of the Trust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2,461,163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2,464,157</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84,590</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2,546,182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2,548,747</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7,634,442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7,607,624</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10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80"/>
          </w:cols>
          <w:pgMar w:left="360" w:top="1026" w:right="359" w:bottom="1440" w:gutter="0" w:footer="0" w:header="0"/>
          <w:type w:val="continuous"/>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Funds From Operations / Other Supplemental Information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5"/>
                <w:szCs w:val="15"/>
                <w:color w:val="auto"/>
              </w:rPr>
            </w:pPr>
          </w:p>
        </w:tc>
        <w:tc>
          <w:tcPr>
            <w:tcW w:w="25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data)</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5440" w:type="dxa"/>
            <w:vAlign w:val="bottom"/>
            <w:gridSpan w:val="5"/>
            <w:shd w:val="clear" w:color="auto" w:fill="CCEEFF"/>
          </w:tcPr>
          <w:p>
            <w:pPr>
              <w:spacing w:after="0" w:line="190" w:lineRule="exact"/>
              <w:rPr>
                <w:sz w:val="20"/>
                <w:szCs w:val="20"/>
                <w:color w:val="auto"/>
              </w:rPr>
            </w:pPr>
            <w:r>
              <w:rPr>
                <w:rFonts w:ascii="Arial" w:cs="Arial" w:eastAsia="Arial" w:hAnsi="Arial"/>
                <w:sz w:val="18"/>
                <w:szCs w:val="18"/>
                <w:color w:val="auto"/>
                <w:w w:val="98"/>
              </w:rPr>
              <w:t>Funds from Operations available for common shareholders (FFO) (1)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0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Net income (loss)</w:t>
            </w:r>
          </w:p>
        </w:tc>
        <w:tc>
          <w:tcPr>
            <w:tcW w:w="4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54,541</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tcPr>
          <w:p>
            <w:pPr>
              <w:jc w:val="right"/>
              <w:ind w:right="91"/>
              <w:spacing w:after="0"/>
              <w:rPr>
                <w:sz w:val="20"/>
                <w:szCs w:val="20"/>
                <w:color w:val="auto"/>
              </w:rPr>
            </w:pPr>
            <w:r>
              <w:rPr>
                <w:rFonts w:ascii="Arial" w:cs="Arial" w:eastAsia="Arial" w:hAnsi="Arial"/>
                <w:sz w:val="18"/>
                <w:szCs w:val="18"/>
                <w:color w:val="auto"/>
              </w:rPr>
              <w:t>(33,623)</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152,339</w:t>
            </w:r>
          </w:p>
        </w:tc>
        <w:tc>
          <w:tcPr>
            <w:tcW w:w="1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tcPr>
          <w:p>
            <w:pPr>
              <w:jc w:val="right"/>
              <w:ind w:right="131"/>
              <w:spacing w:after="0"/>
              <w:rPr>
                <w:sz w:val="20"/>
                <w:szCs w:val="20"/>
                <w:color w:val="auto"/>
              </w:rPr>
            </w:pPr>
            <w:r>
              <w:rPr>
                <w:rFonts w:ascii="Arial" w:cs="Arial" w:eastAsia="Arial" w:hAnsi="Arial"/>
                <w:sz w:val="18"/>
                <w:szCs w:val="18"/>
                <w:color w:val="auto"/>
              </w:rPr>
              <w:t>33,677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(5,777)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Gain on sale of real estate and change in control of interest</w:t>
            </w:r>
          </w:p>
        </w:tc>
        <w:tc>
          <w:tcPr>
            <w:tcW w:w="3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(17,428)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(11,682)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Impairment charge, net (2)</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50,728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50,728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Depreciation and amortization of real estate assets</w:t>
            </w: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61,236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58,224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174,770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170,878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6,202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5,853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20,127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5"/>
          </w:tcPr>
          <w:p>
            <w:pPr>
              <w:ind w:left="340"/>
              <w:spacing w:after="0"/>
              <w:rPr>
                <w:sz w:val="20"/>
                <w:szCs w:val="20"/>
                <w:color w:val="auto"/>
              </w:rPr>
            </w:pPr>
            <w:r>
              <w:rPr>
                <w:rFonts w:ascii="Arial" w:cs="Arial" w:eastAsia="Arial" w:hAnsi="Arial"/>
                <w:sz w:val="18"/>
                <w:szCs w:val="18"/>
                <w:color w:val="auto"/>
              </w:rPr>
              <w:t>Funds from operations</w:t>
            </w: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119,560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86,516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324,031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262,467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Dividends on preferred shares (3)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(6,031)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Income attributable to operating partnership unit</w:t>
            </w: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gridSpan w:val="5"/>
          </w:tcPr>
          <w:p>
            <w:pPr>
              <w:ind w:left="340"/>
              <w:spacing w:after="0" w:line="196" w:lineRule="exact"/>
              <w:rPr>
                <w:sz w:val="20"/>
                <w:szCs w:val="20"/>
                <w:color w:val="auto"/>
              </w:rPr>
            </w:pPr>
            <w:r>
              <w:rPr>
                <w:rFonts w:ascii="Arial" w:cs="Arial" w:eastAsia="Arial" w:hAnsi="Arial"/>
                <w:sz w:val="18"/>
                <w:szCs w:val="18"/>
                <w:color w:val="auto"/>
              </w:rPr>
              <w:t>FFO</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rPr>
              <w:t>117,989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85,031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rPr>
              <w:t>319,111</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1"/>
              <w:spacing w:after="0" w:line="196" w:lineRule="exact"/>
              <w:rPr>
                <w:sz w:val="20"/>
                <w:szCs w:val="20"/>
                <w:color w:val="auto"/>
              </w:rPr>
            </w:pPr>
            <w:r>
              <w:rPr>
                <w:rFonts w:ascii="Arial" w:cs="Arial" w:eastAsia="Arial" w:hAnsi="Arial"/>
                <w:sz w:val="18"/>
                <w:szCs w:val="18"/>
                <w:color w:val="auto"/>
              </w:rPr>
              <w:t>257,992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5440" w:type="dxa"/>
            <w:vAlign w:val="bottom"/>
            <w:tcBorders>
              <w:bottom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common shares, diluted (3)(4)</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78,365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Arial" w:cs="Arial" w:eastAsia="Arial" w:hAnsi="Arial"/>
                <w:sz w:val="18"/>
                <w:szCs w:val="18"/>
                <w:color w:val="auto"/>
              </w:rPr>
              <w:t>76,149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77,997</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Arial" w:cs="Arial" w:eastAsia="Arial" w:hAnsi="Arial"/>
                <w:sz w:val="18"/>
                <w:szCs w:val="18"/>
                <w:color w:val="auto"/>
              </w:rPr>
              <w:t>76,133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color w:val="auto"/>
              </w:rPr>
              <w:t>FFO per diluted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gridSpan w:val="5"/>
            <w:vMerge w:val="continue"/>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2"/>
              <w:spacing w:after="0" w:line="176" w:lineRule="exact"/>
              <w:rPr>
                <w:sz w:val="20"/>
                <w:szCs w:val="20"/>
                <w:color w:val="auto"/>
              </w:rPr>
            </w:pPr>
            <w:r>
              <w:rPr>
                <w:rFonts w:ascii="Arial" w:cs="Arial" w:eastAsia="Arial" w:hAnsi="Arial"/>
                <w:sz w:val="18"/>
                <w:szCs w:val="18"/>
                <w:color w:val="auto"/>
              </w:rPr>
              <w:t>1.51</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1"/>
              <w:spacing w:after="0" w:line="176"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2"/>
              <w:spacing w:after="0" w:line="176" w:lineRule="exact"/>
              <w:rPr>
                <w:sz w:val="20"/>
                <w:szCs w:val="20"/>
                <w:color w:val="auto"/>
              </w:rPr>
            </w:pPr>
            <w:r>
              <w:rPr>
                <w:rFonts w:ascii="Arial" w:cs="Arial" w:eastAsia="Arial" w:hAnsi="Arial"/>
                <w:sz w:val="18"/>
                <w:szCs w:val="18"/>
                <w:color w:val="auto"/>
              </w:rPr>
              <w:t>4.09</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70"/>
              <w:spacing w:after="0" w:line="17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1"/>
              <w:spacing w:after="0" w:line="176" w:lineRule="exact"/>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gridSpan w:val="5"/>
          </w:tcPr>
          <w:p>
            <w:pPr>
              <w:spacing w:after="0" w:line="189" w:lineRule="exact"/>
              <w:rPr>
                <w:sz w:val="20"/>
                <w:szCs w:val="20"/>
                <w:color w:val="auto"/>
              </w:rPr>
            </w:pPr>
            <w:r>
              <w:rPr>
                <w:rFonts w:ascii="Arial" w:cs="Arial" w:eastAsia="Arial" w:hAnsi="Arial"/>
                <w:sz w:val="18"/>
                <w:szCs w:val="18"/>
                <w:color w:val="auto"/>
              </w:rPr>
              <w:t>Dividends and Payout Ratios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Regular common dividends declared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83,212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80,170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248,000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238,980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Dividend payout ratio as a percentage of FFO</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gridSpan w:val="5"/>
          </w:tcPr>
          <w:p>
            <w:pPr>
              <w:spacing w:after="0" w:line="189" w:lineRule="exact"/>
              <w:rPr>
                <w:sz w:val="20"/>
                <w:szCs w:val="20"/>
                <w:color w:val="auto"/>
              </w:rPr>
            </w:pPr>
            <w:r>
              <w:rPr>
                <w:rFonts w:ascii="Arial" w:cs="Arial" w:eastAsia="Arial" w:hAnsi="Arial"/>
                <w:sz w:val="18"/>
                <w:szCs w:val="18"/>
                <w:color w:val="auto"/>
              </w:rPr>
              <w:t>Summary of Capital Expenditures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Non-maintenance capital expenditures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5"/>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81,262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110,478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283,139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317,796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Tenant improvements and incentives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8,780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15,013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35,632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37,662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Total non-maintenance capital expenditures</w:t>
            </w: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90,042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125,491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318,771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355,458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Maintenance capital expenditures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1,523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10,735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Total capital expenditures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91,565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128,249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329,506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364,231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gridSpan w:val="5"/>
          </w:tcPr>
          <w:p>
            <w:pPr>
              <w:spacing w:after="0" w:line="189" w:lineRule="exact"/>
              <w:rPr>
                <w:sz w:val="20"/>
                <w:szCs w:val="20"/>
                <w:color w:val="auto"/>
              </w:rPr>
            </w:pPr>
            <w:r>
              <w:rPr>
                <w:rFonts w:ascii="Arial" w:cs="Arial" w:eastAsia="Arial" w:hAnsi="Arial"/>
                <w:sz w:val="18"/>
                <w:szCs w:val="18"/>
                <w:color w:val="auto"/>
              </w:rPr>
              <w:t>Noncontrolling Interests Supplemental Information (5)</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Property operating income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10,462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Impairment charge</w:t>
            </w:r>
          </w:p>
        </w:tc>
        <w:tc>
          <w:tcPr>
            <w:tcW w:w="3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(6,490)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(5,555)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(6,124)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3,509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59" w:lineRule="exact"/>
        <w:rPr>
          <w:rFonts w:ascii="Arial" w:cs="Arial" w:eastAsia="Arial" w:hAnsi="Arial"/>
          <w:sz w:val="16"/>
          <w:szCs w:val="16"/>
          <w:color w:val="auto"/>
        </w:rPr>
      </w:pPr>
    </w:p>
    <w:p>
      <w:pPr>
        <w:ind w:left="660" w:right="140" w:hanging="652"/>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Impairment charge relates to The Shops at Sunset Place. Amount is net of the allocation to noncontrolling interests. See our Annual Report on Form 10-K for the year ended December 31, 2020 for additional information.</w:t>
      </w:r>
    </w:p>
    <w:p>
      <w:pPr>
        <w:spacing w:after="0" w:line="10" w:lineRule="exact"/>
        <w:rPr>
          <w:rFonts w:ascii="Arial" w:cs="Arial" w:eastAsia="Arial" w:hAnsi="Arial"/>
          <w:sz w:val="16"/>
          <w:szCs w:val="16"/>
          <w:color w:val="auto"/>
        </w:rPr>
      </w:pPr>
    </w:p>
    <w:p>
      <w:pPr>
        <w:ind w:left="660" w:right="420" w:hanging="652"/>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months ended September 30, 2021, dividends on our Series 1 preferred stock were not deducted in the calculation of FFO available to common shareholders, as the related shares were dilutive and included in "weighted average common shares, diluted."</w:t>
      </w:r>
    </w:p>
    <w:p>
      <w:pPr>
        <w:spacing w:after="0" w:line="10" w:lineRule="exact"/>
        <w:rPr>
          <w:rFonts w:ascii="Arial" w:cs="Arial" w:eastAsia="Arial" w:hAnsi="Arial"/>
          <w:sz w:val="16"/>
          <w:szCs w:val="16"/>
          <w:color w:val="auto"/>
        </w:rPr>
      </w:pPr>
    </w:p>
    <w:p>
      <w:pPr>
        <w:ind w:left="660" w:right="360" w:hanging="652"/>
        <w:spacing w:after="0" w:line="26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share but is anti-dilutive for the computation of dilutive EPS for these periods.</w:t>
      </w:r>
    </w:p>
    <w:p>
      <w:pPr>
        <w:spacing w:after="0" w:line="20"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Amounts reflect the components of "net (income) loss attributable to noncontrolling interests," but exclude "income attributable to operating partnership units."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904"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COVID-19 Collectibility Related Impacts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2021</w:t>
      </w:r>
    </w:p>
    <w:p>
      <w:pPr>
        <w:spacing w:after="0" w:line="329"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following provides supplemental information regarding our collectibility related impacts resulting from COVID-19 for the three months ended September 30, 2021. The primary drivers of our collectibility impacts in the quarter include COVID-19 abatements and the impacts of cash basis tenants who did not make full contractual rent payments. These increases to collectibility charges were partially offset by the collection of rents due from previous quarters. We change a tenant to a cash basis of accounting when we determine collection of substantially all lease payments during the lease term is not considered probable; revenue is then limited to the lesser of revenue recognized under accrual accounting or cash received. Our full revenue recognition policy with respect to leases can be found in Note 2 of our December 31, 2020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212529"/>
        </w:rPr>
        <w:t>Collectibility Impacts for the Quarter Ended September 30,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3720" w:type="dxa"/>
            <w:vAlign w:val="bottom"/>
            <w:gridSpan w:val="2"/>
          </w:tcPr>
          <w:p>
            <w:pPr>
              <w:jc w:val="center"/>
              <w:ind w:left="1937"/>
              <w:spacing w:after="0"/>
              <w:rPr>
                <w:sz w:val="20"/>
                <w:szCs w:val="20"/>
                <w:color w:val="auto"/>
              </w:rPr>
            </w:pPr>
            <w:r>
              <w:rPr>
                <w:rFonts w:ascii="Arial" w:cs="Arial" w:eastAsia="Arial" w:hAnsi="Arial"/>
                <w:sz w:val="16"/>
                <w:szCs w:val="16"/>
                <w:b w:val="1"/>
                <w:bCs w:val="1"/>
                <w:color w:val="auto"/>
                <w:w w:val="88"/>
              </w:rPr>
              <w:t>Accounts Receivable</w:t>
            </w:r>
          </w:p>
        </w:tc>
        <w:tc>
          <w:tcPr>
            <w:tcW w:w="200" w:type="dxa"/>
            <w:vAlign w:val="bottom"/>
          </w:tcPr>
          <w:p>
            <w:pPr>
              <w:spacing w:after="0"/>
              <w:rPr>
                <w:sz w:val="16"/>
                <w:szCs w:val="16"/>
                <w:color w:val="auto"/>
              </w:rPr>
            </w:pPr>
          </w:p>
        </w:tc>
        <w:tc>
          <w:tcPr>
            <w:tcW w:w="1520" w:type="dxa"/>
            <w:vAlign w:val="bottom"/>
          </w:tcPr>
          <w:p>
            <w:pPr>
              <w:jc w:val="center"/>
              <w:ind w:right="78"/>
              <w:spacing w:after="0"/>
              <w:rPr>
                <w:sz w:val="20"/>
                <w:szCs w:val="20"/>
                <w:color w:val="auto"/>
              </w:rPr>
            </w:pPr>
            <w:r>
              <w:rPr>
                <w:rFonts w:ascii="Arial" w:cs="Arial" w:eastAsia="Arial" w:hAnsi="Arial"/>
                <w:sz w:val="16"/>
                <w:szCs w:val="16"/>
                <w:b w:val="1"/>
                <w:bCs w:val="1"/>
                <w:color w:val="auto"/>
                <w:w w:val="95"/>
              </w:rPr>
              <w:t>Straight-Line Rent</w:t>
            </w:r>
          </w:p>
        </w:tc>
        <w:tc>
          <w:tcPr>
            <w:tcW w:w="440" w:type="dxa"/>
            <w:vAlign w:val="bottom"/>
          </w:tcPr>
          <w:p>
            <w:pPr>
              <w:spacing w:after="0"/>
              <w:rPr>
                <w:sz w:val="16"/>
                <w:szCs w:val="16"/>
                <w:color w:val="auto"/>
              </w:rPr>
            </w:pPr>
          </w:p>
        </w:tc>
        <w:tc>
          <w:tcPr>
            <w:tcW w:w="1260" w:type="dxa"/>
            <w:vAlign w:val="bottom"/>
            <w:vMerge w:val="restart"/>
          </w:tcPr>
          <w:p>
            <w:pPr>
              <w:jc w:val="right"/>
              <w:ind w:right="557"/>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297"/>
              <w:spacing w:after="0"/>
              <w:rPr>
                <w:sz w:val="20"/>
                <w:szCs w:val="20"/>
                <w:color w:val="auto"/>
              </w:rPr>
            </w:pPr>
            <w:r>
              <w:rPr>
                <w:rFonts w:ascii="Arial" w:cs="Arial" w:eastAsia="Arial" w:hAnsi="Arial"/>
                <w:sz w:val="16"/>
                <w:szCs w:val="16"/>
                <w:b w:val="1"/>
                <w:bCs w:val="1"/>
                <w:color w:val="auto"/>
                <w:w w:val="96"/>
              </w:rPr>
              <w:t>Impact</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91"/>
              </w:rPr>
              <w:t>Receivable Impact</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ind w:right="78"/>
              <w:spacing w:after="0"/>
              <w:rPr>
                <w:sz w:val="20"/>
                <w:szCs w:val="20"/>
                <w:color w:val="auto"/>
              </w:rPr>
            </w:pPr>
            <w:r>
              <w:rPr>
                <w:rFonts w:ascii="Arial" w:cs="Arial" w:eastAsia="Arial" w:hAnsi="Arial"/>
                <w:sz w:val="16"/>
                <w:szCs w:val="16"/>
                <w:b w:val="1"/>
                <w:bCs w:val="1"/>
                <w:color w:val="auto"/>
                <w:w w:val="90"/>
              </w:rPr>
              <w:t>(in thousands)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collectibility impact (1)</w:t>
            </w:r>
          </w:p>
        </w:tc>
        <w:tc>
          <w:tcPr>
            <w:tcW w:w="24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334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279</w:t>
            </w:r>
          </w:p>
        </w:tc>
        <w:tc>
          <w:tcPr>
            <w:tcW w:w="4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Note:</w:t>
      </w:r>
    </w:p>
    <w:p>
      <w:pPr>
        <w:spacing w:after="0" w:line="21" w:lineRule="exact"/>
        <w:rPr>
          <w:sz w:val="20"/>
          <w:szCs w:val="20"/>
          <w:color w:val="auto"/>
        </w:rPr>
      </w:pPr>
    </w:p>
    <w:p>
      <w:pPr>
        <w:ind w:left="680" w:right="1000" w:hanging="641"/>
        <w:spacing w:after="0" w:line="232"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approximately $5 million related to the abatement of Q3 2021 contractual rents due to COVID-19 and is offset by the collection of approximately $8 million of rents due from previous quarters.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 on Cash Basis Tenants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334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6"/>
                <w:szCs w:val="16"/>
                <w:b w:val="1"/>
                <w:bCs w:val="1"/>
                <w:color w:val="auto"/>
              </w:rPr>
              <w:t>As of September 30, 2021</w:t>
            </w:r>
          </w:p>
        </w:tc>
        <w:tc>
          <w:tcPr>
            <w:tcW w:w="0" w:type="dxa"/>
            <w:vAlign w:val="bottom"/>
          </w:tcPr>
          <w:p>
            <w:pPr>
              <w:spacing w:after="0"/>
              <w:rPr>
                <w:sz w:val="1"/>
                <w:szCs w:val="1"/>
                <w:color w:val="auto"/>
              </w:rPr>
            </w:pPr>
          </w:p>
        </w:tc>
      </w:tr>
      <w:tr>
        <w:trPr>
          <w:trHeight w:val="159"/>
        </w:trPr>
        <w:tc>
          <w:tcPr>
            <w:tcW w:w="79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 Recognized on a</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Cash Basis</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Active commercial tenant leases</w:t>
            </w: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3,055</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35%</w:t>
            </w:r>
          </w:p>
        </w:tc>
        <w:tc>
          <w:tcPr>
            <w:tcW w:w="0" w:type="dxa"/>
            <w:vAlign w:val="bottom"/>
          </w:tcPr>
          <w:p>
            <w:pPr>
              <w:spacing w:after="0"/>
              <w:rPr>
                <w:sz w:val="1"/>
                <w:szCs w:val="1"/>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7"/>
                <w:szCs w:val="17"/>
                <w:color w:val="auto"/>
              </w:rPr>
              <w:t>Annualized base rent from commercial tenants (in millions) (2)</w:t>
            </w:r>
          </w:p>
        </w:tc>
        <w:tc>
          <w:tcPr>
            <w:tcW w:w="1060" w:type="dxa"/>
            <w:vAlign w:val="bottom"/>
          </w:tcPr>
          <w:p>
            <w:pPr>
              <w:jc w:val="right"/>
              <w:ind w:right="878"/>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673</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7"/>
                <w:szCs w:val="17"/>
                <w:color w:val="auto"/>
                <w:w w:val="88"/>
              </w:rPr>
              <w:t>26%</w:t>
            </w:r>
          </w:p>
        </w:tc>
        <w:tc>
          <w:tcPr>
            <w:tcW w:w="0" w:type="dxa"/>
            <w:vAlign w:val="bottom"/>
          </w:tcPr>
          <w:p>
            <w:pPr>
              <w:spacing w:after="0"/>
              <w:rPr>
                <w:sz w:val="1"/>
                <w:szCs w:val="1"/>
                <w:color w:val="auto"/>
              </w:rPr>
            </w:pPr>
          </w:p>
        </w:tc>
      </w:tr>
      <w:tr>
        <w:trPr>
          <w:trHeight w:val="441"/>
        </w:trPr>
        <w:tc>
          <w:tcPr>
            <w:tcW w:w="7900" w:type="dxa"/>
            <w:vAlign w:val="bottom"/>
          </w:tcPr>
          <w:p>
            <w:pPr>
              <w:spacing w:after="0"/>
              <w:rPr>
                <w:sz w:val="20"/>
                <w:szCs w:val="20"/>
                <w:color w:val="auto"/>
              </w:rPr>
            </w:pPr>
            <w:r>
              <w:rPr>
                <w:rFonts w:ascii="Arial" w:cs="Arial" w:eastAsia="Arial" w:hAnsi="Arial"/>
                <w:sz w:val="17"/>
                <w:szCs w:val="17"/>
                <w:b w:val="1"/>
                <w:bCs w:val="1"/>
                <w:color w:val="auto"/>
              </w:rPr>
              <w:t>Rent Deferrals and Rent Abatements</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6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contractual rent deferred (in millions) (3)</w:t>
            </w:r>
          </w:p>
        </w:tc>
        <w:tc>
          <w:tcPr>
            <w:tcW w:w="10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7"/>
                <w:szCs w:val="17"/>
                <w:color w:val="auto"/>
              </w:rPr>
              <w:t>Cumulative deferral payments collected through September 30, 2021 (in millions) (4)</w:t>
            </w:r>
          </w:p>
        </w:tc>
        <w:tc>
          <w:tcPr>
            <w:tcW w:w="10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Contractual rent abated (in millions) (5)</w:t>
            </w:r>
          </w:p>
        </w:tc>
        <w:tc>
          <w:tcPr>
            <w:tcW w:w="10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720" w:hanging="694"/>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20" w:lineRule="exact"/>
        <w:rPr>
          <w:rFonts w:ascii="Arial" w:cs="Arial" w:eastAsia="Arial" w:hAnsi="Arial"/>
          <w:sz w:val="17"/>
          <w:szCs w:val="17"/>
          <w:color w:val="auto"/>
        </w:rPr>
      </w:pPr>
    </w:p>
    <w:p>
      <w:pPr>
        <w:ind w:left="720" w:right="120" w:hanging="694"/>
        <w:spacing w:after="0" w:line="262" w:lineRule="auto"/>
        <w:tabs>
          <w:tab w:leader="none" w:pos="7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Total contractual rent for April 2020 through September 2021 that has been deferred pursuant to modification agreements signed through September 30, 2021. Accrual basis tenants comprise approximately 50% of this cumulative deferred rent for executed agreements in place as of September 30, 2021.</w:t>
      </w:r>
    </w:p>
    <w:p>
      <w:pPr>
        <w:spacing w:after="0" w:line="1" w:lineRule="exact"/>
        <w:rPr>
          <w:rFonts w:ascii="Arial" w:cs="Arial" w:eastAsia="Arial" w:hAnsi="Arial"/>
          <w:sz w:val="15"/>
          <w:szCs w:val="15"/>
          <w:color w:val="auto"/>
        </w:rPr>
      </w:pPr>
    </w:p>
    <w:p>
      <w:pPr>
        <w:ind w:left="720" w:hanging="694"/>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Deferral payments collected to date represent approximately 90% of the amounts agreed to be repaid by September 30, 2021.</w:t>
      </w:r>
    </w:p>
    <w:p>
      <w:pPr>
        <w:spacing w:after="0" w:line="20" w:lineRule="exact"/>
        <w:rPr>
          <w:rFonts w:ascii="Arial" w:cs="Arial" w:eastAsia="Arial" w:hAnsi="Arial"/>
          <w:sz w:val="17"/>
          <w:szCs w:val="17"/>
          <w:color w:val="auto"/>
        </w:rPr>
      </w:pPr>
    </w:p>
    <w:p>
      <w:pPr>
        <w:ind w:left="720" w:hanging="694"/>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Total contractual rent abated related to the nine months ended September 30, 2021.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300" w:type="dxa"/>
            <w:vAlign w:val="bottom"/>
          </w:tcPr>
          <w:p>
            <w:pPr>
              <w:spacing w:after="0"/>
              <w:rPr>
                <w:sz w:val="20"/>
                <w:szCs w:val="20"/>
                <w:color w:val="auto"/>
              </w:rPr>
            </w:pPr>
            <w:r>
              <w:rPr>
                <w:rFonts w:ascii="Arial" w:cs="Arial" w:eastAsia="Arial" w:hAnsi="Arial"/>
                <w:sz w:val="17"/>
                <w:szCs w:val="17"/>
                <w:b w:val="1"/>
                <w:bCs w:val="1"/>
                <w:color w:val="auto"/>
              </w:rPr>
              <w:t>Collection Rates - Q3 2021 Billed Recurring Rents (6)</w:t>
            </w:r>
          </w:p>
        </w:tc>
        <w:tc>
          <w:tcPr>
            <w:tcW w:w="1940" w:type="dxa"/>
            <w:vAlign w:val="bottom"/>
          </w:tcPr>
          <w:p>
            <w:pPr>
              <w:spacing w:after="0"/>
              <w:rPr>
                <w:sz w:val="19"/>
                <w:szCs w:val="19"/>
                <w:color w:val="auto"/>
              </w:rPr>
            </w:pPr>
          </w:p>
        </w:tc>
      </w:tr>
      <w:tr>
        <w:trPr>
          <w:trHeight w:val="125"/>
        </w:trPr>
        <w:tc>
          <w:tcPr>
            <w:tcW w:w="9300" w:type="dxa"/>
            <w:vAlign w:val="bottom"/>
          </w:tcPr>
          <w:p>
            <w:pPr>
              <w:spacing w:after="0"/>
              <w:rPr>
                <w:sz w:val="10"/>
                <w:szCs w:val="10"/>
                <w:color w:val="auto"/>
              </w:rPr>
            </w:pPr>
          </w:p>
        </w:tc>
        <w:tc>
          <w:tcPr>
            <w:tcW w:w="1940" w:type="dxa"/>
            <w:vAlign w:val="bottom"/>
          </w:tcPr>
          <w:p>
            <w:pPr>
              <w:spacing w:after="0"/>
              <w:rPr>
                <w:sz w:val="10"/>
                <w:szCs w:val="10"/>
                <w:color w:val="auto"/>
              </w:rPr>
            </w:pPr>
          </w:p>
        </w:tc>
      </w:tr>
      <w:tr>
        <w:trPr>
          <w:trHeight w:val="216"/>
        </w:trPr>
        <w:tc>
          <w:tcPr>
            <w:tcW w:w="9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Collection rate - recurring rents</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96 %</w:t>
            </w:r>
          </w:p>
        </w:tc>
      </w:tr>
      <w:tr>
        <w:trPr>
          <w:trHeight w:val="216"/>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Executed abatement/deferral agreements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3 %</w:t>
            </w:r>
          </w:p>
        </w:tc>
      </w:tr>
      <w:tr>
        <w:trPr>
          <w:trHeight w:val="235"/>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addressed - recurring rent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99 %</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Note:</w:t>
      </w:r>
    </w:p>
    <w:p>
      <w:pPr>
        <w:spacing w:after="0" w:line="21" w:lineRule="exact"/>
        <w:rPr>
          <w:sz w:val="20"/>
          <w:szCs w:val="20"/>
          <w:color w:val="auto"/>
        </w:rPr>
      </w:pPr>
    </w:p>
    <w:p>
      <w:pPr>
        <w:ind w:left="720" w:hanging="694"/>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Billed recurring rents are primarily composed of base rent and cost reimbursements. Amounts are as of October 29, 2021.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8"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10</w:t>
      </w:r>
    </w:p>
    <w:p>
      <w:pPr>
        <w:sectPr>
          <w:pgSz w:w="11900" w:h="16838" w:orient="portrait"/>
          <w:cols w:equalWidth="0" w:num="1">
            <w:col w:w="11240"/>
          </w:cols>
          <w:pgMar w:left="320" w:top="1026"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Components of Rental Income (1)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210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7"/>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2020</w:t>
            </w:r>
          </w:p>
        </w:tc>
      </w:tr>
      <w:tr>
        <w:trPr>
          <w:trHeight w:val="181"/>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32"/>
        </w:trPr>
        <w:tc>
          <w:tcPr>
            <w:tcW w:w="6100" w:type="dxa"/>
            <w:vAlign w:val="bottom"/>
          </w:tcPr>
          <w:p>
            <w:pPr>
              <w:ind w:left="20"/>
              <w:spacing w:after="0"/>
              <w:rPr>
                <w:sz w:val="20"/>
                <w:szCs w:val="20"/>
                <w:color w:val="auto"/>
              </w:rPr>
            </w:pPr>
            <w:r>
              <w:rPr>
                <w:rFonts w:ascii="Arial" w:cs="Arial" w:eastAsia="Arial" w:hAnsi="Arial"/>
                <w:sz w:val="18"/>
                <w:szCs w:val="18"/>
                <w:color w:val="auto"/>
              </w:rPr>
              <w:t>Minimum rents (2)</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0"/>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468,939</w:t>
            </w:r>
          </w:p>
        </w:tc>
      </w:tr>
      <w:tr>
        <w:trPr>
          <w:trHeight w:val="229"/>
        </w:trPr>
        <w:tc>
          <w:tcPr>
            <w:tcW w:w="610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59,911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61,124</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reimbursements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129,838</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Percentage rents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4,009</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(3)</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26,242</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Collectibility related impact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(76,465)</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rental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694,954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613,687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61" w:lineRule="exact"/>
        <w:rPr>
          <w:sz w:val="20"/>
          <w:szCs w:val="20"/>
          <w:color w:val="auto"/>
        </w:rPr>
      </w:pPr>
    </w:p>
    <w:p>
      <w:pPr>
        <w:ind w:left="660" w:right="260" w:hanging="652"/>
        <w:spacing w:after="0" w:line="261" w:lineRule="auto"/>
        <w:tabs>
          <w:tab w:leader="none" w:pos="654"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spacing w:after="0" w:line="23" w:lineRule="exact"/>
        <w:rPr>
          <w:rFonts w:ascii="Arial" w:cs="Arial" w:eastAsia="Arial" w:hAnsi="Arial"/>
          <w:sz w:val="17"/>
          <w:szCs w:val="17"/>
          <w:color w:val="auto"/>
        </w:rPr>
      </w:pPr>
    </w:p>
    <w:p>
      <w:pPr>
        <w:ind w:left="640" w:hanging="632"/>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total, minimum rents include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214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2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6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7"/>
        </w:trPr>
        <w:tc>
          <w:tcPr>
            <w:tcW w:w="61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96"/>
              </w:rPr>
              <w:t>2020</w:t>
            </w:r>
          </w:p>
        </w:tc>
      </w:tr>
      <w:tr>
        <w:trPr>
          <w:trHeight w:val="181"/>
        </w:trPr>
        <w:tc>
          <w:tcPr>
            <w:tcW w:w="6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48"/>
        </w:trPr>
        <w:tc>
          <w:tcPr>
            <w:tcW w:w="6100" w:type="dxa"/>
            <w:vAlign w:val="bottom"/>
          </w:tcPr>
          <w:p>
            <w:pPr>
              <w:ind w:left="20"/>
              <w:spacing w:after="0"/>
              <w:rPr>
                <w:sz w:val="20"/>
                <w:szCs w:val="20"/>
                <w:color w:val="auto"/>
              </w:rPr>
            </w:pPr>
            <w:r>
              <w:rPr>
                <w:rFonts w:ascii="Arial" w:cs="Arial" w:eastAsia="Arial" w:hAnsi="Arial"/>
                <w:sz w:val="18"/>
                <w:szCs w:val="18"/>
                <w:color w:val="auto"/>
              </w:rPr>
              <w:t>Straight-line rents</w:t>
            </w:r>
          </w:p>
        </w:tc>
        <w:tc>
          <w:tcPr>
            <w:tcW w:w="800" w:type="dxa"/>
            <w:vAlign w:val="bottom"/>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6.1</w:t>
            </w:r>
          </w:p>
        </w:tc>
        <w:tc>
          <w:tcPr>
            <w:tcW w:w="90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380" w:type="dxa"/>
            <w:vAlign w:val="bottom"/>
          </w:tcPr>
          <w:p>
            <w:pPr>
              <w:ind w:left="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21"/>
              <w:spacing w:after="0"/>
              <w:rPr>
                <w:sz w:val="20"/>
                <w:szCs w:val="20"/>
                <w:color w:val="auto"/>
              </w:rPr>
            </w:pPr>
            <w:r>
              <w:rPr>
                <w:rFonts w:ascii="Arial" w:cs="Arial" w:eastAsia="Arial" w:hAnsi="Arial"/>
                <w:sz w:val="18"/>
                <w:szCs w:val="18"/>
                <w:color w:val="auto"/>
              </w:rPr>
              <w:t>13.0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in-place leases</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c>
          <w:tcPr>
            <w:tcW w:w="90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6.2</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158" w:lineRule="exact"/>
        <w:rPr>
          <w:sz w:val="20"/>
          <w:szCs w:val="20"/>
          <w:color w:val="auto"/>
        </w:rPr>
      </w:pPr>
    </w:p>
    <w:p>
      <w:pPr>
        <w:ind w:left="660" w:right="60" w:hanging="652"/>
        <w:spacing w:after="0" w:line="257" w:lineRule="auto"/>
        <w:tabs>
          <w:tab w:leader="none" w:pos="654"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the nine months ended September 30, 2021, other rental income includes a $2.8 million net lease termination fee related to a tenant who vacated early in Q2 2021; the $2.8 million is net of the write-off of $8.8 million of a straight-line rent receivable.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Property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2021</w:t>
      </w:r>
    </w:p>
    <w:p>
      <w:pPr>
        <w:spacing w:after="0" w:line="121" w:lineRule="exact"/>
        <w:rPr>
          <w:sz w:val="20"/>
          <w:szCs w:val="20"/>
          <w:color w:val="auto"/>
        </w:rPr>
      </w:pPr>
    </w:p>
    <w:p>
      <w:pPr>
        <w:ind w:right="40"/>
        <w:spacing w:after="0" w:line="219" w:lineRule="auto"/>
        <w:rPr>
          <w:sz w:val="20"/>
          <w:szCs w:val="20"/>
          <w:color w:val="auto"/>
        </w:rPr>
      </w:pPr>
      <w:r>
        <w:rPr>
          <w:rFonts w:ascii="Arial" w:cs="Arial" w:eastAsia="Arial" w:hAnsi="Arial"/>
          <w:sz w:val="16"/>
          <w:szCs w:val="16"/>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Q3 include: Assembly Row Phase 3, Cocowalk, Darien Commons, Pike &amp; Rose Phase 3, Freedom Plaza, Huntington Shopping Center, and all properties acquired or disposed of from Q3 2020 to Q3 2021. Comparable Property property operating income ("Comparable Property POI") is a non-GAAP measure used by management in evaluating the operating performance of our properties period over period. However, given the impacts of COVID-19, management believes this metric is less relevant in the current environment, and is not necessarily indicative of our results.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Reconciliation of GAAP operating income to Comparable Property POI</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tcPr>
          <w:p>
            <w:pPr>
              <w:jc w:val="center"/>
              <w:ind w:right="217"/>
              <w:spacing w:after="0"/>
              <w:rPr>
                <w:sz w:val="20"/>
                <w:szCs w:val="20"/>
                <w:color w:val="auto"/>
              </w:rPr>
            </w:pPr>
            <w:r>
              <w:rPr>
                <w:rFonts w:ascii="Arial" w:cs="Arial" w:eastAsia="Arial" w:hAnsi="Arial"/>
                <w:sz w:val="14"/>
                <w:szCs w:val="14"/>
                <w:b w:val="1"/>
                <w:bCs w:val="1"/>
                <w:color w:val="auto"/>
                <w:w w:val="95"/>
              </w:rPr>
              <w:t>Three Months Ended</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85,573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3,688</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7"/>
                <w:szCs w:val="17"/>
                <w:color w:val="auto"/>
              </w:rPr>
              <w:t>Add: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70,611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65,631</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8"/>
                <w:szCs w:val="18"/>
                <w:color w:val="auto"/>
              </w:rPr>
            </w:pPr>
          </w:p>
        </w:tc>
        <w:tc>
          <w:tcPr>
            <w:tcW w:w="980" w:type="dxa"/>
            <w:vAlign w:val="bottom"/>
          </w:tcPr>
          <w:p>
            <w:pPr>
              <w:jc w:val="right"/>
              <w:ind w:right="140"/>
              <w:spacing w:after="0"/>
              <w:rPr>
                <w:sz w:val="20"/>
                <w:szCs w:val="20"/>
                <w:color w:val="auto"/>
              </w:rPr>
            </w:pPr>
            <w:r>
              <w:rPr>
                <w:rFonts w:ascii="Arial" w:cs="Arial" w:eastAsia="Arial" w:hAnsi="Arial"/>
                <w:sz w:val="17"/>
                <w:szCs w:val="17"/>
                <w:color w:val="auto"/>
              </w:rPr>
              <w:t>12,253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137"/>
              <w:spacing w:after="0"/>
              <w:rPr>
                <w:sz w:val="20"/>
                <w:szCs w:val="20"/>
                <w:color w:val="auto"/>
              </w:rPr>
            </w:pPr>
            <w:r>
              <w:rPr>
                <w:rFonts w:ascii="Arial" w:cs="Arial" w:eastAsia="Arial" w:hAnsi="Arial"/>
                <w:sz w:val="17"/>
                <w:szCs w:val="17"/>
                <w:color w:val="auto"/>
              </w:rPr>
              <w:t>9,308</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Impairment charge</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57,218</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tcPr>
          <w:p>
            <w:pPr>
              <w:spacing w:after="0"/>
              <w:rPr>
                <w:sz w:val="20"/>
                <w:szCs w:val="20"/>
                <w:color w:val="auto"/>
              </w:rPr>
            </w:pPr>
            <w:r>
              <w:rPr>
                <w:rFonts w:ascii="Arial" w:cs="Arial" w:eastAsia="Arial" w:hAnsi="Arial"/>
                <w:sz w:val="17"/>
                <w:szCs w:val="17"/>
                <w:color w:val="auto"/>
              </w:rPr>
              <w:t>Property operating income (POI)</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40"/>
              <w:spacing w:after="0"/>
              <w:rPr>
                <w:sz w:val="20"/>
                <w:szCs w:val="20"/>
                <w:color w:val="auto"/>
              </w:rPr>
            </w:pPr>
            <w:r>
              <w:rPr>
                <w:rFonts w:ascii="Arial" w:cs="Arial" w:eastAsia="Arial" w:hAnsi="Arial"/>
                <w:sz w:val="17"/>
                <w:szCs w:val="17"/>
                <w:color w:val="auto"/>
              </w:rPr>
              <w:t>168,437</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w w:val="97"/>
              </w:rPr>
              <w:t>135,845</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Less: Non-comparable POI - acquisitions/dispositions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(8,845)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(991)</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Non-comparable POI - redevelopment, development &amp; other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(5,382)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(1,730)</w:t>
            </w: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Comparable property POI</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154,210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97"/>
              </w:rPr>
              <w:t>133,124</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7340" w:type="dxa"/>
            <w:vAlign w:val="bottom"/>
          </w:tcPr>
          <w:p>
            <w:pPr>
              <w:spacing w:after="0"/>
              <w:rPr>
                <w:sz w:val="20"/>
                <w:szCs w:val="20"/>
                <w:color w:val="auto"/>
              </w:rPr>
            </w:pPr>
            <w:r>
              <w:rPr>
                <w:rFonts w:ascii="Arial" w:cs="Arial" w:eastAsia="Arial" w:hAnsi="Arial"/>
                <w:sz w:val="17"/>
                <w:szCs w:val="17"/>
                <w:i w:val="1"/>
                <w:iCs w:val="1"/>
                <w:color w:val="auto"/>
              </w:rPr>
              <w:t>Additional information regarding the components of Comparable Property POI</w:t>
            </w:r>
          </w:p>
        </w:tc>
        <w:tc>
          <w:tcPr>
            <w:tcW w:w="280" w:type="dxa"/>
            <w:vAlign w:val="bottom"/>
          </w:tcPr>
          <w:p>
            <w:pPr>
              <w:spacing w:after="0"/>
              <w:rPr>
                <w:sz w:val="24"/>
                <w:szCs w:val="24"/>
                <w:color w:val="auto"/>
              </w:rPr>
            </w:pPr>
          </w:p>
        </w:tc>
        <w:tc>
          <w:tcPr>
            <w:tcW w:w="2340" w:type="dxa"/>
            <w:vAlign w:val="bottom"/>
            <w:gridSpan w:val="4"/>
            <w:vMerge w:val="restart"/>
          </w:tcPr>
          <w:p>
            <w:pPr>
              <w:jc w:val="center"/>
              <w:ind w:right="217"/>
              <w:spacing w:after="0"/>
              <w:rPr>
                <w:sz w:val="20"/>
                <w:szCs w:val="20"/>
                <w:color w:val="auto"/>
              </w:rPr>
            </w:pPr>
            <w:r>
              <w:rPr>
                <w:rFonts w:ascii="Arial" w:cs="Arial" w:eastAsia="Arial" w:hAnsi="Arial"/>
                <w:sz w:val="14"/>
                <w:szCs w:val="14"/>
                <w:b w:val="1"/>
                <w:bCs w:val="1"/>
                <w:color w:val="auto"/>
                <w:w w:val="95"/>
              </w:rPr>
              <w:t>Three Months Ended</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2"/>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224,093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97"/>
              </w:rPr>
              <w:t>200,755</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Rental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(42,926)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(38,524)</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Real estate taxes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(26,957)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(29,107)</w:t>
            </w: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(69,883)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(67,631)</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Comparable property POI</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154,210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97"/>
              </w:rPr>
              <w:t>133,124</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15.8 %</w:t>
            </w:r>
          </w:p>
        </w:tc>
        <w:tc>
          <w:tcPr>
            <w:tcW w:w="0" w:type="dxa"/>
            <w:vAlign w:val="bottom"/>
          </w:tcPr>
          <w:p>
            <w:pPr>
              <w:spacing w:after="0"/>
              <w:rPr>
                <w:sz w:val="1"/>
                <w:szCs w:val="1"/>
                <w:color w:val="auto"/>
              </w:rPr>
            </w:pPr>
          </w:p>
        </w:tc>
      </w:tr>
      <w:tr>
        <w:trPr>
          <w:trHeight w:val="428"/>
        </w:trPr>
        <w:tc>
          <w:tcPr>
            <w:tcW w:w="7340" w:type="dxa"/>
            <w:vAlign w:val="bottom"/>
          </w:tcPr>
          <w:p>
            <w:pPr>
              <w:spacing w:after="0"/>
              <w:rPr>
                <w:sz w:val="20"/>
                <w:szCs w:val="20"/>
                <w:color w:val="auto"/>
              </w:rPr>
            </w:pPr>
            <w:r>
              <w:rPr>
                <w:rFonts w:ascii="Arial" w:cs="Arial" w:eastAsia="Arial" w:hAnsi="Arial"/>
                <w:sz w:val="17"/>
                <w:szCs w:val="17"/>
                <w:i w:val="1"/>
                <w:iCs w:val="1"/>
                <w:color w:val="auto"/>
              </w:rPr>
              <w:t>Comparable Property - Summary of Capital Expenditures (1)</w:t>
            </w:r>
          </w:p>
        </w:tc>
        <w:tc>
          <w:tcPr>
            <w:tcW w:w="280" w:type="dxa"/>
            <w:vAlign w:val="bottom"/>
          </w:tcPr>
          <w:p>
            <w:pPr>
              <w:spacing w:after="0"/>
              <w:rPr>
                <w:sz w:val="24"/>
                <w:szCs w:val="24"/>
                <w:color w:val="auto"/>
              </w:rPr>
            </w:pPr>
          </w:p>
        </w:tc>
        <w:tc>
          <w:tcPr>
            <w:tcW w:w="2340" w:type="dxa"/>
            <w:vAlign w:val="bottom"/>
            <w:gridSpan w:val="4"/>
            <w:vMerge w:val="restart"/>
          </w:tcPr>
          <w:p>
            <w:pPr>
              <w:jc w:val="center"/>
              <w:ind w:right="217"/>
              <w:spacing w:after="0"/>
              <w:rPr>
                <w:sz w:val="20"/>
                <w:szCs w:val="20"/>
                <w:color w:val="auto"/>
              </w:rPr>
            </w:pPr>
            <w:r>
              <w:rPr>
                <w:rFonts w:ascii="Arial" w:cs="Arial" w:eastAsia="Arial" w:hAnsi="Arial"/>
                <w:sz w:val="14"/>
                <w:szCs w:val="14"/>
                <w:b w:val="1"/>
                <w:bCs w:val="1"/>
                <w:color w:val="auto"/>
                <w:w w:val="95"/>
              </w:rPr>
              <w:t>Three Months Ended</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Redevelopment and tenant improvements and incentives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32,421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32,441</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Maintenance capital expenditures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1,131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2,261</w:t>
            </w: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33,552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34,702</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7340" w:type="dxa"/>
            <w:vAlign w:val="bottom"/>
          </w:tcPr>
          <w:p>
            <w:pPr>
              <w:spacing w:after="0"/>
              <w:rPr>
                <w:sz w:val="20"/>
                <w:szCs w:val="20"/>
                <w:color w:val="auto"/>
              </w:rPr>
            </w:pPr>
            <w:r>
              <w:rPr>
                <w:rFonts w:ascii="Arial" w:cs="Arial" w:eastAsia="Arial" w:hAnsi="Arial"/>
                <w:sz w:val="17"/>
                <w:szCs w:val="17"/>
                <w:i w:val="1"/>
                <w:iCs w:val="1"/>
                <w:color w:val="auto"/>
              </w:rPr>
              <w:t>Comparable Property - Occupancy Statistics (2)</w:t>
            </w:r>
          </w:p>
        </w:tc>
        <w:tc>
          <w:tcPr>
            <w:tcW w:w="280" w:type="dxa"/>
            <w:vAlign w:val="bottom"/>
          </w:tcPr>
          <w:p>
            <w:pPr>
              <w:spacing w:after="0"/>
              <w:rPr>
                <w:sz w:val="24"/>
                <w:szCs w:val="24"/>
                <w:color w:val="auto"/>
              </w:rPr>
            </w:pPr>
          </w:p>
        </w:tc>
        <w:tc>
          <w:tcPr>
            <w:tcW w:w="2340" w:type="dxa"/>
            <w:vAlign w:val="bottom"/>
            <w:gridSpan w:val="4"/>
            <w:vMerge w:val="restart"/>
          </w:tcPr>
          <w:p>
            <w:pPr>
              <w:jc w:val="center"/>
              <w:ind w:right="217"/>
              <w:spacing w:after="0"/>
              <w:rPr>
                <w:sz w:val="20"/>
                <w:szCs w:val="20"/>
                <w:color w:val="auto"/>
              </w:rPr>
            </w:pPr>
            <w:r>
              <w:rPr>
                <w:rFonts w:ascii="Arial" w:cs="Arial" w:eastAsia="Arial" w:hAnsi="Arial"/>
                <w:sz w:val="14"/>
                <w:szCs w:val="14"/>
                <w:b w:val="1"/>
                <w:bCs w:val="1"/>
                <w:color w:val="auto"/>
                <w:w w:val="94"/>
              </w:rPr>
              <w:t>At September 30,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vMerge w:val="continue"/>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GLA - comparable commercial properties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1"/>
              </w:rPr>
              <w:t>22,665,000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1"/>
              </w:rPr>
              <w:t>22,689,000</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7"/>
                <w:szCs w:val="17"/>
                <w:color w:val="auto"/>
              </w:rPr>
              <w:t>Leased % - comparable commercial properties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92.7 %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92.2 %</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Occupancy % - comparable commercial properties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90.9 %</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32" w:lineRule="exact"/>
        <w:rPr>
          <w:sz w:val="20"/>
          <w:szCs w:val="20"/>
          <w:color w:val="auto"/>
        </w:rPr>
      </w:pPr>
    </w:p>
    <w:p>
      <w:pPr>
        <w:ind w:left="660" w:hanging="654"/>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 page 9 for "Summary of Capital Expenditures" for our entire portfolio.</w:t>
      </w:r>
    </w:p>
    <w:p>
      <w:pPr>
        <w:spacing w:after="0" w:line="32" w:lineRule="exact"/>
        <w:rPr>
          <w:rFonts w:ascii="Arial" w:cs="Arial" w:eastAsia="Arial" w:hAnsi="Arial"/>
          <w:sz w:val="16"/>
          <w:szCs w:val="16"/>
          <w:color w:val="auto"/>
        </w:rPr>
      </w:pPr>
    </w:p>
    <w:p>
      <w:pPr>
        <w:ind w:left="660" w:hanging="654"/>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See page 27 for entire portfolio occupancy statistics.</w:t>
      </w:r>
    </w:p>
    <w:p>
      <w:pPr>
        <w:sectPr>
          <w:pgSz w:w="11900" w:h="16838" w:orient="portrait"/>
          <w:cols w:equalWidth="0" w:num="1">
            <w:col w:w="11180"/>
          </w:cols>
          <w:pgMar w:left="360" w:top="9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80"/>
          </w:cols>
          <w:pgMar w:left="360" w:top="931" w:right="359" w:bottom="1440"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 Data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183"/>
        </w:trPr>
        <w:tc>
          <w:tcPr>
            <w:tcW w:w="7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w w:val="98"/>
              </w:rPr>
              <w:t>(in thousands, except per share data)</w:t>
            </w:r>
          </w:p>
        </w:tc>
      </w:tr>
      <w:tr>
        <w:trPr>
          <w:trHeight w:val="23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Common shares outstanding and operating partnership units (1)</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78,469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76,386</w:t>
            </w:r>
          </w:p>
        </w:tc>
      </w:tr>
      <w:tr>
        <w:trPr>
          <w:trHeight w:val="230"/>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Market price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117.99</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73.44</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9,258,557</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5,609,788</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Series C preferred shares outstanding</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6</w:t>
            </w:r>
          </w:p>
        </w:tc>
      </w:tr>
      <w:tr>
        <w:trPr>
          <w:trHeight w:val="229"/>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Liquidation price per Series C preferred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25,000</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Series C preferred equity market capitalization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150,000</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150,000</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Series 1 preferred shares outstanding (2)</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400</w:t>
            </w:r>
          </w:p>
        </w:tc>
      </w:tr>
      <w:tr>
        <w:trPr>
          <w:trHeight w:val="230"/>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Liquidation price per Series 1 preferred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25.00</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Series 1 preferred equity market capitalization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10,000</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10,000</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Equity market capitalization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9,418,557</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5,769,788</w:t>
            </w:r>
          </w:p>
        </w:tc>
      </w:tr>
      <w:tr>
        <w:trPr>
          <w:trHeight w:val="216"/>
        </w:trPr>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Total debt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4,164,350</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4,460,849</w:t>
            </w:r>
          </w:p>
        </w:tc>
      </w:tr>
      <w:tr>
        <w:trPr>
          <w:trHeight w:val="230"/>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(177,591)</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(863,279)</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net debt (3)</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3,986,759</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3,597,570</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Total market capitalization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13,405,316</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9,367,358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7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Total net debt to market capitalization at market price per common share</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30 %</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38 %</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include 694,133 and 744,617 operating partnership units outstanding at September 30, 2021 and 2020,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Total net debt includes mortgages payable, notes payable, senior notes and debentures, net of premiums/discounts and debt issuance costs and net of cash and cash equivalents from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26"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As of September 30, 2021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Stated maturity date</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Stated interest rate</w:t>
            </w:r>
          </w:p>
        </w:tc>
        <w:tc>
          <w:tcPr>
            <w:tcW w:w="14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Balance</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59"/>
              <w:spacing w:after="0" w:line="13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effective rate (9)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3940" w:type="dxa"/>
            <w:vAlign w:val="bottom"/>
            <w:gridSpan w:val="4"/>
            <w:shd w:val="clear" w:color="auto" w:fill="CCEEFF"/>
          </w:tcPr>
          <w:p>
            <w:pPr>
              <w:spacing w:after="0" w:line="177" w:lineRule="exact"/>
              <w:rPr>
                <w:sz w:val="20"/>
                <w:szCs w:val="20"/>
                <w:color w:val="auto"/>
              </w:rPr>
            </w:pPr>
            <w:r>
              <w:rPr>
                <w:rFonts w:ascii="Arial" w:cs="Arial" w:eastAsia="Arial" w:hAnsi="Arial"/>
                <w:sz w:val="16"/>
                <w:szCs w:val="16"/>
                <w:color w:val="auto"/>
              </w:rPr>
              <w:t>Mortgages Payable (1)</w:t>
            </w: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i w:val="1"/>
                <w:iCs w:val="1"/>
                <w:color w:val="auto"/>
              </w:rPr>
              <w:t>Secured fixed rate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1/1/2022 (2)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52,705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Montrose Crossing</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1/10/2022 (3)</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64,121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Azalea</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11/1/2025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Bell Gardens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8/1/2026</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4.06%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12,199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6/5/2027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The Grove at Shrewsbury (East)</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9/1/2027</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43,600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7/1/2029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Hoboken (24 Buildings) (4)</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12/15/2029</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LIBOR + 1.95%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56,450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Various Hoboken (14 Buildings)</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 through 2029</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Various (5)</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32,043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Chelsea</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1/15/2031</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4,948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Hoboken (1 Building) (6)</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7/1/2042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940" w:type="dxa"/>
            <w:vAlign w:val="bottom"/>
            <w:gridSpan w:val="4"/>
          </w:tcPr>
          <w:p>
            <w:pPr>
              <w:ind w:left="700"/>
              <w:spacing w:after="0"/>
              <w:rPr>
                <w:sz w:val="20"/>
                <w:szCs w:val="20"/>
                <w:color w:val="auto"/>
              </w:rPr>
            </w:pPr>
            <w:r>
              <w:rPr>
                <w:rFonts w:ascii="Arial" w:cs="Arial" w:eastAsia="Arial" w:hAnsi="Arial"/>
                <w:sz w:val="16"/>
                <w:szCs w:val="16"/>
                <w:color w:val="auto"/>
              </w:rPr>
              <w:t>Subtotal</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458,883</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6"/>
            <w:shd w:val="clear" w:color="auto" w:fill="CCEEFF"/>
          </w:tcPr>
          <w:p>
            <w:pPr>
              <w:ind w:left="900"/>
              <w:spacing w:after="0"/>
              <w:rPr>
                <w:sz w:val="20"/>
                <w:szCs w:val="20"/>
                <w:color w:val="auto"/>
              </w:rPr>
            </w:pPr>
            <w:r>
              <w:rPr>
                <w:rFonts w:ascii="Arial" w:cs="Arial" w:eastAsia="Arial" w:hAnsi="Arial"/>
                <w:sz w:val="16"/>
                <w:szCs w:val="16"/>
                <w:color w:val="auto"/>
              </w:rPr>
              <w:t>Net unamortized debt issuance costs and premium</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940" w:type="dxa"/>
            <w:vAlign w:val="bottom"/>
            <w:tcBorders>
              <w:bottom w:val="single" w:sz="8" w:color="CCEEFF"/>
            </w:tcBorders>
            <w:gridSpan w:val="4"/>
          </w:tcPr>
          <w:p>
            <w:pPr>
              <w:ind w:left="700"/>
              <w:spacing w:after="0"/>
              <w:rPr>
                <w:sz w:val="20"/>
                <w:szCs w:val="20"/>
                <w:color w:val="auto"/>
              </w:rPr>
            </w:pPr>
            <w:r>
              <w:rPr>
                <w:rFonts w:ascii="Arial" w:cs="Arial" w:eastAsia="Arial" w:hAnsi="Arial"/>
                <w:sz w:val="16"/>
                <w:szCs w:val="16"/>
                <w:color w:val="auto"/>
              </w:rPr>
              <w:t>Total mortgages payable, net</w:t>
            </w:r>
          </w:p>
        </w:tc>
        <w:tc>
          <w:tcPr>
            <w:tcW w:w="1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457,203</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3.95%</w:t>
            </w:r>
          </w:p>
        </w:tc>
        <w:tc>
          <w:tcPr>
            <w:tcW w:w="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gridSpan w:val="4"/>
          </w:tcPr>
          <w:p>
            <w:pPr>
              <w:spacing w:after="0" w:line="175" w:lineRule="exact"/>
              <w:rPr>
                <w:sz w:val="20"/>
                <w:szCs w:val="20"/>
                <w:color w:val="auto"/>
              </w:rPr>
            </w:pPr>
            <w:r>
              <w:rPr>
                <w:rFonts w:ascii="Arial" w:cs="Arial" w:eastAsia="Arial" w:hAnsi="Arial"/>
                <w:sz w:val="16"/>
                <w:szCs w:val="16"/>
                <w:color w:val="auto"/>
              </w:rPr>
              <w:t>Notes payable</w:t>
            </w: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Revolving credit facility (7)</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1/19/2024</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LIBOR + 0.775%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Term loan</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4/16/2024</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LIBOR + 0.80%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 through 2028</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940" w:type="dxa"/>
            <w:vAlign w:val="bottom"/>
            <w:gridSpan w:val="4"/>
          </w:tcPr>
          <w:p>
            <w:pPr>
              <w:ind w:left="700"/>
              <w:spacing w:after="0"/>
              <w:rPr>
                <w:sz w:val="20"/>
                <w:szCs w:val="20"/>
                <w:color w:val="auto"/>
              </w:rPr>
            </w:pPr>
            <w:r>
              <w:rPr>
                <w:rFonts w:ascii="Arial" w:cs="Arial" w:eastAsia="Arial" w:hAnsi="Arial"/>
                <w:sz w:val="16"/>
                <w:szCs w:val="16"/>
                <w:color w:val="auto"/>
              </w:rPr>
              <w:t>Subtotal</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302,755</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900"/>
              <w:spacing w:after="0"/>
              <w:rPr>
                <w:sz w:val="20"/>
                <w:szCs w:val="20"/>
                <w:color w:val="auto"/>
              </w:rPr>
            </w:pPr>
            <w:r>
              <w:rPr>
                <w:rFonts w:ascii="Arial" w:cs="Arial" w:eastAsia="Arial" w:hAnsi="Arial"/>
                <w:sz w:val="16"/>
                <w:szCs w:val="16"/>
                <w:color w:val="auto"/>
              </w:rPr>
              <w:t>Net unamortized debt issuance costs</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940" w:type="dxa"/>
            <w:vAlign w:val="bottom"/>
            <w:tcBorders>
              <w:bottom w:val="single" w:sz="8" w:color="CCEEFF"/>
            </w:tcBorders>
            <w:gridSpan w:val="4"/>
          </w:tcPr>
          <w:p>
            <w:pPr>
              <w:ind w:left="700"/>
              <w:spacing w:after="0"/>
              <w:rPr>
                <w:sz w:val="20"/>
                <w:szCs w:val="20"/>
                <w:color w:val="auto"/>
              </w:rPr>
            </w:pPr>
            <w:r>
              <w:rPr>
                <w:rFonts w:ascii="Arial" w:cs="Arial" w:eastAsia="Arial" w:hAnsi="Arial"/>
                <w:sz w:val="16"/>
                <w:szCs w:val="16"/>
                <w:color w:val="auto"/>
              </w:rPr>
              <w:t>Total notes payable, net</w:t>
            </w:r>
          </w:p>
        </w:tc>
        <w:tc>
          <w:tcPr>
            <w:tcW w:w="1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301,462</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1.15%</w:t>
            </w:r>
          </w:p>
        </w:tc>
        <w:tc>
          <w:tcPr>
            <w:tcW w:w="48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w w:val="98"/>
              </w:rPr>
              <w:t>(10)</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40" w:type="dxa"/>
            <w:vAlign w:val="bottom"/>
            <w:gridSpan w:val="4"/>
          </w:tcPr>
          <w:p>
            <w:pPr>
              <w:spacing w:after="0" w:line="175" w:lineRule="exact"/>
              <w:rPr>
                <w:sz w:val="20"/>
                <w:szCs w:val="20"/>
                <w:color w:val="auto"/>
              </w:rPr>
            </w:pPr>
            <w:r>
              <w:rPr>
                <w:rFonts w:ascii="Arial" w:cs="Arial" w:eastAsia="Arial" w:hAnsi="Arial"/>
                <w:sz w:val="16"/>
                <w:szCs w:val="16"/>
                <w:color w:val="auto"/>
              </w:rPr>
              <w:t>Senior notes and debentures</w:t>
            </w: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i w:val="1"/>
                <w:iCs w:val="1"/>
                <w:color w:val="auto"/>
              </w:rPr>
              <w:t>Unsecured fixed rate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2.75%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6/1/2023</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3.95% notes</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1/15/2024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1.25%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2/15/2026</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8/15/2026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3.25%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7/15/2027</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3.25%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475,000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8/1/2027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3.20%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6/15/2029</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3.20%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3.50% notes</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6/1/2030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4.50%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12/1/2044</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3.625% notes</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8/1/2046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3.63%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940" w:type="dxa"/>
            <w:vAlign w:val="bottom"/>
            <w:gridSpan w:val="4"/>
          </w:tcPr>
          <w:p>
            <w:pPr>
              <w:ind w:left="700"/>
              <w:spacing w:after="0"/>
              <w:rPr>
                <w:sz w:val="20"/>
                <w:szCs w:val="20"/>
                <w:color w:val="auto"/>
              </w:rPr>
            </w:pPr>
            <w:r>
              <w:rPr>
                <w:rFonts w:ascii="Arial" w:cs="Arial" w:eastAsia="Arial" w:hAnsi="Arial"/>
                <w:sz w:val="16"/>
                <w:szCs w:val="16"/>
                <w:color w:val="auto"/>
              </w:rPr>
              <w:t>Subtotal</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3,419,200</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880" w:type="dxa"/>
            <w:vAlign w:val="bottom"/>
            <w:gridSpan w:val="6"/>
            <w:shd w:val="clear" w:color="auto" w:fill="CCEEFF"/>
          </w:tcPr>
          <w:p>
            <w:pPr>
              <w:ind w:left="900"/>
              <w:spacing w:after="0"/>
              <w:rPr>
                <w:sz w:val="20"/>
                <w:szCs w:val="20"/>
                <w:color w:val="auto"/>
              </w:rPr>
            </w:pPr>
            <w:r>
              <w:rPr>
                <w:rFonts w:ascii="Arial" w:cs="Arial" w:eastAsia="Arial" w:hAnsi="Arial"/>
                <w:sz w:val="16"/>
                <w:szCs w:val="16"/>
                <w:color w:val="auto"/>
              </w:rPr>
              <w:t>Net unamortized debt issuance costs and premium</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3940" w:type="dxa"/>
            <w:vAlign w:val="bottom"/>
            <w:tcBorders>
              <w:bottom w:val="single" w:sz="8" w:color="CCEEFF"/>
            </w:tcBorders>
            <w:gridSpan w:val="4"/>
          </w:tcPr>
          <w:p>
            <w:pPr>
              <w:ind w:left="700"/>
              <w:spacing w:after="0"/>
              <w:rPr>
                <w:sz w:val="20"/>
                <w:szCs w:val="20"/>
                <w:color w:val="auto"/>
              </w:rPr>
            </w:pPr>
            <w:r>
              <w:rPr>
                <w:rFonts w:ascii="Arial" w:cs="Arial" w:eastAsia="Arial" w:hAnsi="Arial"/>
                <w:sz w:val="16"/>
                <w:szCs w:val="16"/>
                <w:color w:val="auto"/>
              </w:rPr>
              <w:t>Total senior notes and debentures, net</w:t>
            </w:r>
          </w:p>
        </w:tc>
        <w:tc>
          <w:tcPr>
            <w:tcW w:w="1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3,405,685</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color w:val="auto"/>
              </w:rPr>
              <w:t>3.49%</w:t>
            </w:r>
          </w:p>
        </w:tc>
        <w:tc>
          <w:tcPr>
            <w:tcW w:w="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Arial" w:cs="Arial" w:eastAsia="Arial" w:hAnsi="Arial"/>
                <w:sz w:val="16"/>
                <w:szCs w:val="16"/>
                <w:color w:val="auto"/>
              </w:rPr>
              <w:t>Total debt, net</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4,164,350</w:t>
            </w:r>
          </w:p>
        </w:tc>
        <w:tc>
          <w:tcPr>
            <w:tcW w:w="100" w:type="dxa"/>
            <w:vAlign w:val="bottom"/>
          </w:tcPr>
          <w:p>
            <w:pPr>
              <w:spacing w:after="0"/>
              <w:rPr>
                <w:sz w:val="18"/>
                <w:szCs w:val="18"/>
                <w:color w:val="auto"/>
              </w:rPr>
            </w:pPr>
          </w:p>
        </w:tc>
        <w:tc>
          <w:tcPr>
            <w:tcW w:w="840" w:type="dxa"/>
            <w:vAlign w:val="bottom"/>
          </w:tcPr>
          <w:p>
            <w:pPr>
              <w:jc w:val="right"/>
              <w:ind w:right="5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Arial" w:cs="Arial" w:eastAsia="Arial" w:hAnsi="Arial"/>
                <w:sz w:val="16"/>
                <w:szCs w:val="16"/>
                <w:color w:val="auto"/>
              </w:rPr>
              <w:t>Total fixed rate debt, net</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3,865,595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18"/>
                <w:szCs w:val="18"/>
                <w:color w:val="auto"/>
              </w:rPr>
            </w:pPr>
          </w:p>
        </w:tc>
        <w:tc>
          <w:tcPr>
            <w:tcW w:w="920" w:type="dxa"/>
            <w:vAlign w:val="bottom"/>
          </w:tcPr>
          <w:p>
            <w:pPr>
              <w:jc w:val="right"/>
              <w:ind w:right="161"/>
              <w:spacing w:after="0"/>
              <w:rPr>
                <w:sz w:val="20"/>
                <w:szCs w:val="20"/>
                <w:color w:val="auto"/>
              </w:rPr>
            </w:pPr>
            <w:r>
              <w:rPr>
                <w:rFonts w:ascii="Arial" w:cs="Arial" w:eastAsia="Arial" w:hAnsi="Arial"/>
                <w:sz w:val="16"/>
                <w:szCs w:val="16"/>
                <w:color w:val="auto"/>
              </w:rPr>
              <w:t>3.55%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Total variable rate debt,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298,755</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1.05%</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Arial" w:cs="Arial" w:eastAsia="Arial" w:hAnsi="Arial"/>
                <w:sz w:val="16"/>
                <w:szCs w:val="16"/>
                <w:color w:val="auto"/>
              </w:rPr>
              <w:t>Total debt, net</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4,164,350</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3.37%</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w w:val="98"/>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3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840" w:type="dxa"/>
            <w:vAlign w:val="bottom"/>
            <w:gridSpan w:val="4"/>
          </w:tcPr>
          <w:p>
            <w:pPr>
              <w:ind w:left="460"/>
              <w:spacing w:after="0"/>
              <w:rPr>
                <w:sz w:val="20"/>
                <w:szCs w:val="20"/>
                <w:color w:val="auto"/>
              </w:rPr>
            </w:pPr>
            <w:r>
              <w:rPr>
                <w:rFonts w:ascii="Arial" w:cs="Arial" w:eastAsia="Arial" w:hAnsi="Arial"/>
                <w:sz w:val="14"/>
                <w:szCs w:val="14"/>
                <w:b w:val="1"/>
                <w:bCs w:val="1"/>
                <w:color w:val="auto"/>
                <w:w w:val="98"/>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3"/>
          </w:tcPr>
          <w:p>
            <w:pPr>
              <w:ind w:left="500"/>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8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September 30,</w:t>
            </w:r>
          </w:p>
        </w:tc>
      </w:tr>
      <w:tr>
        <w:trPr>
          <w:trHeight w:val="186"/>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0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060" w:type="dxa"/>
            <w:vAlign w:val="bottom"/>
          </w:tcPr>
          <w:p>
            <w:pPr>
              <w:jc w:val="right"/>
              <w:ind w:right="304"/>
              <w:spacing w:after="0"/>
              <w:rPr>
                <w:sz w:val="20"/>
                <w:szCs w:val="20"/>
                <w:color w:val="auto"/>
              </w:rPr>
            </w:pPr>
            <w:r>
              <w:rPr>
                <w:rFonts w:ascii="Arial" w:cs="Arial" w:eastAsia="Arial" w:hAnsi="Arial"/>
                <w:sz w:val="14"/>
                <w:szCs w:val="14"/>
                <w:b w:val="1"/>
                <w:bCs w:val="1"/>
                <w:color w:val="auto"/>
              </w:rPr>
              <w:t>2020</w:t>
            </w:r>
          </w:p>
        </w:tc>
      </w:tr>
      <w:tr>
        <w:trPr>
          <w:trHeight w:val="158"/>
        </w:trPr>
        <w:tc>
          <w:tcPr>
            <w:tcW w:w="20" w:type="dxa"/>
            <w:vAlign w:val="bottom"/>
          </w:tcPr>
          <w:p>
            <w:pPr>
              <w:spacing w:after="0"/>
              <w:rPr>
                <w:sz w:val="13"/>
                <w:szCs w:val="13"/>
                <w:color w:val="auto"/>
              </w:rPr>
            </w:pPr>
          </w:p>
        </w:tc>
        <w:tc>
          <w:tcPr>
            <w:tcW w:w="6680" w:type="dxa"/>
            <w:vAlign w:val="bottom"/>
            <w:gridSpan w:val="2"/>
          </w:tcPr>
          <w:p>
            <w:pPr>
              <w:jc w:val="right"/>
              <w:ind w:right="5280"/>
              <w:spacing w:after="0" w:line="158" w:lineRule="exact"/>
              <w:rPr>
                <w:sz w:val="20"/>
                <w:szCs w:val="20"/>
                <w:color w:val="auto"/>
              </w:rPr>
            </w:pPr>
            <w:r>
              <w:rPr>
                <w:rFonts w:ascii="Arial" w:cs="Arial" w:eastAsia="Arial" w:hAnsi="Arial"/>
                <w:sz w:val="16"/>
                <w:szCs w:val="16"/>
                <w:color w:val="auto"/>
                <w:w w:val="91"/>
              </w:rPr>
              <w:t>Operational Statistics</w:t>
            </w:r>
          </w:p>
        </w:tc>
        <w:tc>
          <w:tcPr>
            <w:tcW w:w="6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360" w:type="dxa"/>
            <w:vAlign w:val="bottom"/>
            <w:gridSpan w:val="3"/>
            <w:shd w:val="clear" w:color="auto" w:fill="CCEEFF"/>
          </w:tcPr>
          <w:p>
            <w:pPr>
              <w:jc w:val="right"/>
              <w:ind w:right="1768"/>
              <w:spacing w:after="0"/>
              <w:rPr>
                <w:sz w:val="20"/>
                <w:szCs w:val="20"/>
                <w:color w:val="auto"/>
              </w:rPr>
            </w:pPr>
            <w:r>
              <w:rPr>
                <w:rFonts w:ascii="Arial" w:cs="Arial" w:eastAsia="Arial" w:hAnsi="Arial"/>
                <w:sz w:val="16"/>
                <w:szCs w:val="16"/>
                <w:color w:val="auto"/>
                <w:w w:val="96"/>
              </w:rPr>
              <w:t>Ratio of EBITDAre to combined fixed charges and preferred share dividends (11)</w:t>
            </w:r>
          </w:p>
        </w:tc>
        <w:tc>
          <w:tcPr>
            <w:tcW w:w="1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3.89x</w:t>
            </w: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2.79x</w:t>
            </w:r>
          </w:p>
        </w:tc>
        <w:tc>
          <w:tcPr>
            <w:tcW w:w="11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3.52x</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2.94x</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360" w:hanging="652"/>
        <w:spacing w:after="0" w:line="273" w:lineRule="auto"/>
        <w:tabs>
          <w:tab w:leader="none" w:pos="658" w:val="left"/>
        </w:tabs>
        <w:numPr>
          <w:ilvl w:val="0"/>
          <w:numId w:val="14"/>
        </w:numPr>
        <w:rPr>
          <w:rFonts w:ascii="Arial" w:cs="Arial" w:eastAsia="Arial" w:hAnsi="Arial"/>
          <w:sz w:val="14"/>
          <w:szCs w:val="14"/>
          <w:color w:val="auto"/>
        </w:rPr>
      </w:pPr>
      <w:r>
        <w:rPr>
          <w:rFonts w:ascii="Arial" w:cs="Arial" w:eastAsia="Arial" w:hAnsi="Arial"/>
          <w:sz w:val="14"/>
          <w:szCs w:val="14"/>
          <w:color w:val="auto"/>
        </w:rPr>
        <w:t>Mortgages payable does not include our share of debt on our unconsolidated real estate partnerships. At September 30, 2021, our share of unconsolidated debt was approximately $28.7 million. At September 30, 2021, our noncontrolling interests' share of mortgages payable was $44.8 million.</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This mortgage loan was repaid, at par, on November 2, 2021.</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This mortgage loan was repaid, at par, on October 12, 2021.</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have two interest rate swap agreements that fix the interest rate on the mortgage loan at 3.67%.</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interest rates on these mortgages range from 3.91% to 5.00%.</w:t>
      </w:r>
    </w:p>
    <w:p>
      <w:pPr>
        <w:spacing w:after="0" w:line="55" w:lineRule="exact"/>
        <w:rPr>
          <w:rFonts w:ascii="Arial" w:cs="Arial" w:eastAsia="Arial" w:hAnsi="Arial"/>
          <w:sz w:val="14"/>
          <w:szCs w:val="14"/>
          <w:color w:val="auto"/>
        </w:rPr>
      </w:pPr>
    </w:p>
    <w:p>
      <w:pPr>
        <w:ind w:left="660" w:hanging="652"/>
        <w:spacing w:after="0" w:line="273" w:lineRule="auto"/>
        <w:tabs>
          <w:tab w:leader="none" w:pos="658"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mortgage loan has a fixed interest rate; however, the rate resets every five years until maturity. The current rate is fixed until July 1, 2022, and the loan is prepayable at par anytime after this date.</w:t>
      </w:r>
    </w:p>
    <w:p>
      <w:pPr>
        <w:spacing w:after="0" w:line="36"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4"/>
          <w:szCs w:val="14"/>
          <w:color w:val="auto"/>
        </w:rPr>
        <w:t>During the three months ended September 30, 2021, there were no borrowings on our $1.0 billion revolving credit facility.</w:t>
      </w:r>
    </w:p>
    <w:p>
      <w:pPr>
        <w:spacing w:after="0" w:line="33" w:lineRule="exact"/>
        <w:rPr>
          <w:rFonts w:ascii="Arial" w:cs="Arial" w:eastAsia="Arial" w:hAnsi="Arial"/>
          <w:sz w:val="16"/>
          <w:szCs w:val="16"/>
          <w:color w:val="auto"/>
        </w:rPr>
      </w:pPr>
    </w:p>
    <w:p>
      <w:pPr>
        <w:ind w:left="660" w:hanging="652"/>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weighted average remaining term on our mortgages payable, notes payable, and senior notes and debentures is approximately 8 years.</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weighted average effective interest rate includes the amortization of any debt issuance costs and discounts and premiums, if applicable, except as described in Note 10.</w:t>
      </w:r>
    </w:p>
    <w:p>
      <w:pPr>
        <w:spacing w:after="0" w:line="66" w:lineRule="exact"/>
        <w:rPr>
          <w:rFonts w:ascii="Arial" w:cs="Arial" w:eastAsia="Arial" w:hAnsi="Arial"/>
          <w:sz w:val="13"/>
          <w:szCs w:val="13"/>
          <w:color w:val="auto"/>
        </w:rPr>
      </w:pPr>
    </w:p>
    <w:p>
      <w:pPr>
        <w:ind w:left="640" w:hanging="632"/>
        <w:spacing w:after="0"/>
        <w:tabs>
          <w:tab w:leader="none" w:pos="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$0.6 million in quarterly financing fees and quarterly debt fee amortization on our revolving credit facility.</w:t>
      </w:r>
    </w:p>
    <w:p>
      <w:pPr>
        <w:spacing w:after="0" w:line="55" w:lineRule="exact"/>
        <w:rPr>
          <w:rFonts w:ascii="Arial" w:cs="Arial" w:eastAsia="Arial" w:hAnsi="Arial"/>
          <w:sz w:val="14"/>
          <w:szCs w:val="14"/>
          <w:color w:val="auto"/>
        </w:rPr>
      </w:pPr>
    </w:p>
    <w:p>
      <w:pPr>
        <w:ind w:left="660" w:right="220" w:hanging="652"/>
        <w:spacing w:after="0" w:line="273" w:lineRule="auto"/>
        <w:tabs>
          <w:tab w:leader="none" w:pos="644"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and finance leases (including capitalized interest), amortization of debt discount/premium and debt costs, and the portion of rent expense representing an interest factor. EBITDAre is reconciled to net income in the Glossary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27" w:right="339" w:bottom="1440" w:gutter="0" w:footer="0" w:header="0"/>
        </w:sectPr>
      </w:pPr>
    </w:p>
    <w:bookmarkStart w:id="18" w:name="page19"/>
    <w:bookmarkEnd w:id="1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2021</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vMerge w:val="restart"/>
          </w:tcPr>
          <w:p>
            <w:pPr>
              <w:jc w:val="center"/>
              <w:ind w:right="620"/>
              <w:spacing w:after="0"/>
              <w:rPr>
                <w:sz w:val="20"/>
                <w:szCs w:val="20"/>
                <w:color w:val="auto"/>
              </w:rPr>
            </w:pPr>
            <w:r>
              <w:rPr>
                <w:rFonts w:ascii="Arial" w:cs="Arial" w:eastAsia="Arial" w:hAnsi="Arial"/>
                <w:sz w:val="16"/>
                <w:szCs w:val="16"/>
                <w:b w:val="1"/>
                <w:bCs w:val="1"/>
                <w:color w:val="auto"/>
                <w:w w:val="86"/>
              </w:rPr>
              <w:t>Scheduled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restart"/>
          </w:tcPr>
          <w:p>
            <w:pPr>
              <w:jc w:val="right"/>
              <w:ind w:right="11"/>
              <w:spacing w:after="0"/>
              <w:rPr>
                <w:sz w:val="20"/>
                <w:szCs w:val="20"/>
                <w:color w:val="auto"/>
              </w:rPr>
            </w:pPr>
            <w:r>
              <w:rPr>
                <w:rFonts w:ascii="Arial" w:cs="Arial" w:eastAsia="Arial" w:hAnsi="Arial"/>
                <w:sz w:val="16"/>
                <w:szCs w:val="16"/>
                <w:b w:val="1"/>
                <w:bCs w:val="1"/>
                <w:color w:val="auto"/>
                <w:w w:val="98"/>
              </w:rPr>
              <w:t>Percent of Debt</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660" w:type="dxa"/>
            <w:vAlign w:val="bottom"/>
            <w:vMerge w:val="restart"/>
          </w:tcPr>
          <w:p>
            <w:pPr>
              <w:jc w:val="right"/>
              <w:ind w:right="571"/>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1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w:t>
            </w:r>
          </w:p>
        </w:tc>
        <w:tc>
          <w:tcPr>
            <w:tcW w:w="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Maturities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restart"/>
          </w:tcPr>
          <w:p>
            <w:pPr>
              <w:jc w:val="right"/>
              <w:ind w:right="759"/>
              <w:spacing w:after="0"/>
              <w:rPr>
                <w:sz w:val="20"/>
                <w:szCs w:val="20"/>
                <w:color w:val="auto"/>
              </w:rPr>
            </w:pPr>
            <w:r>
              <w:rPr>
                <w:rFonts w:ascii="Arial" w:cs="Arial" w:eastAsia="Arial" w:hAnsi="Arial"/>
                <w:sz w:val="16"/>
                <w:szCs w:val="16"/>
                <w:b w:val="1"/>
                <w:bCs w:val="1"/>
                <w:color w:val="auto"/>
              </w:rPr>
              <w:t>Total</w:t>
            </w:r>
          </w:p>
        </w:tc>
        <w:tc>
          <w:tcPr>
            <w:tcW w:w="1280" w:type="dxa"/>
            <w:vAlign w:val="bottom"/>
            <w:vMerge w:val="continue"/>
          </w:tcPr>
          <w:p>
            <w:pPr>
              <w:spacing w:after="0"/>
              <w:rPr>
                <w:sz w:val="14"/>
                <w:szCs w:val="14"/>
                <w:color w:val="auto"/>
              </w:rPr>
            </w:pPr>
          </w:p>
        </w:tc>
        <w:tc>
          <w:tcPr>
            <w:tcW w:w="15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Percent of Debt</w:t>
            </w: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6"/>
              </w:rPr>
              <w:t>Amortization</w:t>
            </w: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80" w:type="dxa"/>
            <w:vAlign w:val="bottom"/>
          </w:tcPr>
          <w:p>
            <w:pPr>
              <w:jc w:val="right"/>
              <w:ind w:right="211"/>
              <w:spacing w:after="0"/>
              <w:rPr>
                <w:sz w:val="20"/>
                <w:szCs w:val="20"/>
                <w:color w:val="auto"/>
              </w:rPr>
            </w:pPr>
            <w:r>
              <w:rPr>
                <w:rFonts w:ascii="Arial" w:cs="Arial" w:eastAsia="Arial" w:hAnsi="Arial"/>
                <w:sz w:val="16"/>
                <w:szCs w:val="16"/>
                <w:b w:val="1"/>
                <w:bCs w:val="1"/>
                <w:color w:val="auto"/>
              </w:rPr>
              <w:t>Maturing</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7"/>
              </w:rPr>
              <w:t>Maturing</w:t>
            </w:r>
          </w:p>
        </w:tc>
        <w:tc>
          <w:tcPr>
            <w:tcW w:w="1660" w:type="dxa"/>
            <w:vAlign w:val="bottom"/>
          </w:tcPr>
          <w:p>
            <w:pPr>
              <w:jc w:val="right"/>
              <w:ind w:right="331"/>
              <w:spacing w:after="0"/>
              <w:rPr>
                <w:sz w:val="20"/>
                <w:szCs w:val="20"/>
                <w:color w:val="auto"/>
              </w:rPr>
            </w:pPr>
            <w:r>
              <w:rPr>
                <w:rFonts w:ascii="Arial" w:cs="Arial" w:eastAsia="Arial" w:hAnsi="Arial"/>
                <w:sz w:val="16"/>
                <w:szCs w:val="16"/>
                <w:b w:val="1"/>
                <w:bCs w:val="1"/>
                <w:color w:val="auto"/>
                <w:w w:val="96"/>
              </w:rPr>
              <w:t>Average Rate (4)</w:t>
            </w:r>
          </w:p>
        </w:tc>
        <w:tc>
          <w:tcPr>
            <w:tcW w:w="0" w:type="dxa"/>
            <w:vAlign w:val="bottom"/>
          </w:tcPr>
          <w:p>
            <w:pPr>
              <w:spacing w:after="0"/>
              <w:rPr>
                <w:sz w:val="1"/>
                <w:szCs w:val="1"/>
                <w:color w:val="auto"/>
              </w:rPr>
            </w:pPr>
          </w:p>
        </w:tc>
      </w:tr>
      <w:tr>
        <w:trPr>
          <w:trHeight w:val="184"/>
        </w:trPr>
        <w:tc>
          <w:tcPr>
            <w:tcW w:w="15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(in thousands)</w:t>
            </w:r>
          </w:p>
        </w:tc>
        <w:tc>
          <w:tcPr>
            <w:tcW w:w="5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116,519</w:t>
            </w:r>
          </w:p>
        </w:tc>
        <w:tc>
          <w:tcPr>
            <w:tcW w:w="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117,433</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2.8 %</w:t>
            </w:r>
          </w:p>
        </w:tc>
        <w:tc>
          <w:tcPr>
            <w:tcW w:w="16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156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4,134</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2.9 %</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279,314</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9.6 %</w:t>
            </w:r>
          </w:p>
        </w:tc>
        <w:tc>
          <w:tcPr>
            <w:tcW w:w="16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156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900,000</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904,344</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21.6 %</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31.2 %</w:t>
            </w:r>
          </w:p>
        </w:tc>
        <w:tc>
          <w:tcPr>
            <w:tcW w:w="1660" w:type="dxa"/>
            <w:vAlign w:val="bottom"/>
          </w:tcPr>
          <w:p>
            <w:pPr>
              <w:jc w:val="right"/>
              <w:ind w:right="91"/>
              <w:spacing w:after="0"/>
              <w:rPr>
                <w:sz w:val="20"/>
                <w:szCs w:val="20"/>
                <w:color w:val="auto"/>
              </w:rPr>
            </w:pPr>
            <w:r>
              <w:rPr>
                <w:rFonts w:ascii="Arial" w:cs="Arial" w:eastAsia="Arial" w:hAnsi="Arial"/>
                <w:sz w:val="18"/>
                <w:szCs w:val="18"/>
                <w:color w:val="auto"/>
              </w:rPr>
              <w:t xml:space="preserve">2.8 % </w:t>
            </w: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44,298</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48,366</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32.4 %</w:t>
            </w:r>
          </w:p>
        </w:tc>
        <w:tc>
          <w:tcPr>
            <w:tcW w:w="16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156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3,465</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452,450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455,915</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10.9 %</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43.3 %</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690,570</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693,618</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59.9 %</w:t>
            </w:r>
          </w:p>
        </w:tc>
        <w:tc>
          <w:tcPr>
            <w:tcW w:w="16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1560" w:type="dxa"/>
            <w:vAlign w:val="bottom"/>
          </w:tcPr>
          <w:p>
            <w:pPr>
              <w:ind w:left="20"/>
              <w:spacing w:after="0"/>
              <w:rPr>
                <w:sz w:val="20"/>
                <w:szCs w:val="20"/>
                <w:color w:val="auto"/>
              </w:rPr>
            </w:pPr>
            <w:r>
              <w:rPr>
                <w:rFonts w:ascii="Arial" w:cs="Arial" w:eastAsia="Arial" w:hAnsi="Arial"/>
                <w:sz w:val="18"/>
                <w:szCs w:val="18"/>
                <w:color w:val="auto"/>
              </w:rPr>
              <w:t>2028</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2,934</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60.0 %</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458,099</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460,869</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71.0 %</w:t>
            </w:r>
          </w:p>
        </w:tc>
        <w:tc>
          <w:tcPr>
            <w:tcW w:w="16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1560" w:type="dxa"/>
            <w:vAlign w:val="bottom"/>
          </w:tcPr>
          <w:p>
            <w:pPr>
              <w:ind w:left="20"/>
              <w:spacing w:after="0"/>
              <w:rPr>
                <w:sz w:val="20"/>
                <w:szCs w:val="20"/>
                <w:color w:val="auto"/>
              </w:rPr>
            </w:pPr>
            <w:r>
              <w:rPr>
                <w:rFonts w:ascii="Arial" w:cs="Arial" w:eastAsia="Arial" w:hAnsi="Arial"/>
                <w:sz w:val="18"/>
                <w:szCs w:val="18"/>
                <w:color w:val="auto"/>
              </w:rPr>
              <w:t>2030</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1,141</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401,141</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9.6 %</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80.6 %</w:t>
            </w: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4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805,899</w:t>
            </w: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812,770</w:t>
            </w:r>
          </w:p>
        </w:tc>
        <w:tc>
          <w:tcPr>
            <w:tcW w:w="3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100.0 %</w:t>
            </w:r>
          </w:p>
        </w:tc>
        <w:tc>
          <w:tcPr>
            <w:tcW w:w="16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3"/>
        </w:trPr>
        <w:tc>
          <w:tcPr>
            <w:tcW w:w="156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38,003</w:t>
            </w:r>
          </w:p>
        </w:tc>
        <w:tc>
          <w:tcPr>
            <w:tcW w:w="4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4,142,835</w:t>
            </w:r>
          </w:p>
        </w:tc>
        <w:tc>
          <w:tcPr>
            <w:tcW w:w="5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4,180,838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w w:val="91"/>
              </w:rPr>
              <w:t>(3)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repaid two mortgage loans, at par, on October 12, 2021 and November 2, 2021 representing the $116.5 million of 2021 maturities.</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$300.0 million term loan matures on April 16, 2024, plus two one-year extensions at our option.</w:t>
      </w:r>
    </w:p>
    <w:p>
      <w:pPr>
        <w:spacing w:after="0" w:line="59"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total debt maturities differ from the total reported on the consolidated balance sheet due to the debt issuance costs and unamortized net premium/discount on certain mortgage loans, notes payable, and senior notes as of September 30, 2021.</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right="60" w:hanging="652"/>
        <w:spacing w:after="0" w:line="349"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weighted average rate excludes $0.6 million in quarterly financing fees and quarterly debt fee amortization on our $1.0 billion revolving credit facility, which had no balance outstanding at September 30, 2021. Our revolving credit facility matures on January 19, 2024, plus two six-month extensions at our option.</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026" w:right="359" w:bottom="1440" w:gutter="0" w:footer="0" w:header="0"/>
        </w:sectPr>
      </w:pPr>
    </w:p>
    <w:bookmarkStart w:id="19" w:name="page20"/>
    <w:bookmarkEnd w:id="19"/>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2021</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 (1)</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Impacts of Current Environment:</w:t>
      </w:r>
    </w:p>
    <w:p>
      <w:pPr>
        <w:spacing w:after="0" w:line="32" w:lineRule="exact"/>
        <w:rPr>
          <w:sz w:val="20"/>
          <w:szCs w:val="20"/>
          <w:color w:val="auto"/>
        </w:rPr>
      </w:pPr>
    </w:p>
    <w:p>
      <w:pPr>
        <w:ind w:left="20" w:right="100"/>
        <w:spacing w:after="0" w:line="236" w:lineRule="auto"/>
        <w:rPr>
          <w:sz w:val="20"/>
          <w:szCs w:val="20"/>
          <w:color w:val="auto"/>
        </w:rPr>
      </w:pPr>
      <w:r>
        <w:rPr>
          <w:rFonts w:ascii="Arial" w:cs="Arial" w:eastAsia="Arial" w:hAnsi="Arial"/>
          <w:sz w:val="14"/>
          <w:szCs w:val="14"/>
          <w:color w:val="auto"/>
        </w:rPr>
        <w:t>Information provided below reflects management’s best estimate based on current available information, however the completion of construction, final costs, return on investment, and timing of stabilization may be impacted by the current environment, including the impacts of COVID-19 and supply chain disruptions currently affecting the broader economy.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100" w:type="dxa"/>
            <w:vAlign w:val="bottom"/>
          </w:tcPr>
          <w:p>
            <w:pPr>
              <w:spacing w:after="0"/>
              <w:rPr>
                <w:sz w:val="14"/>
                <w:szCs w:val="14"/>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7"/>
              </w:rPr>
              <w:t>Projected</w:t>
            </w:r>
          </w:p>
        </w:tc>
        <w:tc>
          <w:tcPr>
            <w:tcW w:w="120" w:type="dxa"/>
            <w:vAlign w:val="bottom"/>
          </w:tcPr>
          <w:p>
            <w:pPr>
              <w:spacing w:after="0"/>
              <w:rPr>
                <w:sz w:val="14"/>
                <w:szCs w:val="14"/>
                <w:color w:val="auto"/>
              </w:rPr>
            </w:pP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5"/>
              </w:rPr>
              <w:t>Cost to</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35"/>
        </w:trPr>
        <w:tc>
          <w:tcPr>
            <w:tcW w:w="14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Property</w:t>
            </w:r>
          </w:p>
        </w:tc>
        <w:tc>
          <w:tcPr>
            <w:tcW w:w="13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Location</w:t>
            </w:r>
          </w:p>
        </w:tc>
        <w:tc>
          <w:tcPr>
            <w:tcW w:w="514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Opportunity</w:t>
            </w: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88"/>
        </w:trPr>
        <w:tc>
          <w:tcPr>
            <w:tcW w:w="146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51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ROI (2)</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Cost (1)</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Date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77"/>
        </w:trPr>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color w:val="auto"/>
              </w:rPr>
              <w:t>(in millions) (in millions)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460" w:type="dxa"/>
            <w:vAlign w:val="bottom"/>
          </w:tcPr>
          <w:p>
            <w:pPr>
              <w:ind w:left="20"/>
              <w:spacing w:after="0"/>
              <w:rPr>
                <w:sz w:val="20"/>
                <w:szCs w:val="20"/>
                <w:color w:val="auto"/>
              </w:rPr>
            </w:pPr>
            <w:r>
              <w:rPr>
                <w:rFonts w:ascii="Arial" w:cs="Arial" w:eastAsia="Arial" w:hAnsi="Arial"/>
                <w:sz w:val="14"/>
                <w:szCs w:val="14"/>
                <w:color w:val="auto"/>
              </w:rPr>
              <w:t>Darien Commons</w:t>
            </w:r>
          </w:p>
        </w:tc>
        <w:tc>
          <w:tcPr>
            <w:tcW w:w="1340" w:type="dxa"/>
            <w:vAlign w:val="bottom"/>
          </w:tcPr>
          <w:p>
            <w:pPr>
              <w:ind w:left="140"/>
              <w:spacing w:after="0"/>
              <w:rPr>
                <w:sz w:val="20"/>
                <w:szCs w:val="20"/>
                <w:color w:val="auto"/>
              </w:rPr>
            </w:pPr>
            <w:r>
              <w:rPr>
                <w:rFonts w:ascii="Arial" w:cs="Arial" w:eastAsia="Arial" w:hAnsi="Arial"/>
                <w:sz w:val="14"/>
                <w:szCs w:val="14"/>
                <w:color w:val="auto"/>
              </w:rPr>
              <w:t>Darien, CT</w:t>
            </w:r>
          </w:p>
        </w:tc>
        <w:tc>
          <w:tcPr>
            <w:tcW w:w="5140" w:type="dxa"/>
            <w:vAlign w:val="bottom"/>
          </w:tcPr>
          <w:p>
            <w:pPr>
              <w:ind w:left="100"/>
              <w:spacing w:after="0"/>
              <w:rPr>
                <w:sz w:val="20"/>
                <w:szCs w:val="20"/>
                <w:color w:val="auto"/>
              </w:rPr>
            </w:pPr>
            <w:r>
              <w:rPr>
                <w:rFonts w:ascii="Arial" w:cs="Arial" w:eastAsia="Arial" w:hAnsi="Arial"/>
                <w:sz w:val="14"/>
                <w:szCs w:val="14"/>
                <w:color w:val="auto"/>
                <w:w w:val="97"/>
              </w:rPr>
              <w:t>Demolition of a 45,000 square foot anchor space to construct 75,000 square feet of</w:t>
            </w:r>
          </w:p>
        </w:tc>
        <w:tc>
          <w:tcPr>
            <w:tcW w:w="760" w:type="dxa"/>
            <w:vAlign w:val="bottom"/>
          </w:tcPr>
          <w:p>
            <w:pPr>
              <w:jc w:val="right"/>
              <w:spacing w:after="0"/>
              <w:rPr>
                <w:sz w:val="20"/>
                <w:szCs w:val="20"/>
                <w:color w:val="auto"/>
              </w:rPr>
            </w:pPr>
            <w:r>
              <w:rPr>
                <w:rFonts w:ascii="Arial" w:cs="Arial" w:eastAsia="Arial" w:hAnsi="Arial"/>
                <w:sz w:val="14"/>
                <w:szCs w:val="14"/>
                <w:color w:val="auto"/>
              </w:rPr>
              <w:t>6 %</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8"/>
              </w:rPr>
              <w:t>$110 - $120</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4"/>
                <w:szCs w:val="14"/>
                <w:color w:val="auto"/>
              </w:rPr>
              <w:t>new retail space, 122 rental apartments, and 720 parking spaces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Cocowalk</w:t>
            </w:r>
          </w:p>
        </w:tc>
        <w:tc>
          <w:tcPr>
            <w:tcW w:w="13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9"/>
              </w:rPr>
              <w:t>Coconut Grove, FL</w:t>
            </w:r>
          </w:p>
        </w:tc>
        <w:tc>
          <w:tcPr>
            <w:tcW w:w="51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w w:val="96"/>
              </w:rPr>
              <w:t>Entire shopping center redevelopment to include: demolition of three story east wing</w:t>
            </w: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$93 - $97</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$87</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14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5"/>
              </w:rPr>
              <w:t>of the property and construction of a 106,000 square foot 5-story office/retail building</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with 24,000 square feet of retail; complete renovation of the west wing.</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line="135" w:lineRule="exact"/>
              <w:rPr>
                <w:sz w:val="20"/>
                <w:szCs w:val="20"/>
                <w:color w:val="auto"/>
              </w:rPr>
            </w:pPr>
            <w:r>
              <w:rPr>
                <w:rFonts w:ascii="Arial" w:cs="Arial" w:eastAsia="Arial" w:hAnsi="Arial"/>
                <w:sz w:val="14"/>
                <w:szCs w:val="14"/>
                <w:color w:val="auto"/>
              </w:rPr>
              <w:t>Huntington</w:t>
            </w:r>
          </w:p>
        </w:tc>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Huntington, NY</w:t>
            </w:r>
          </w:p>
        </w:tc>
        <w:tc>
          <w:tcPr>
            <w:tcW w:w="5140" w:type="dxa"/>
            <w:vAlign w:val="bottom"/>
          </w:tcPr>
          <w:p>
            <w:pPr>
              <w:ind w:left="100"/>
              <w:spacing w:after="0" w:line="135" w:lineRule="exact"/>
              <w:rPr>
                <w:sz w:val="20"/>
                <w:szCs w:val="20"/>
                <w:color w:val="auto"/>
              </w:rPr>
            </w:pPr>
            <w:r>
              <w:rPr>
                <w:rFonts w:ascii="Arial" w:cs="Arial" w:eastAsia="Arial" w:hAnsi="Arial"/>
                <w:sz w:val="14"/>
                <w:szCs w:val="14"/>
                <w:color w:val="auto"/>
                <w:w w:val="95"/>
              </w:rPr>
              <w:t>Demolition of the obsolete main two level building to construct 102,000 square feet of</w:t>
            </w: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7 %</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$80 - $85</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$3</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2024</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4"/>
                <w:szCs w:val="14"/>
                <w:color w:val="auto"/>
              </w:rPr>
              <w:t>new ground floor anchor and small shop retail space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Freedom Plaza (5)</w:t>
            </w:r>
          </w:p>
        </w:tc>
        <w:tc>
          <w:tcPr>
            <w:tcW w:w="13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Los Angeles, CA</w:t>
            </w:r>
          </w:p>
        </w:tc>
        <w:tc>
          <w:tcPr>
            <w:tcW w:w="51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rPr>
              <w:t>Development of a new 113,000 square foot single-story grocery anchored</w:t>
            </w: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$34</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neighborhood shopping center</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line="135" w:lineRule="exact"/>
              <w:rPr>
                <w:sz w:val="20"/>
                <w:szCs w:val="20"/>
                <w:color w:val="auto"/>
              </w:rPr>
            </w:pPr>
            <w:r>
              <w:rPr>
                <w:rFonts w:ascii="Arial" w:cs="Arial" w:eastAsia="Arial" w:hAnsi="Arial"/>
                <w:sz w:val="14"/>
                <w:szCs w:val="14"/>
                <w:color w:val="auto"/>
              </w:rPr>
              <w:t>Bala Cynwyd</w:t>
            </w:r>
          </w:p>
        </w:tc>
        <w:tc>
          <w:tcPr>
            <w:tcW w:w="1340" w:type="dxa"/>
            <w:vAlign w:val="bottom"/>
          </w:tcPr>
          <w:p>
            <w:pPr>
              <w:ind w:left="140"/>
              <w:spacing w:after="0" w:line="135" w:lineRule="exact"/>
              <w:rPr>
                <w:sz w:val="20"/>
                <w:szCs w:val="20"/>
                <w:color w:val="auto"/>
              </w:rPr>
            </w:pPr>
            <w:r>
              <w:rPr>
                <w:rFonts w:ascii="Arial" w:cs="Arial" w:eastAsia="Arial" w:hAnsi="Arial"/>
                <w:sz w:val="14"/>
                <w:szCs w:val="14"/>
                <w:color w:val="auto"/>
              </w:rPr>
              <w:t>Bala Cynwyd, PA</w:t>
            </w:r>
          </w:p>
        </w:tc>
        <w:tc>
          <w:tcPr>
            <w:tcW w:w="5140" w:type="dxa"/>
            <w:vAlign w:val="bottom"/>
          </w:tcPr>
          <w:p>
            <w:pPr>
              <w:ind w:left="100"/>
              <w:spacing w:after="0" w:line="135" w:lineRule="exact"/>
              <w:rPr>
                <w:sz w:val="20"/>
                <w:szCs w:val="20"/>
                <w:color w:val="auto"/>
              </w:rPr>
            </w:pPr>
            <w:r>
              <w:rPr>
                <w:rFonts w:ascii="Arial" w:cs="Arial" w:eastAsia="Arial" w:hAnsi="Arial"/>
                <w:sz w:val="14"/>
                <w:szCs w:val="14"/>
                <w:color w:val="auto"/>
                <w:w w:val="99"/>
              </w:rPr>
              <w:t>New 87 unit residential apartment building to be constructed on underutilized land</w:t>
            </w: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6 %</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$22</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4"/>
                <w:szCs w:val="14"/>
                <w:color w:val="auto"/>
              </w:rPr>
              <w:t>behind our existing shopping center</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Lawrence Park</w:t>
            </w:r>
          </w:p>
        </w:tc>
        <w:tc>
          <w:tcPr>
            <w:tcW w:w="13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Broomall, PA</w:t>
            </w:r>
          </w:p>
        </w:tc>
        <w:tc>
          <w:tcPr>
            <w:tcW w:w="51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w w:val="99"/>
              </w:rPr>
              <w:t>Full shopping center redevelopment to include expansion of Main Line Health into</w:t>
            </w: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14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3"/>
              </w:rPr>
              <w:t>vacant lower level space, creation of 17,800 square feet of small shop space converted</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14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4"/>
              </w:rPr>
              <w:t>from vacated anchor space, a new 2,000 square foot bank pad building, and a façade</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renovation for the entire center</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60" w:type="dxa"/>
            <w:vAlign w:val="bottom"/>
          </w:tcPr>
          <w:p>
            <w:pPr>
              <w:ind w:left="20"/>
              <w:spacing w:after="0"/>
              <w:rPr>
                <w:sz w:val="20"/>
                <w:szCs w:val="20"/>
                <w:color w:val="auto"/>
              </w:rPr>
            </w:pPr>
            <w:r>
              <w:rPr>
                <w:rFonts w:ascii="Arial" w:cs="Arial" w:eastAsia="Arial" w:hAnsi="Arial"/>
                <w:sz w:val="14"/>
                <w:szCs w:val="14"/>
                <w:color w:val="auto"/>
              </w:rPr>
              <w:t>7021 Hollywood Blvd</w:t>
            </w:r>
          </w:p>
        </w:tc>
        <w:tc>
          <w:tcPr>
            <w:tcW w:w="1340" w:type="dxa"/>
            <w:vAlign w:val="bottom"/>
          </w:tcPr>
          <w:p>
            <w:pPr>
              <w:ind w:left="140"/>
              <w:spacing w:after="0"/>
              <w:rPr>
                <w:sz w:val="20"/>
                <w:szCs w:val="20"/>
                <w:color w:val="auto"/>
              </w:rPr>
            </w:pPr>
            <w:r>
              <w:rPr>
                <w:rFonts w:ascii="Arial" w:cs="Arial" w:eastAsia="Arial" w:hAnsi="Arial"/>
                <w:sz w:val="14"/>
                <w:szCs w:val="14"/>
                <w:color w:val="auto"/>
              </w:rPr>
              <w:t>Los Angeles, CA</w:t>
            </w:r>
          </w:p>
        </w:tc>
        <w:tc>
          <w:tcPr>
            <w:tcW w:w="5140" w:type="dxa"/>
            <w:vAlign w:val="bottom"/>
          </w:tcPr>
          <w:p>
            <w:pPr>
              <w:ind w:left="100"/>
              <w:spacing w:after="0"/>
              <w:rPr>
                <w:sz w:val="20"/>
                <w:szCs w:val="20"/>
                <w:color w:val="auto"/>
              </w:rPr>
            </w:pPr>
            <w:r>
              <w:rPr>
                <w:rFonts w:ascii="Arial" w:cs="Arial" w:eastAsia="Arial" w:hAnsi="Arial"/>
                <w:sz w:val="14"/>
                <w:szCs w:val="14"/>
                <w:color w:val="auto"/>
                <w:w w:val="98"/>
              </w:rPr>
              <w:t>Renovation of the center to accommodate a new 39,000 square foot anchor tenant</w:t>
            </w:r>
          </w:p>
        </w:tc>
        <w:tc>
          <w:tcPr>
            <w:tcW w:w="76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98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38"/>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Melville Mall</w:t>
            </w:r>
          </w:p>
        </w:tc>
        <w:tc>
          <w:tcPr>
            <w:tcW w:w="13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Huntington, NY</w:t>
            </w:r>
          </w:p>
        </w:tc>
        <w:tc>
          <w:tcPr>
            <w:tcW w:w="51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w w:val="94"/>
              </w:rPr>
              <w:t>Development of a new 15,000 square foot pad site consisting of two multi-tenant retail</w:t>
            </w: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$10</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buildings</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60" w:type="dxa"/>
            <w:vAlign w:val="bottom"/>
          </w:tcPr>
          <w:p>
            <w:pPr>
              <w:ind w:left="20"/>
              <w:spacing w:after="0"/>
              <w:rPr>
                <w:sz w:val="20"/>
                <w:szCs w:val="20"/>
                <w:color w:val="auto"/>
              </w:rPr>
            </w:pPr>
            <w:r>
              <w:rPr>
                <w:rFonts w:ascii="Arial" w:cs="Arial" w:eastAsia="Arial" w:hAnsi="Arial"/>
                <w:sz w:val="14"/>
                <w:szCs w:val="14"/>
                <w:color w:val="auto"/>
              </w:rPr>
              <w:t>Azalea</w:t>
            </w:r>
          </w:p>
        </w:tc>
        <w:tc>
          <w:tcPr>
            <w:tcW w:w="1340" w:type="dxa"/>
            <w:vAlign w:val="bottom"/>
          </w:tcPr>
          <w:p>
            <w:pPr>
              <w:ind w:left="140"/>
              <w:spacing w:after="0"/>
              <w:rPr>
                <w:sz w:val="20"/>
                <w:szCs w:val="20"/>
                <w:color w:val="auto"/>
              </w:rPr>
            </w:pPr>
            <w:r>
              <w:rPr>
                <w:rFonts w:ascii="Arial" w:cs="Arial" w:eastAsia="Arial" w:hAnsi="Arial"/>
                <w:sz w:val="14"/>
                <w:szCs w:val="14"/>
                <w:color w:val="auto"/>
              </w:rPr>
              <w:t>Southgate, CA</w:t>
            </w:r>
          </w:p>
        </w:tc>
        <w:tc>
          <w:tcPr>
            <w:tcW w:w="5140" w:type="dxa"/>
            <w:vAlign w:val="bottom"/>
          </w:tcPr>
          <w:p>
            <w:pPr>
              <w:ind w:left="100"/>
              <w:spacing w:after="0"/>
              <w:rPr>
                <w:sz w:val="20"/>
                <w:szCs w:val="20"/>
                <w:color w:val="auto"/>
              </w:rPr>
            </w:pPr>
            <w:r>
              <w:rPr>
                <w:rFonts w:ascii="Arial" w:cs="Arial" w:eastAsia="Arial" w:hAnsi="Arial"/>
                <w:sz w:val="14"/>
                <w:szCs w:val="14"/>
                <w:color w:val="auto"/>
              </w:rPr>
              <w:t>Development of a new 3,000 square foot single tenant pad building</w:t>
            </w:r>
          </w:p>
        </w:tc>
        <w:tc>
          <w:tcPr>
            <w:tcW w:w="76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92"/>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Sylmar Towne Center</w:t>
            </w:r>
          </w:p>
        </w:tc>
        <w:tc>
          <w:tcPr>
            <w:tcW w:w="1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Sylmar, CA</w:t>
            </w:r>
          </w:p>
        </w:tc>
        <w:tc>
          <w:tcPr>
            <w:tcW w:w="5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Development of a new 3,800 square foot two-tenant pad building</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6"/>
        </w:trPr>
        <w:tc>
          <w:tcPr>
            <w:tcW w:w="1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Flourtown</w:t>
            </w:r>
          </w:p>
        </w:tc>
        <w:tc>
          <w:tcPr>
            <w:tcW w:w="13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Flourtown, PA</w:t>
            </w:r>
          </w:p>
        </w:tc>
        <w:tc>
          <w:tcPr>
            <w:tcW w:w="51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Development of a new 2,450 square foot bank pad building</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08"/>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Active Redevelopment projects (4)</w:t>
            </w:r>
          </w:p>
        </w:tc>
        <w:tc>
          <w:tcPr>
            <w:tcW w:w="51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6 % $393 - $412</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gridSpan w:val="2"/>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Active Property Improvement Projects (6)</w:t>
            </w:r>
          </w:p>
        </w:tc>
        <w:tc>
          <w:tcPr>
            <w:tcW w:w="514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460" w:type="dxa"/>
            <w:vAlign w:val="bottom"/>
          </w:tcPr>
          <w:p>
            <w:pPr>
              <w:ind w:left="20"/>
              <w:spacing w:after="0" w:line="115" w:lineRule="exact"/>
              <w:rPr>
                <w:sz w:val="20"/>
                <w:szCs w:val="20"/>
                <w:color w:val="auto"/>
              </w:rPr>
            </w:pPr>
            <w:r>
              <w:rPr>
                <w:rFonts w:ascii="Arial" w:cs="Arial" w:eastAsia="Arial" w:hAnsi="Arial"/>
                <w:sz w:val="13"/>
                <w:szCs w:val="13"/>
                <w:color w:val="auto"/>
              </w:rPr>
              <w:t>Various Properties</w:t>
            </w:r>
          </w:p>
        </w:tc>
        <w:tc>
          <w:tcPr>
            <w:tcW w:w="1340" w:type="dxa"/>
            <w:vAlign w:val="bottom"/>
          </w:tcPr>
          <w:p>
            <w:pPr>
              <w:spacing w:after="0"/>
              <w:rPr>
                <w:sz w:val="10"/>
                <w:szCs w:val="10"/>
                <w:color w:val="auto"/>
              </w:rPr>
            </w:pPr>
          </w:p>
        </w:tc>
        <w:tc>
          <w:tcPr>
            <w:tcW w:w="5140" w:type="dxa"/>
            <w:vAlign w:val="bottom"/>
          </w:tcPr>
          <w:p>
            <w:pPr>
              <w:ind w:left="100"/>
              <w:spacing w:after="0" w:line="115" w:lineRule="exact"/>
              <w:rPr>
                <w:sz w:val="20"/>
                <w:szCs w:val="20"/>
                <w:color w:val="auto"/>
              </w:rPr>
            </w:pPr>
            <w:r>
              <w:rPr>
                <w:rFonts w:ascii="Arial" w:cs="Arial" w:eastAsia="Arial" w:hAnsi="Arial"/>
                <w:sz w:val="13"/>
                <w:szCs w:val="13"/>
                <w:color w:val="auto"/>
              </w:rPr>
              <w:t>Ongoing improvements at 18 properties to better position properties to capture a</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5"/>
              </w:rPr>
              <w:t>7% - 13%</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80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140" w:type="dxa"/>
            <w:vAlign w:val="bottom"/>
          </w:tcPr>
          <w:p>
            <w:pPr>
              <w:ind w:left="100"/>
              <w:spacing w:after="0"/>
              <w:rPr>
                <w:sz w:val="20"/>
                <w:szCs w:val="20"/>
                <w:color w:val="auto"/>
              </w:rPr>
            </w:pPr>
            <w:r>
              <w:rPr>
                <w:rFonts w:ascii="Arial" w:cs="Arial" w:eastAsia="Arial" w:hAnsi="Arial"/>
                <w:sz w:val="14"/>
                <w:szCs w:val="14"/>
                <w:color w:val="auto"/>
              </w:rPr>
              <w:t>disproportionate amount of retail demand post-COVID</w:t>
            </w: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21" w:lineRule="exact"/>
        <w:rPr>
          <w:sz w:val="20"/>
          <w:szCs w:val="20"/>
          <w:color w:val="auto"/>
        </w:rPr>
      </w:pPr>
    </w:p>
    <w:p>
      <w:pPr>
        <w:ind w:left="660" w:right="120" w:hanging="652"/>
        <w:spacing w:after="0" w:line="258" w:lineRule="auto"/>
        <w:tabs>
          <w:tab w:leader="none" w:pos="655"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81" w:lineRule="auto"/>
        <w:tabs>
          <w:tab w:leader="none" w:pos="655"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spacing w:after="0" w:line="1" w:lineRule="exact"/>
        <w:rPr>
          <w:rFonts w:ascii="Arial" w:cs="Arial" w:eastAsia="Arial" w:hAnsi="Arial"/>
          <w:sz w:val="12"/>
          <w:szCs w:val="12"/>
          <w:color w:val="auto"/>
        </w:rPr>
      </w:pPr>
    </w:p>
    <w:p>
      <w:pPr>
        <w:ind w:left="660" w:hanging="652"/>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Stabilization is generally the year in which 90% physical occupancy of the redeveloped space is achieved. Economic stabilization may occur at a later point in time.</w:t>
      </w:r>
    </w:p>
    <w:p>
      <w:pPr>
        <w:spacing w:after="0" w:line="12" w:lineRule="exact"/>
        <w:rPr>
          <w:rFonts w:ascii="Arial" w:cs="Arial" w:eastAsia="Arial" w:hAnsi="Arial"/>
          <w:sz w:val="13"/>
          <w:szCs w:val="13"/>
          <w:color w:val="auto"/>
        </w:rPr>
      </w:pPr>
    </w:p>
    <w:p>
      <w:pPr>
        <w:ind w:left="660" w:hanging="652"/>
        <w:spacing w:after="0"/>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All subtotals and totals reflect cost weighted-average ROIs.</w:t>
      </w:r>
    </w:p>
    <w:p>
      <w:pPr>
        <w:spacing w:after="0" w:line="12" w:lineRule="exact"/>
        <w:rPr>
          <w:rFonts w:ascii="Arial" w:cs="Arial" w:eastAsia="Arial" w:hAnsi="Arial"/>
          <w:sz w:val="13"/>
          <w:szCs w:val="13"/>
          <w:color w:val="auto"/>
        </w:rPr>
      </w:pPr>
    </w:p>
    <w:p>
      <w:pPr>
        <w:ind w:left="660" w:hanging="652"/>
        <w:spacing w:after="0"/>
        <w:tabs>
          <w:tab w:leader="none" w:pos="6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Cost to date and projected cost are net of the proceeds we will receive from our New Market Tax Credit structure. See Note 3 of our December 31, 2019 Form 10-K for additional information.</w:t>
      </w:r>
    </w:p>
    <w:p>
      <w:pPr>
        <w:spacing w:after="0" w:line="24" w:lineRule="exact"/>
        <w:rPr>
          <w:rFonts w:ascii="Arial" w:cs="Arial" w:eastAsia="Arial" w:hAnsi="Arial"/>
          <w:sz w:val="12"/>
          <w:szCs w:val="12"/>
          <w:color w:val="auto"/>
        </w:rPr>
      </w:pPr>
    </w:p>
    <w:p>
      <w:pPr>
        <w:ind w:left="660" w:right="40" w:hanging="652"/>
        <w:spacing w:after="0" w:line="266" w:lineRule="auto"/>
        <w:tabs>
          <w:tab w:leader="none" w:pos="655"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030"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2021</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Impacts of Current Environment:</w:t>
      </w:r>
    </w:p>
    <w:p>
      <w:pPr>
        <w:spacing w:after="0" w:line="36" w:lineRule="exact"/>
        <w:rPr>
          <w:sz w:val="20"/>
          <w:szCs w:val="20"/>
          <w:color w:val="auto"/>
        </w:rPr>
      </w:pPr>
    </w:p>
    <w:p>
      <w:pPr>
        <w:ind w:left="20" w:right="60"/>
        <w:spacing w:after="0" w:line="230" w:lineRule="auto"/>
        <w:rPr>
          <w:sz w:val="20"/>
          <w:szCs w:val="20"/>
          <w:color w:val="auto"/>
        </w:rPr>
      </w:pPr>
      <w:r>
        <w:rPr>
          <w:rFonts w:ascii="Arial" w:cs="Arial" w:eastAsia="Arial" w:hAnsi="Arial"/>
          <w:sz w:val="16"/>
          <w:szCs w:val="16"/>
          <w:color w:val="auto"/>
        </w:rPr>
        <w:t>Information provided below reflects management’s best estimate based on current available information, however the completion of construction, final costs, return on investment, and timing of stabilization may be impacted by the current environment, including the impacts of COVID-19 and supply chain disruptions affecting the broader economy.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4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Projected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Costs to</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Property (1)</w:t>
            </w:r>
          </w:p>
        </w:tc>
        <w:tc>
          <w:tcPr>
            <w:tcW w:w="3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Opportunity</w:t>
            </w:r>
          </w:p>
        </w:tc>
        <w:tc>
          <w:tcPr>
            <w:tcW w:w="8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ROI (2)</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Cost (3)</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Expected Opening Timeframe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(in millions)</w:t>
            </w:r>
          </w:p>
        </w:tc>
        <w:tc>
          <w:tcPr>
            <w:tcW w:w="780" w:type="dxa"/>
            <w:vAlign w:val="bottom"/>
          </w:tcPr>
          <w:p>
            <w:pPr>
              <w:jc w:val="center"/>
              <w:spacing w:after="0"/>
              <w:rPr>
                <w:sz w:val="20"/>
                <w:szCs w:val="20"/>
                <w:color w:val="auto"/>
              </w:rPr>
            </w:pPr>
            <w:r>
              <w:rPr>
                <w:rFonts w:ascii="Arial" w:cs="Arial" w:eastAsia="Arial" w:hAnsi="Arial"/>
                <w:sz w:val="13"/>
                <w:szCs w:val="13"/>
                <w:color w:val="auto"/>
              </w:rPr>
              <w:t>(in millions)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5"/>
          </w:tcPr>
          <w:p>
            <w:pPr>
              <w:spacing w:after="0"/>
              <w:rPr>
                <w:sz w:val="20"/>
                <w:szCs w:val="20"/>
                <w:color w:val="auto"/>
              </w:rPr>
            </w:pPr>
            <w:r>
              <w:rPr>
                <w:rFonts w:ascii="Arial" w:cs="Arial" w:eastAsia="Arial" w:hAnsi="Arial"/>
                <w:sz w:val="14"/>
                <w:szCs w:val="14"/>
                <w:b w:val="1"/>
                <w:bCs w:val="1"/>
                <w:color w:val="auto"/>
              </w:rPr>
              <w:t xml:space="preserve">Assembly Row, </w:t>
            </w:r>
            <w:r>
              <w:rPr>
                <w:rFonts w:ascii="Arial" w:cs="Arial" w:eastAsia="Arial" w:hAnsi="Arial"/>
                <w:sz w:val="14"/>
                <w:szCs w:val="14"/>
                <w:b w:val="1"/>
                <w:bCs w:val="1"/>
                <w:i w:val="1"/>
                <w:iCs w:val="1"/>
                <w:color w:val="auto"/>
              </w:rPr>
              <w:t>Somerville, MA</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Phase III</w:t>
            </w:r>
          </w:p>
        </w:tc>
        <w:tc>
          <w:tcPr>
            <w:tcW w:w="34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- 277,000 SF of office</w:t>
            </w:r>
          </w:p>
        </w:tc>
        <w:tc>
          <w:tcPr>
            <w:tcW w:w="840" w:type="dxa"/>
            <w:vAlign w:val="bottom"/>
            <w:shd w:val="clear" w:color="auto" w:fill="CCEEFF"/>
          </w:tcPr>
          <w:p>
            <w:pPr>
              <w:jc w:val="center"/>
              <w:ind w:left="48"/>
              <w:spacing w:after="0" w:line="135" w:lineRule="exact"/>
              <w:rPr>
                <w:sz w:val="20"/>
                <w:szCs w:val="20"/>
                <w:color w:val="auto"/>
              </w:rPr>
            </w:pPr>
            <w:r>
              <w:rPr>
                <w:rFonts w:ascii="Arial" w:cs="Arial" w:eastAsia="Arial" w:hAnsi="Arial"/>
                <w:sz w:val="14"/>
                <w:szCs w:val="14"/>
                <w:color w:val="auto"/>
                <w:w w:val="98"/>
              </w:rPr>
              <w:t>6%</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$465 - 485</w:t>
            </w: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9"/>
              </w:rPr>
              <w:t>$440</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1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150,000 square feet of office space delivered</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- 500 residential units</w:t>
            </w: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97"/>
              </w:rPr>
              <w:t>367 residential units delivered as of September 30,</w:t>
            </w:r>
          </w:p>
        </w:tc>
        <w:tc>
          <w:tcPr>
            <w:tcW w:w="0" w:type="dxa"/>
            <w:vAlign w:val="bottom"/>
          </w:tcPr>
          <w:p>
            <w:pPr>
              <w:spacing w:after="0"/>
              <w:rPr>
                <w:sz w:val="1"/>
                <w:szCs w:val="1"/>
                <w:color w:val="auto"/>
              </w:rPr>
            </w:pPr>
          </w:p>
        </w:tc>
      </w:tr>
      <w:tr>
        <w:trPr>
          <w:trHeight w:val="68"/>
        </w:trPr>
        <w:tc>
          <w:tcPr>
            <w:tcW w:w="2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440" w:type="dxa"/>
            <w:vAlign w:val="bottom"/>
            <w:gridSpan w:val="3"/>
            <w:vMerge w:val="restart"/>
            <w:shd w:val="clear" w:color="auto" w:fill="CCEEFF"/>
          </w:tcPr>
          <w:p>
            <w:pPr>
              <w:spacing w:after="0"/>
              <w:rPr>
                <w:sz w:val="20"/>
                <w:szCs w:val="20"/>
                <w:color w:val="auto"/>
              </w:rPr>
            </w:pPr>
            <w:r>
              <w:rPr>
                <w:rFonts w:ascii="Arial" w:cs="Arial" w:eastAsia="Arial" w:hAnsi="Arial"/>
                <w:sz w:val="14"/>
                <w:szCs w:val="14"/>
                <w:color w:val="auto"/>
              </w:rPr>
              <w:t>- 56,000 SF of retail</w:t>
            </w:r>
          </w:p>
        </w:tc>
        <w:tc>
          <w:tcPr>
            <w:tcW w:w="8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40" w:type="dxa"/>
            <w:vAlign w:val="bottom"/>
            <w:gridSpan w:val="3"/>
            <w:vMerge w:val="continue"/>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68"/>
        </w:trPr>
        <w:tc>
          <w:tcPr>
            <w:tcW w:w="2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First retail tenants opened in Q2 2021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4"/>
                <w:szCs w:val="14"/>
                <w:color w:val="auto"/>
              </w:rPr>
              <w:t>Future Phases</w:t>
            </w:r>
          </w:p>
        </w:tc>
        <w:tc>
          <w:tcPr>
            <w:tcW w:w="3440" w:type="dxa"/>
            <w:vAlign w:val="bottom"/>
            <w:gridSpan w:val="3"/>
          </w:tcPr>
          <w:p>
            <w:pPr>
              <w:spacing w:after="0" w:line="135" w:lineRule="exact"/>
              <w:rPr>
                <w:sz w:val="20"/>
                <w:szCs w:val="20"/>
                <w:color w:val="auto"/>
              </w:rPr>
            </w:pPr>
            <w:r>
              <w:rPr>
                <w:rFonts w:ascii="Arial" w:cs="Arial" w:eastAsia="Arial" w:hAnsi="Arial"/>
                <w:sz w:val="14"/>
                <w:szCs w:val="14"/>
                <w:color w:val="auto"/>
              </w:rPr>
              <w:t>- 1.5M SF of commercial</w:t>
            </w:r>
          </w:p>
        </w:tc>
        <w:tc>
          <w:tcPr>
            <w:tcW w:w="840" w:type="dxa"/>
            <w:vAlign w:val="bottom"/>
          </w:tcPr>
          <w:p>
            <w:pPr>
              <w:jc w:val="center"/>
              <w:ind w:left="48"/>
              <w:spacing w:after="0" w:line="135" w:lineRule="exact"/>
              <w:rPr>
                <w:sz w:val="20"/>
                <w:szCs w:val="20"/>
                <w:color w:val="auto"/>
              </w:rPr>
            </w:pPr>
            <w:r>
              <w:rPr>
                <w:rFonts w:ascii="Arial" w:cs="Arial" w:eastAsia="Arial" w:hAnsi="Arial"/>
                <w:sz w:val="14"/>
                <w:szCs w:val="14"/>
                <w:color w:val="auto"/>
                <w:w w:val="99"/>
              </w:rPr>
              <w:t>TBD</w:t>
            </w:r>
          </w:p>
        </w:tc>
        <w:tc>
          <w:tcPr>
            <w:tcW w:w="840" w:type="dxa"/>
            <w:vAlign w:val="bottom"/>
          </w:tcPr>
          <w:p>
            <w:pPr>
              <w:jc w:val="center"/>
              <w:spacing w:after="0" w:line="135" w:lineRule="exact"/>
              <w:rPr>
                <w:sz w:val="20"/>
                <w:szCs w:val="20"/>
                <w:color w:val="auto"/>
              </w:rPr>
            </w:pPr>
            <w:r>
              <w:rPr>
                <w:rFonts w:ascii="Arial" w:cs="Arial" w:eastAsia="Arial" w:hAnsi="Arial"/>
                <w:sz w:val="14"/>
                <w:szCs w:val="14"/>
                <w:color w:val="auto"/>
              </w:rPr>
              <w:t>TBD</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gridSpan w:val="3"/>
          </w:tcPr>
          <w:p>
            <w:pPr>
              <w:spacing w:after="0"/>
              <w:rPr>
                <w:sz w:val="20"/>
                <w:szCs w:val="20"/>
                <w:color w:val="auto"/>
              </w:rPr>
            </w:pPr>
            <w:r>
              <w:rPr>
                <w:rFonts w:ascii="Arial" w:cs="Arial" w:eastAsia="Arial" w:hAnsi="Arial"/>
                <w:sz w:val="14"/>
                <w:szCs w:val="14"/>
                <w:color w:val="auto"/>
              </w:rPr>
              <w:t>- 329 residential units</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auto"/>
            </w:tcBorders>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2"/>
              </w:rPr>
              <w:t xml:space="preserve">Pike &amp; Rose, </w:t>
            </w:r>
            <w:r>
              <w:rPr>
                <w:rFonts w:ascii="Arial" w:cs="Arial" w:eastAsia="Arial" w:hAnsi="Arial"/>
                <w:sz w:val="14"/>
                <w:szCs w:val="14"/>
                <w:b w:val="1"/>
                <w:bCs w:val="1"/>
                <w:i w:val="1"/>
                <w:iCs w:val="1"/>
                <w:color w:val="auto"/>
                <w:w w:val="92"/>
              </w:rPr>
              <w:t>North Bethesda, MD</w:t>
            </w:r>
          </w:p>
        </w:tc>
        <w:tc>
          <w:tcPr>
            <w:tcW w:w="31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4"/>
                <w:szCs w:val="14"/>
                <w:color w:val="auto"/>
              </w:rPr>
              <w:t>Phase III</w:t>
            </w:r>
          </w:p>
        </w:tc>
        <w:tc>
          <w:tcPr>
            <w:tcW w:w="3440" w:type="dxa"/>
            <w:vAlign w:val="bottom"/>
            <w:gridSpan w:val="3"/>
          </w:tcPr>
          <w:p>
            <w:pPr>
              <w:spacing w:after="0" w:line="135" w:lineRule="exact"/>
              <w:rPr>
                <w:sz w:val="20"/>
                <w:szCs w:val="20"/>
                <w:color w:val="auto"/>
              </w:rPr>
            </w:pPr>
            <w:r>
              <w:rPr>
                <w:rFonts w:ascii="Arial" w:cs="Arial" w:eastAsia="Arial" w:hAnsi="Arial"/>
                <w:sz w:val="14"/>
                <w:szCs w:val="14"/>
                <w:color w:val="auto"/>
              </w:rPr>
              <w:t>-212,000 SF of office</w:t>
            </w:r>
          </w:p>
        </w:tc>
        <w:tc>
          <w:tcPr>
            <w:tcW w:w="840" w:type="dxa"/>
            <w:vAlign w:val="bottom"/>
          </w:tcPr>
          <w:p>
            <w:pPr>
              <w:jc w:val="center"/>
              <w:ind w:left="48"/>
              <w:spacing w:after="0" w:line="135" w:lineRule="exact"/>
              <w:rPr>
                <w:sz w:val="20"/>
                <w:szCs w:val="20"/>
                <w:color w:val="auto"/>
              </w:rPr>
            </w:pPr>
            <w:r>
              <w:rPr>
                <w:rFonts w:ascii="Arial" w:cs="Arial" w:eastAsia="Arial" w:hAnsi="Arial"/>
                <w:sz w:val="14"/>
                <w:szCs w:val="14"/>
                <w:color w:val="auto"/>
                <w:w w:val="97"/>
              </w:rPr>
              <w:t>6-7%</w:t>
            </w:r>
          </w:p>
        </w:tc>
        <w:tc>
          <w:tcPr>
            <w:tcW w:w="840" w:type="dxa"/>
            <w:vAlign w:val="bottom"/>
          </w:tcPr>
          <w:p>
            <w:pPr>
              <w:jc w:val="center"/>
              <w:spacing w:after="0" w:line="135" w:lineRule="exact"/>
              <w:rPr>
                <w:sz w:val="20"/>
                <w:szCs w:val="20"/>
                <w:color w:val="auto"/>
              </w:rPr>
            </w:pPr>
            <w:r>
              <w:rPr>
                <w:rFonts w:ascii="Arial" w:cs="Arial" w:eastAsia="Arial" w:hAnsi="Arial"/>
                <w:sz w:val="14"/>
                <w:szCs w:val="14"/>
                <w:color w:val="auto"/>
                <w:w w:val="92"/>
              </w:rPr>
              <w:t>$128 - 135</w:t>
            </w:r>
          </w:p>
        </w:tc>
        <w:tc>
          <w:tcPr>
            <w:tcW w:w="780" w:type="dxa"/>
            <w:vAlign w:val="bottom"/>
          </w:tcPr>
          <w:p>
            <w:pPr>
              <w:jc w:val="center"/>
              <w:spacing w:after="0" w:line="135" w:lineRule="exact"/>
              <w:rPr>
                <w:sz w:val="20"/>
                <w:szCs w:val="20"/>
                <w:color w:val="auto"/>
              </w:rPr>
            </w:pPr>
            <w:r>
              <w:rPr>
                <w:rFonts w:ascii="Arial" w:cs="Arial" w:eastAsia="Arial" w:hAnsi="Arial"/>
                <w:sz w:val="14"/>
                <w:szCs w:val="14"/>
                <w:color w:val="auto"/>
                <w:w w:val="89"/>
              </w:rPr>
              <w:t>$116</w:t>
            </w:r>
          </w:p>
        </w:tc>
        <w:tc>
          <w:tcPr>
            <w:tcW w:w="320" w:type="dxa"/>
            <w:vAlign w:val="bottom"/>
          </w:tcPr>
          <w:p>
            <w:pPr>
              <w:jc w:val="right"/>
              <w:ind w:right="68"/>
              <w:spacing w:after="0" w:line="135" w:lineRule="exact"/>
              <w:rPr>
                <w:sz w:val="20"/>
                <w:szCs w:val="20"/>
                <w:color w:val="auto"/>
              </w:rPr>
            </w:pPr>
            <w:r>
              <w:rPr>
                <w:rFonts w:ascii="Arial" w:cs="Arial" w:eastAsia="Arial" w:hAnsi="Arial"/>
                <w:sz w:val="14"/>
                <w:szCs w:val="14"/>
                <w:color w:val="auto"/>
                <w:w w:val="93"/>
              </w:rPr>
              <w:t>(4)</w:t>
            </w:r>
          </w:p>
        </w:tc>
        <w:tc>
          <w:tcPr>
            <w:tcW w:w="80" w:type="dxa"/>
            <w:vAlign w:val="bottom"/>
          </w:tcPr>
          <w:p>
            <w:pPr>
              <w:spacing w:after="0"/>
              <w:rPr>
                <w:sz w:val="11"/>
                <w:szCs w:val="11"/>
                <w:color w:val="auto"/>
              </w:rPr>
            </w:pPr>
          </w:p>
        </w:tc>
        <w:tc>
          <w:tcPr>
            <w:tcW w:w="3100" w:type="dxa"/>
            <w:vAlign w:val="bottom"/>
          </w:tcPr>
          <w:p>
            <w:pPr>
              <w:ind w:left="20"/>
              <w:spacing w:after="0" w:line="135" w:lineRule="exact"/>
              <w:rPr>
                <w:sz w:val="20"/>
                <w:szCs w:val="20"/>
                <w:color w:val="auto"/>
              </w:rPr>
            </w:pPr>
            <w:r>
              <w:rPr>
                <w:rFonts w:ascii="Arial" w:cs="Arial" w:eastAsia="Arial" w:hAnsi="Arial"/>
                <w:sz w:val="14"/>
                <w:szCs w:val="14"/>
                <w:color w:val="auto"/>
              </w:rPr>
              <w:t>Opening began in Q3 2020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3"/>
          </w:tcPr>
          <w:p>
            <w:pPr>
              <w:spacing w:after="0"/>
              <w:rPr>
                <w:sz w:val="20"/>
                <w:szCs w:val="20"/>
                <w:color w:val="auto"/>
              </w:rPr>
            </w:pPr>
            <w:r>
              <w:rPr>
                <w:rFonts w:ascii="Arial" w:cs="Arial" w:eastAsia="Arial" w:hAnsi="Arial"/>
                <w:sz w:val="14"/>
                <w:szCs w:val="14"/>
                <w:color w:val="auto"/>
              </w:rPr>
              <w:t>-7,000 SF of retail</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185,000 square feet leased</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Future Phases (5)</w:t>
            </w:r>
          </w:p>
        </w:tc>
        <w:tc>
          <w:tcPr>
            <w:tcW w:w="344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- 740,000 SF of commercial</w:t>
            </w:r>
          </w:p>
        </w:tc>
        <w:tc>
          <w:tcPr>
            <w:tcW w:w="840" w:type="dxa"/>
            <w:vAlign w:val="bottom"/>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99"/>
              </w:rPr>
              <w:t>TBD</w:t>
            </w:r>
          </w:p>
        </w:tc>
        <w:tc>
          <w:tcPr>
            <w:tcW w:w="8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TBD</w:t>
            </w: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- 741 residential units</w:t>
            </w: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 xml:space="preserve">Santana Row, </w:t>
            </w:r>
            <w:r>
              <w:rPr>
                <w:rFonts w:ascii="Arial" w:cs="Arial" w:eastAsia="Arial" w:hAnsi="Arial"/>
                <w:sz w:val="14"/>
                <w:szCs w:val="14"/>
                <w:b w:val="1"/>
                <w:bCs w:val="1"/>
                <w:i w:val="1"/>
                <w:iCs w:val="1"/>
                <w:color w:val="auto"/>
                <w:w w:val="97"/>
              </w:rPr>
              <w:t>San Jose, CA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Santana West</w:t>
            </w:r>
          </w:p>
        </w:tc>
        <w:tc>
          <w:tcPr>
            <w:tcW w:w="140" w:type="dxa"/>
            <w:vAlign w:val="bottom"/>
          </w:tcPr>
          <w:p>
            <w:pPr>
              <w:spacing w:after="0"/>
              <w:rPr>
                <w:sz w:val="13"/>
                <w:szCs w:val="13"/>
                <w:color w:val="auto"/>
              </w:rPr>
            </w:pPr>
          </w:p>
        </w:tc>
        <w:tc>
          <w:tcPr>
            <w:tcW w:w="3440" w:type="dxa"/>
            <w:vAlign w:val="bottom"/>
            <w:gridSpan w:val="3"/>
          </w:tcPr>
          <w:p>
            <w:pPr>
              <w:spacing w:after="0" w:line="155" w:lineRule="exact"/>
              <w:rPr>
                <w:sz w:val="20"/>
                <w:szCs w:val="20"/>
                <w:color w:val="auto"/>
              </w:rPr>
            </w:pPr>
            <w:r>
              <w:rPr>
                <w:rFonts w:ascii="Arial" w:cs="Arial" w:eastAsia="Arial" w:hAnsi="Arial"/>
                <w:sz w:val="14"/>
                <w:szCs w:val="14"/>
                <w:color w:val="auto"/>
              </w:rPr>
              <w:t>- 376,000 SF of office</w:t>
            </w:r>
          </w:p>
        </w:tc>
        <w:tc>
          <w:tcPr>
            <w:tcW w:w="840" w:type="dxa"/>
            <w:vAlign w:val="bottom"/>
          </w:tcPr>
          <w:p>
            <w:pPr>
              <w:jc w:val="center"/>
              <w:ind w:left="48"/>
              <w:spacing w:after="0" w:line="155" w:lineRule="exact"/>
              <w:rPr>
                <w:sz w:val="20"/>
                <w:szCs w:val="20"/>
                <w:color w:val="auto"/>
              </w:rPr>
            </w:pPr>
            <w:r>
              <w:rPr>
                <w:rFonts w:ascii="Arial" w:cs="Arial" w:eastAsia="Arial" w:hAnsi="Arial"/>
                <w:sz w:val="14"/>
                <w:szCs w:val="14"/>
                <w:color w:val="auto"/>
                <w:w w:val="97"/>
              </w:rPr>
              <w:t>6-7%</w:t>
            </w:r>
          </w:p>
        </w:tc>
        <w:tc>
          <w:tcPr>
            <w:tcW w:w="840" w:type="dxa"/>
            <w:vAlign w:val="bottom"/>
          </w:tcPr>
          <w:p>
            <w:pPr>
              <w:jc w:val="center"/>
              <w:spacing w:after="0" w:line="155" w:lineRule="exact"/>
              <w:rPr>
                <w:sz w:val="20"/>
                <w:szCs w:val="20"/>
                <w:color w:val="auto"/>
              </w:rPr>
            </w:pPr>
            <w:r>
              <w:rPr>
                <w:rFonts w:ascii="Arial" w:cs="Arial" w:eastAsia="Arial" w:hAnsi="Arial"/>
                <w:sz w:val="14"/>
                <w:szCs w:val="14"/>
                <w:color w:val="auto"/>
                <w:w w:val="92"/>
              </w:rPr>
              <w:t>$250 - 270</w:t>
            </w:r>
          </w:p>
        </w:tc>
        <w:tc>
          <w:tcPr>
            <w:tcW w:w="780" w:type="dxa"/>
            <w:vAlign w:val="bottom"/>
          </w:tcPr>
          <w:p>
            <w:pPr>
              <w:jc w:val="center"/>
              <w:spacing w:after="0" w:line="155" w:lineRule="exact"/>
              <w:rPr>
                <w:sz w:val="20"/>
                <w:szCs w:val="20"/>
                <w:color w:val="auto"/>
              </w:rPr>
            </w:pPr>
            <w:r>
              <w:rPr>
                <w:rFonts w:ascii="Arial" w:cs="Arial" w:eastAsia="Arial" w:hAnsi="Arial"/>
                <w:sz w:val="14"/>
                <w:szCs w:val="14"/>
                <w:color w:val="auto"/>
                <w:w w:val="89"/>
              </w:rPr>
              <w:t>$185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tcPr>
          <w:p>
            <w:pPr>
              <w:ind w:left="20"/>
              <w:spacing w:after="0" w:line="155" w:lineRule="exact"/>
              <w:rPr>
                <w:sz w:val="20"/>
                <w:szCs w:val="20"/>
                <w:color w:val="auto"/>
              </w:rPr>
            </w:pPr>
            <w:r>
              <w:rPr>
                <w:rFonts w:ascii="Arial" w:cs="Arial" w:eastAsia="Arial" w:hAnsi="Arial"/>
                <w:sz w:val="14"/>
                <w:szCs w:val="14"/>
                <w:color w:val="auto"/>
              </w:rPr>
              <w:t>Opening projected to begin in 2022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3"/>
          </w:tcPr>
          <w:p>
            <w:pPr>
              <w:spacing w:after="0"/>
              <w:rPr>
                <w:sz w:val="20"/>
                <w:szCs w:val="20"/>
                <w:color w:val="auto"/>
              </w:rPr>
            </w:pPr>
            <w:r>
              <w:rPr>
                <w:rFonts w:ascii="Arial" w:cs="Arial" w:eastAsia="Arial" w:hAnsi="Arial"/>
                <w:sz w:val="14"/>
                <w:szCs w:val="14"/>
                <w:color w:val="auto"/>
              </w:rPr>
              <w:t>- 1,750 parking spaces</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Future Phases</w:t>
            </w:r>
          </w:p>
        </w:tc>
        <w:tc>
          <w:tcPr>
            <w:tcW w:w="344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-321,000 SF of commercial</w:t>
            </w:r>
          </w:p>
        </w:tc>
        <w:tc>
          <w:tcPr>
            <w:tcW w:w="840" w:type="dxa"/>
            <w:vAlign w:val="bottom"/>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99"/>
              </w:rPr>
              <w:t>TBD</w:t>
            </w:r>
          </w:p>
        </w:tc>
        <w:tc>
          <w:tcPr>
            <w:tcW w:w="8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TBD</w:t>
            </w: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-395 residential units</w:t>
            </w: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-604,000 SF of commercial at Santana West</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42" w:lineRule="exact"/>
        <w:rPr>
          <w:sz w:val="20"/>
          <w:szCs w:val="20"/>
          <w:color w:val="auto"/>
        </w:rPr>
      </w:pPr>
    </w:p>
    <w:p>
      <w:pPr>
        <w:ind w:left="360" w:right="120" w:hanging="334"/>
        <w:spacing w:after="0" w:line="260" w:lineRule="auto"/>
        <w:tabs>
          <w:tab w:leader="none" w:pos="3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Anticipated opening dates, total cost, and projected return on investment (ROI)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ind w:left="360" w:hanging="33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unleveraged Property Operating Income (POI) generated by the development and is calculated as POI divided by cost.</w:t>
      </w:r>
    </w:p>
    <w:p>
      <w:pPr>
        <w:spacing w:after="0" w:line="28" w:lineRule="exact"/>
        <w:rPr>
          <w:rFonts w:ascii="Arial" w:cs="Arial" w:eastAsia="Arial" w:hAnsi="Arial"/>
          <w:sz w:val="14"/>
          <w:szCs w:val="14"/>
          <w:color w:val="auto"/>
        </w:rPr>
      </w:pPr>
    </w:p>
    <w:p>
      <w:pPr>
        <w:ind w:left="360" w:right="220" w:hanging="334"/>
        <w:spacing w:after="0" w:line="236" w:lineRule="auto"/>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Projected costs for Assembly Row and Pike &amp; Rose include an allocation of infrastructure costs for the entire project. Phase I of Santana West includes an allocation of infrastructure for the Santana West site.</w:t>
      </w:r>
    </w:p>
    <w:p>
      <w:pPr>
        <w:spacing w:after="0" w:line="7" w:lineRule="exact"/>
        <w:rPr>
          <w:rFonts w:ascii="Arial" w:cs="Arial" w:eastAsia="Arial" w:hAnsi="Arial"/>
          <w:sz w:val="14"/>
          <w:szCs w:val="14"/>
          <w:color w:val="auto"/>
        </w:rPr>
      </w:pPr>
    </w:p>
    <w:p>
      <w:pPr>
        <w:ind w:left="360" w:right="80" w:hanging="334"/>
        <w:spacing w:after="0" w:line="236" w:lineRule="auto"/>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Federal Realty Investment Trust is leasing 45,000 square feet of office space at a market rent in Pike &amp; Rose Phase III, which delivered in August 2020. Revenue related to this rent will be eliminated in the consolidated financial statements.</w:t>
      </w:r>
    </w:p>
    <w:p>
      <w:pPr>
        <w:spacing w:after="0" w:line="15" w:lineRule="exact"/>
        <w:rPr>
          <w:rFonts w:ascii="Arial" w:cs="Arial" w:eastAsia="Arial" w:hAnsi="Arial"/>
          <w:sz w:val="14"/>
          <w:szCs w:val="14"/>
          <w:color w:val="auto"/>
        </w:rPr>
      </w:pPr>
    </w:p>
    <w:p>
      <w:pPr>
        <w:ind w:left="360" w:right="360" w:hanging="334"/>
        <w:spacing w:after="0" w:line="237" w:lineRule="auto"/>
        <w:tabs>
          <w:tab w:leader="none" w:pos="360" w:val="left"/>
        </w:tabs>
        <w:numPr>
          <w:ilvl w:val="0"/>
          <w:numId w:val="17"/>
        </w:numPr>
        <w:rPr>
          <w:rFonts w:ascii="Arial" w:cs="Arial" w:eastAsia="Arial" w:hAnsi="Arial"/>
          <w:sz w:val="14"/>
          <w:szCs w:val="14"/>
          <w:color w:val="auto"/>
        </w:rPr>
      </w:pPr>
      <w:r>
        <w:rPr>
          <w:rFonts w:ascii="Arial" w:cs="Arial" w:eastAsia="Arial" w:hAnsi="Arial"/>
          <w:sz w:val="13"/>
          <w:szCs w:val="13"/>
          <w:color w:val="auto"/>
        </w:rPr>
        <w:t>We are currently finalizing development plans for 915 Meeting Street at Pike &amp; Rose which we expect to be a new 276,000 square foot office building, of which 105,000 square feet is pre-leased. Construction is expected to commence in late 2021/early 2022.</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909"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Future Redevelopment Opportunities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2021</w:t>
      </w:r>
    </w:p>
    <w:p>
      <w:pPr>
        <w:spacing w:after="0" w:line="293" w:lineRule="exact"/>
        <w:rPr>
          <w:sz w:val="20"/>
          <w:szCs w:val="20"/>
          <w:color w:val="auto"/>
        </w:rPr>
      </w:pPr>
    </w:p>
    <w:p>
      <w:pPr>
        <w:ind w:left="20" w:right="160"/>
        <w:spacing w:after="0" w:line="225"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265" w:lineRule="exact"/>
        <w:rPr>
          <w:sz w:val="20"/>
          <w:szCs w:val="20"/>
          <w:color w:val="auto"/>
        </w:rPr>
      </w:pPr>
    </w:p>
    <w:p>
      <w:pPr>
        <w:ind w:left="20" w:right="760"/>
        <w:spacing w:after="0" w:line="245"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Escondido Promenade</w:t>
            </w:r>
          </w:p>
        </w:tc>
        <w:tc>
          <w:tcPr>
            <w:tcW w:w="22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Escondido, CA</w:t>
            </w:r>
          </w:p>
        </w:tc>
        <w:tc>
          <w:tcPr>
            <w:tcW w:w="264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Pan Am</w:t>
            </w:r>
          </w:p>
        </w:tc>
        <w:tc>
          <w:tcPr>
            <w:tcW w:w="3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Fairfax, VA</w:t>
            </w:r>
          </w:p>
        </w:tc>
      </w:tr>
      <w:tr>
        <w:trPr>
          <w:trHeight w:val="213"/>
        </w:trPr>
        <w:tc>
          <w:tcPr>
            <w:tcW w:w="2480" w:type="dxa"/>
            <w:vAlign w:val="bottom"/>
          </w:tcPr>
          <w:p>
            <w:pPr>
              <w:ind w:left="420"/>
              <w:spacing w:after="0"/>
              <w:rPr>
                <w:sz w:val="20"/>
                <w:szCs w:val="20"/>
                <w:color w:val="auto"/>
              </w:rPr>
            </w:pPr>
            <w:r>
              <w:rPr>
                <w:rFonts w:ascii="Arial" w:cs="Arial" w:eastAsia="Arial" w:hAnsi="Arial"/>
                <w:sz w:val="16"/>
                <w:szCs w:val="16"/>
                <w:b w:val="1"/>
                <w:bCs w:val="1"/>
                <w:color w:val="auto"/>
              </w:rPr>
              <w:t>Fresh Meadows</w:t>
            </w:r>
          </w:p>
        </w:tc>
        <w:tc>
          <w:tcPr>
            <w:tcW w:w="2240" w:type="dxa"/>
            <w:vAlign w:val="bottom"/>
          </w:tcPr>
          <w:p>
            <w:pPr>
              <w:ind w:left="500"/>
              <w:spacing w:after="0"/>
              <w:rPr>
                <w:sz w:val="20"/>
                <w:szCs w:val="20"/>
                <w:color w:val="auto"/>
              </w:rPr>
            </w:pPr>
            <w:r>
              <w:rPr>
                <w:rFonts w:ascii="Arial" w:cs="Arial" w:eastAsia="Arial" w:hAnsi="Arial"/>
                <w:sz w:val="16"/>
                <w:szCs w:val="16"/>
                <w:color w:val="auto"/>
              </w:rPr>
              <w:t>Queens, NY</w:t>
            </w:r>
          </w:p>
        </w:tc>
        <w:tc>
          <w:tcPr>
            <w:tcW w:w="2640" w:type="dxa"/>
            <w:vAlign w:val="bottom"/>
          </w:tcPr>
          <w:p>
            <w:pPr>
              <w:ind w:left="520"/>
              <w:spacing w:after="0"/>
              <w:rPr>
                <w:sz w:val="20"/>
                <w:szCs w:val="20"/>
                <w:color w:val="auto"/>
              </w:rPr>
            </w:pPr>
            <w:r>
              <w:rPr>
                <w:rFonts w:ascii="Arial" w:cs="Arial" w:eastAsia="Arial" w:hAnsi="Arial"/>
                <w:sz w:val="16"/>
                <w:szCs w:val="16"/>
                <w:b w:val="1"/>
                <w:bCs w:val="1"/>
                <w:color w:val="auto"/>
              </w:rPr>
              <w:t>Pike 7 Plaza</w:t>
            </w:r>
          </w:p>
        </w:tc>
        <w:tc>
          <w:tcPr>
            <w:tcW w:w="3840" w:type="dxa"/>
            <w:vAlign w:val="bottom"/>
          </w:tcPr>
          <w:p>
            <w:pPr>
              <w:ind w:left="620"/>
              <w:spacing w:after="0"/>
              <w:rPr>
                <w:sz w:val="20"/>
                <w:szCs w:val="20"/>
                <w:color w:val="auto"/>
              </w:rPr>
            </w:pPr>
            <w:r>
              <w:rPr>
                <w:rFonts w:ascii="Arial" w:cs="Arial" w:eastAsia="Arial" w:hAnsi="Arial"/>
                <w:sz w:val="16"/>
                <w:szCs w:val="16"/>
                <w:color w:val="auto"/>
              </w:rPr>
              <w:t>Vienna, VA</w:t>
            </w:r>
          </w:p>
        </w:tc>
      </w:tr>
      <w:tr>
        <w:trPr>
          <w:trHeight w:val="219"/>
        </w:trPr>
        <w:tc>
          <w:tcPr>
            <w:tcW w:w="24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Mercer Mall</w:t>
            </w:r>
          </w:p>
        </w:tc>
        <w:tc>
          <w:tcPr>
            <w:tcW w:w="22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Lawrenceville, NJ</w:t>
            </w:r>
          </w:p>
        </w:tc>
        <w:tc>
          <w:tcPr>
            <w:tcW w:w="264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Sylmar Towne Center</w:t>
            </w:r>
          </w:p>
        </w:tc>
        <w:tc>
          <w:tcPr>
            <w:tcW w:w="3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Sylmar, CA</w:t>
            </w:r>
          </w:p>
        </w:tc>
      </w:tr>
    </w:tbl>
    <w:p>
      <w:pPr>
        <w:spacing w:after="0" w:line="216" w:lineRule="exact"/>
        <w:rPr>
          <w:sz w:val="20"/>
          <w:szCs w:val="20"/>
          <w:color w:val="auto"/>
        </w:rPr>
      </w:pPr>
    </w:p>
    <w:p>
      <w:pPr>
        <w:ind w:left="20" w:right="320"/>
        <w:spacing w:after="0" w:line="245"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-237490</wp:posOffset>
            </wp:positionV>
            <wp:extent cx="7115175"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3"/>
        </w:trPr>
        <w:tc>
          <w:tcPr>
            <w:tcW w:w="2280" w:type="dxa"/>
            <w:vAlign w:val="bottom"/>
          </w:tcPr>
          <w:p>
            <w:pPr>
              <w:ind w:left="420"/>
              <w:spacing w:after="0"/>
              <w:rPr>
                <w:sz w:val="20"/>
                <w:szCs w:val="20"/>
                <w:color w:val="auto"/>
              </w:rPr>
            </w:pPr>
            <w:r>
              <w:rPr>
                <w:rFonts w:ascii="Arial" w:cs="Arial" w:eastAsia="Arial" w:hAnsi="Arial"/>
                <w:sz w:val="16"/>
                <w:szCs w:val="16"/>
                <w:b w:val="1"/>
                <w:bCs w:val="1"/>
                <w:color w:val="auto"/>
              </w:rPr>
              <w:t>Barracks Road</w:t>
            </w:r>
          </w:p>
        </w:tc>
        <w:tc>
          <w:tcPr>
            <w:tcW w:w="2460" w:type="dxa"/>
            <w:vAlign w:val="bottom"/>
          </w:tcPr>
          <w:p>
            <w:pPr>
              <w:ind w:left="700"/>
              <w:spacing w:after="0"/>
              <w:rPr>
                <w:sz w:val="20"/>
                <w:szCs w:val="20"/>
                <w:color w:val="auto"/>
              </w:rPr>
            </w:pPr>
            <w:r>
              <w:rPr>
                <w:rFonts w:ascii="Arial" w:cs="Arial" w:eastAsia="Arial" w:hAnsi="Arial"/>
                <w:sz w:val="16"/>
                <w:szCs w:val="16"/>
                <w:color w:val="auto"/>
              </w:rPr>
              <w:t>Charlottesville, VA</w:t>
            </w:r>
          </w:p>
        </w:tc>
        <w:tc>
          <w:tcPr>
            <w:tcW w:w="2620" w:type="dxa"/>
            <w:vAlign w:val="bottom"/>
          </w:tcPr>
          <w:p>
            <w:pPr>
              <w:ind w:left="500"/>
              <w:spacing w:after="0"/>
              <w:rPr>
                <w:sz w:val="20"/>
                <w:szCs w:val="20"/>
                <w:color w:val="auto"/>
              </w:rPr>
            </w:pPr>
            <w:r>
              <w:rPr>
                <w:rFonts w:ascii="Arial" w:cs="Arial" w:eastAsia="Arial" w:hAnsi="Arial"/>
                <w:sz w:val="16"/>
                <w:szCs w:val="16"/>
                <w:b w:val="1"/>
                <w:bCs w:val="1"/>
                <w:color w:val="auto"/>
              </w:rPr>
              <w:t>Grossmont Center</w:t>
            </w:r>
          </w:p>
        </w:tc>
        <w:tc>
          <w:tcPr>
            <w:tcW w:w="3840" w:type="dxa"/>
            <w:vAlign w:val="bottom"/>
          </w:tcPr>
          <w:p>
            <w:pPr>
              <w:ind w:left="620"/>
              <w:spacing w:after="0"/>
              <w:rPr>
                <w:sz w:val="20"/>
                <w:szCs w:val="20"/>
                <w:color w:val="auto"/>
              </w:rPr>
            </w:pPr>
            <w:r>
              <w:rPr>
                <w:rFonts w:ascii="Arial" w:cs="Arial" w:eastAsia="Arial" w:hAnsi="Arial"/>
                <w:sz w:val="16"/>
                <w:szCs w:val="16"/>
                <w:color w:val="auto"/>
              </w:rPr>
              <w:t>La Mesa, CA</w:t>
            </w:r>
          </w:p>
        </w:tc>
      </w:tr>
      <w:tr>
        <w:trPr>
          <w:trHeight w:val="219"/>
        </w:trPr>
        <w:tc>
          <w:tcPr>
            <w:tcW w:w="22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Bethesda Row</w:t>
            </w:r>
          </w:p>
        </w:tc>
        <w:tc>
          <w:tcPr>
            <w:tcW w:w="24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Bethesda, MD</w:t>
            </w:r>
          </w:p>
        </w:tc>
        <w:tc>
          <w:tcPr>
            <w:tcW w:w="262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Hastings Ranch Plaza</w:t>
            </w:r>
          </w:p>
        </w:tc>
        <w:tc>
          <w:tcPr>
            <w:tcW w:w="3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Pasadena, CA</w:t>
            </w:r>
          </w:p>
        </w:tc>
      </w:tr>
      <w:tr>
        <w:trPr>
          <w:trHeight w:val="213"/>
        </w:trPr>
        <w:tc>
          <w:tcPr>
            <w:tcW w:w="2280" w:type="dxa"/>
            <w:vAlign w:val="bottom"/>
          </w:tcPr>
          <w:p>
            <w:pPr>
              <w:ind w:left="420"/>
              <w:spacing w:after="0"/>
              <w:rPr>
                <w:sz w:val="20"/>
                <w:szCs w:val="20"/>
                <w:color w:val="auto"/>
              </w:rPr>
            </w:pPr>
            <w:r>
              <w:rPr>
                <w:rFonts w:ascii="Arial" w:cs="Arial" w:eastAsia="Arial" w:hAnsi="Arial"/>
                <w:sz w:val="16"/>
                <w:szCs w:val="16"/>
                <w:b w:val="1"/>
                <w:bCs w:val="1"/>
                <w:color w:val="auto"/>
              </w:rPr>
              <w:t>Dedham Plaza</w:t>
            </w:r>
          </w:p>
        </w:tc>
        <w:tc>
          <w:tcPr>
            <w:tcW w:w="2460" w:type="dxa"/>
            <w:vAlign w:val="bottom"/>
          </w:tcPr>
          <w:p>
            <w:pPr>
              <w:ind w:left="700"/>
              <w:spacing w:after="0"/>
              <w:rPr>
                <w:sz w:val="20"/>
                <w:szCs w:val="20"/>
                <w:color w:val="auto"/>
              </w:rPr>
            </w:pPr>
            <w:r>
              <w:rPr>
                <w:rFonts w:ascii="Arial" w:cs="Arial" w:eastAsia="Arial" w:hAnsi="Arial"/>
                <w:sz w:val="16"/>
                <w:szCs w:val="16"/>
                <w:color w:val="auto"/>
              </w:rPr>
              <w:t>Dedham, MA</w:t>
            </w:r>
          </w:p>
        </w:tc>
        <w:tc>
          <w:tcPr>
            <w:tcW w:w="2620" w:type="dxa"/>
            <w:vAlign w:val="bottom"/>
          </w:tcPr>
          <w:p>
            <w:pPr>
              <w:ind w:left="500"/>
              <w:spacing w:after="0"/>
              <w:rPr>
                <w:sz w:val="20"/>
                <w:szCs w:val="20"/>
                <w:color w:val="auto"/>
              </w:rPr>
            </w:pPr>
            <w:r>
              <w:rPr>
                <w:rFonts w:ascii="Arial" w:cs="Arial" w:eastAsia="Arial" w:hAnsi="Arial"/>
                <w:sz w:val="16"/>
                <w:szCs w:val="16"/>
                <w:b w:val="1"/>
                <w:bCs w:val="1"/>
                <w:color w:val="auto"/>
              </w:rPr>
              <w:t>Huntington</w:t>
            </w:r>
          </w:p>
        </w:tc>
        <w:tc>
          <w:tcPr>
            <w:tcW w:w="3840" w:type="dxa"/>
            <w:vAlign w:val="bottom"/>
          </w:tcPr>
          <w:p>
            <w:pPr>
              <w:ind w:left="620"/>
              <w:spacing w:after="0"/>
              <w:rPr>
                <w:sz w:val="20"/>
                <w:szCs w:val="20"/>
                <w:color w:val="auto"/>
              </w:rPr>
            </w:pPr>
            <w:r>
              <w:rPr>
                <w:rFonts w:ascii="Arial" w:cs="Arial" w:eastAsia="Arial" w:hAnsi="Arial"/>
                <w:sz w:val="16"/>
                <w:szCs w:val="16"/>
                <w:color w:val="auto"/>
              </w:rPr>
              <w:t>Huntington, NY</w:t>
            </w:r>
          </w:p>
        </w:tc>
      </w:tr>
      <w:tr>
        <w:trPr>
          <w:trHeight w:val="219"/>
        </w:trPr>
        <w:tc>
          <w:tcPr>
            <w:tcW w:w="22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Fairfax Junction</w:t>
            </w:r>
          </w:p>
        </w:tc>
        <w:tc>
          <w:tcPr>
            <w:tcW w:w="24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Fairfax, VA</w:t>
            </w:r>
          </w:p>
        </w:tc>
        <w:tc>
          <w:tcPr>
            <w:tcW w:w="262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Riverpoint Center</w:t>
            </w:r>
          </w:p>
        </w:tc>
        <w:tc>
          <w:tcPr>
            <w:tcW w:w="3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Chicago, IL</w:t>
            </w:r>
          </w:p>
        </w:tc>
      </w:tr>
      <w:tr>
        <w:trPr>
          <w:trHeight w:val="213"/>
        </w:trPr>
        <w:tc>
          <w:tcPr>
            <w:tcW w:w="2280" w:type="dxa"/>
            <w:vAlign w:val="bottom"/>
          </w:tcPr>
          <w:p>
            <w:pPr>
              <w:ind w:left="420"/>
              <w:spacing w:after="0"/>
              <w:rPr>
                <w:sz w:val="20"/>
                <w:szCs w:val="20"/>
                <w:color w:val="auto"/>
              </w:rPr>
            </w:pPr>
            <w:r>
              <w:rPr>
                <w:rFonts w:ascii="Arial" w:cs="Arial" w:eastAsia="Arial" w:hAnsi="Arial"/>
                <w:sz w:val="16"/>
                <w:szCs w:val="16"/>
                <w:b w:val="1"/>
                <w:bCs w:val="1"/>
                <w:color w:val="auto"/>
              </w:rPr>
              <w:t>Fourth Street</w:t>
            </w:r>
          </w:p>
        </w:tc>
        <w:tc>
          <w:tcPr>
            <w:tcW w:w="2460" w:type="dxa"/>
            <w:vAlign w:val="bottom"/>
          </w:tcPr>
          <w:p>
            <w:pPr>
              <w:ind w:left="700"/>
              <w:spacing w:after="0"/>
              <w:rPr>
                <w:sz w:val="20"/>
                <w:szCs w:val="20"/>
                <w:color w:val="auto"/>
              </w:rPr>
            </w:pPr>
            <w:r>
              <w:rPr>
                <w:rFonts w:ascii="Arial" w:cs="Arial" w:eastAsia="Arial" w:hAnsi="Arial"/>
                <w:sz w:val="16"/>
                <w:szCs w:val="16"/>
                <w:color w:val="auto"/>
              </w:rPr>
              <w:t>Berkeley, CA</w:t>
            </w:r>
          </w:p>
        </w:tc>
        <w:tc>
          <w:tcPr>
            <w:tcW w:w="2620" w:type="dxa"/>
            <w:vAlign w:val="bottom"/>
          </w:tcPr>
          <w:p>
            <w:pPr>
              <w:ind w:left="500"/>
              <w:spacing w:after="0"/>
              <w:rPr>
                <w:sz w:val="20"/>
                <w:szCs w:val="20"/>
                <w:color w:val="auto"/>
              </w:rPr>
            </w:pPr>
            <w:r>
              <w:rPr>
                <w:rFonts w:ascii="Arial" w:cs="Arial" w:eastAsia="Arial" w:hAnsi="Arial"/>
                <w:sz w:val="16"/>
                <w:szCs w:val="16"/>
                <w:b w:val="1"/>
                <w:bCs w:val="1"/>
                <w:color w:val="auto"/>
              </w:rPr>
              <w:t>Wildwood</w:t>
            </w:r>
          </w:p>
        </w:tc>
        <w:tc>
          <w:tcPr>
            <w:tcW w:w="3840" w:type="dxa"/>
            <w:vAlign w:val="bottom"/>
          </w:tcPr>
          <w:p>
            <w:pPr>
              <w:ind w:left="620"/>
              <w:spacing w:after="0"/>
              <w:rPr>
                <w:sz w:val="20"/>
                <w:szCs w:val="20"/>
                <w:color w:val="auto"/>
              </w:rPr>
            </w:pPr>
            <w:r>
              <w:rPr>
                <w:rFonts w:ascii="Arial" w:cs="Arial" w:eastAsia="Arial" w:hAnsi="Arial"/>
                <w:sz w:val="16"/>
                <w:szCs w:val="16"/>
                <w:color w:val="auto"/>
              </w:rPr>
              <w:t>Bethesda, MD</w:t>
            </w:r>
          </w:p>
        </w:tc>
      </w:tr>
      <w:tr>
        <w:trPr>
          <w:trHeight w:val="219"/>
        </w:trPr>
        <w:tc>
          <w:tcPr>
            <w:tcW w:w="22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Fresh Meadows</w:t>
            </w:r>
          </w:p>
        </w:tc>
        <w:tc>
          <w:tcPr>
            <w:tcW w:w="24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Queens, NY</w:t>
            </w:r>
          </w:p>
        </w:tc>
        <w:tc>
          <w:tcPr>
            <w:tcW w:w="262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Willow Grove</w:t>
            </w:r>
          </w:p>
        </w:tc>
        <w:tc>
          <w:tcPr>
            <w:tcW w:w="3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Willow Grove, PA</w:t>
            </w:r>
          </w:p>
        </w:tc>
      </w:tr>
    </w:tbl>
    <w:p>
      <w:pPr>
        <w:spacing w:after="0" w:line="2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Barracks Road</w:t>
            </w:r>
          </w:p>
        </w:tc>
        <w:tc>
          <w:tcPr>
            <w:tcW w:w="1880" w:type="dxa"/>
            <w:vAlign w:val="bottom"/>
          </w:tcPr>
          <w:p>
            <w:pPr>
              <w:ind w:left="120"/>
              <w:spacing w:after="0"/>
              <w:rPr>
                <w:sz w:val="20"/>
                <w:szCs w:val="20"/>
                <w:color w:val="auto"/>
              </w:rPr>
            </w:pPr>
            <w:r>
              <w:rPr>
                <w:rFonts w:ascii="Arial" w:cs="Arial" w:eastAsia="Arial" w:hAnsi="Arial"/>
                <w:sz w:val="16"/>
                <w:szCs w:val="16"/>
                <w:color w:val="auto"/>
              </w:rPr>
              <w:t>Charlottesville, VA</w:t>
            </w:r>
          </w:p>
        </w:tc>
        <w:tc>
          <w:tcPr>
            <w:tcW w:w="2980" w:type="dxa"/>
            <w:vAlign w:val="bottom"/>
          </w:tcPr>
          <w:p>
            <w:pPr>
              <w:ind w:left="500"/>
              <w:spacing w:after="0"/>
              <w:rPr>
                <w:sz w:val="20"/>
                <w:szCs w:val="20"/>
                <w:color w:val="auto"/>
              </w:rPr>
            </w:pPr>
            <w:r>
              <w:rPr>
                <w:rFonts w:ascii="Arial" w:cs="Arial" w:eastAsia="Arial" w:hAnsi="Arial"/>
                <w:sz w:val="16"/>
                <w:szCs w:val="16"/>
                <w:b w:val="1"/>
                <w:bCs w:val="1"/>
                <w:color w:val="auto"/>
              </w:rPr>
              <w:t>Federal Plaza</w:t>
            </w:r>
          </w:p>
        </w:tc>
        <w:tc>
          <w:tcPr>
            <w:tcW w:w="3480" w:type="dxa"/>
            <w:vAlign w:val="bottom"/>
          </w:tcPr>
          <w:p>
            <w:pPr>
              <w:ind w:left="260"/>
              <w:spacing w:after="0"/>
              <w:rPr>
                <w:sz w:val="20"/>
                <w:szCs w:val="20"/>
                <w:color w:val="auto"/>
              </w:rPr>
            </w:pPr>
            <w:r>
              <w:rPr>
                <w:rFonts w:ascii="Arial" w:cs="Arial" w:eastAsia="Arial" w:hAnsi="Arial"/>
                <w:sz w:val="16"/>
                <w:szCs w:val="16"/>
                <w:color w:val="auto"/>
              </w:rPr>
              <w:t>Rockville, MD</w:t>
            </w:r>
          </w:p>
        </w:tc>
      </w:tr>
      <w:tr>
        <w:trPr>
          <w:trHeight w:val="21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 Cynwyd</w:t>
            </w:r>
          </w:p>
        </w:tc>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Bala Cynwyd, PA</w:t>
            </w:r>
          </w:p>
        </w:tc>
        <w:tc>
          <w:tcPr>
            <w:tcW w:w="298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Village at Shirlington</w:t>
            </w:r>
          </w:p>
        </w:tc>
        <w:tc>
          <w:tcPr>
            <w:tcW w:w="3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Arlington, VA</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16"/>
        </w:trPr>
        <w:tc>
          <w:tcPr>
            <w:tcW w:w="28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w w:val="96"/>
              </w:rPr>
              <w:t>Longer Term Mixed-Use Opportunities</w:t>
            </w:r>
          </w:p>
        </w:tc>
        <w:tc>
          <w:tcPr>
            <w:tcW w:w="18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Assembly Row (1)</w:t>
            </w:r>
          </w:p>
        </w:tc>
        <w:tc>
          <w:tcPr>
            <w:tcW w:w="1880" w:type="dxa"/>
            <w:vAlign w:val="bottom"/>
          </w:tcPr>
          <w:p>
            <w:pPr>
              <w:ind w:left="120"/>
              <w:spacing w:after="0"/>
              <w:rPr>
                <w:sz w:val="20"/>
                <w:szCs w:val="20"/>
                <w:color w:val="auto"/>
              </w:rPr>
            </w:pPr>
            <w:r>
              <w:rPr>
                <w:rFonts w:ascii="Arial" w:cs="Arial" w:eastAsia="Arial" w:hAnsi="Arial"/>
                <w:sz w:val="16"/>
                <w:szCs w:val="16"/>
                <w:color w:val="auto"/>
              </w:rPr>
              <w:t>Somerville, MA</w:t>
            </w:r>
          </w:p>
        </w:tc>
        <w:tc>
          <w:tcPr>
            <w:tcW w:w="2980" w:type="dxa"/>
            <w:vAlign w:val="bottom"/>
          </w:tcPr>
          <w:p>
            <w:pPr>
              <w:ind w:left="500"/>
              <w:spacing w:after="0"/>
              <w:rPr>
                <w:sz w:val="20"/>
                <w:szCs w:val="20"/>
                <w:color w:val="auto"/>
              </w:rPr>
            </w:pPr>
            <w:r>
              <w:rPr>
                <w:rFonts w:ascii="Arial" w:cs="Arial" w:eastAsia="Arial" w:hAnsi="Arial"/>
                <w:sz w:val="16"/>
                <w:szCs w:val="16"/>
                <w:b w:val="1"/>
                <w:bCs w:val="1"/>
                <w:color w:val="auto"/>
              </w:rPr>
              <w:t>Pike &amp; Rose (2)</w:t>
            </w:r>
          </w:p>
        </w:tc>
        <w:tc>
          <w:tcPr>
            <w:tcW w:w="3480" w:type="dxa"/>
            <w:vAlign w:val="bottom"/>
          </w:tcPr>
          <w:p>
            <w:pPr>
              <w:ind w:left="260"/>
              <w:spacing w:after="0"/>
              <w:rPr>
                <w:sz w:val="20"/>
                <w:szCs w:val="20"/>
                <w:color w:val="auto"/>
              </w:rPr>
            </w:pPr>
            <w:r>
              <w:rPr>
                <w:rFonts w:ascii="Arial" w:cs="Arial" w:eastAsia="Arial" w:hAnsi="Arial"/>
                <w:sz w:val="16"/>
                <w:szCs w:val="16"/>
                <w:color w:val="auto"/>
              </w:rPr>
              <w:t>North Bethesda, MD</w:t>
            </w:r>
          </w:p>
        </w:tc>
      </w:tr>
      <w:tr>
        <w:trPr>
          <w:trHeight w:val="21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 Cynwyd</w:t>
            </w:r>
          </w:p>
        </w:tc>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Bala Cynwyd, PA</w:t>
            </w:r>
          </w:p>
        </w:tc>
        <w:tc>
          <w:tcPr>
            <w:tcW w:w="298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Santana Row (3)</w:t>
            </w:r>
          </w:p>
        </w:tc>
        <w:tc>
          <w:tcPr>
            <w:tcW w:w="3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San Jose, CA</w:t>
            </w:r>
          </w:p>
        </w:tc>
      </w:tr>
      <w:tr>
        <w:trPr>
          <w:trHeight w:val="213"/>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Pike 7 Plaza</w:t>
            </w:r>
          </w:p>
        </w:tc>
        <w:tc>
          <w:tcPr>
            <w:tcW w:w="1880" w:type="dxa"/>
            <w:vAlign w:val="bottom"/>
          </w:tcPr>
          <w:p>
            <w:pPr>
              <w:ind w:left="120"/>
              <w:spacing w:after="0"/>
              <w:rPr>
                <w:sz w:val="20"/>
                <w:szCs w:val="20"/>
                <w:color w:val="auto"/>
              </w:rPr>
            </w:pPr>
            <w:r>
              <w:rPr>
                <w:rFonts w:ascii="Arial" w:cs="Arial" w:eastAsia="Arial" w:hAnsi="Arial"/>
                <w:sz w:val="16"/>
                <w:szCs w:val="16"/>
                <w:color w:val="auto"/>
              </w:rPr>
              <w:t>Vienna, VA</w:t>
            </w:r>
          </w:p>
        </w:tc>
        <w:tc>
          <w:tcPr>
            <w:tcW w:w="2980" w:type="dxa"/>
            <w:vAlign w:val="bottom"/>
          </w:tcPr>
          <w:p>
            <w:pPr>
              <w:ind w:left="500"/>
              <w:spacing w:after="0"/>
              <w:rPr>
                <w:sz w:val="20"/>
                <w:szCs w:val="20"/>
                <w:color w:val="auto"/>
              </w:rPr>
            </w:pPr>
            <w:r>
              <w:rPr>
                <w:rFonts w:ascii="Arial" w:cs="Arial" w:eastAsia="Arial" w:hAnsi="Arial"/>
                <w:sz w:val="16"/>
                <w:szCs w:val="16"/>
                <w:b w:val="1"/>
                <w:bCs w:val="1"/>
                <w:color w:val="auto"/>
              </w:rPr>
              <w:t>Santana Row - Santana West (3)</w:t>
            </w:r>
          </w:p>
        </w:tc>
        <w:tc>
          <w:tcPr>
            <w:tcW w:w="3480" w:type="dxa"/>
            <w:vAlign w:val="bottom"/>
          </w:tcPr>
          <w:p>
            <w:pPr>
              <w:ind w:left="260"/>
              <w:spacing w:after="0"/>
              <w:rPr>
                <w:sz w:val="20"/>
                <w:szCs w:val="20"/>
                <w:color w:val="auto"/>
              </w:rPr>
            </w:pPr>
            <w:r>
              <w:rPr>
                <w:rFonts w:ascii="Arial" w:cs="Arial" w:eastAsia="Arial" w:hAnsi="Arial"/>
                <w:sz w:val="16"/>
                <w:szCs w:val="16"/>
                <w:color w:val="auto"/>
              </w:rPr>
              <w:t>San Jose, CA</w:t>
            </w:r>
          </w:p>
        </w:tc>
      </w:tr>
      <w:tr>
        <w:trPr>
          <w:trHeight w:val="21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r>
      <w:tr>
        <w:trPr>
          <w:trHeight w:val="148"/>
        </w:trPr>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8"/>
              </w:rPr>
              <w:t>Notes:</w:t>
            </w:r>
          </w:p>
        </w:tc>
        <w:tc>
          <w:tcPr>
            <w:tcW w:w="2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8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189"/>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Assembly Row</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5"/>
              </w:rPr>
              <w:t>Remaining entitlements after Phase III include approximately 1.5 million square feet of commercial-use buildings and 329 residential units.</w:t>
            </w:r>
          </w:p>
        </w:tc>
      </w:tr>
      <w:tr>
        <w:trPr>
          <w:trHeight w:val="186"/>
        </w:trPr>
        <w:tc>
          <w:tcPr>
            <w:tcW w:w="400" w:type="dxa"/>
            <w:vAlign w:val="bottom"/>
            <w:gridSpan w:val="2"/>
          </w:tcPr>
          <w:p>
            <w:pPr>
              <w:ind w:left="20"/>
              <w:spacing w:after="0"/>
              <w:rPr>
                <w:sz w:val="20"/>
                <w:szCs w:val="20"/>
                <w:color w:val="auto"/>
              </w:rPr>
            </w:pPr>
            <w:r>
              <w:rPr>
                <w:rFonts w:ascii="Arial" w:cs="Arial" w:eastAsia="Arial" w:hAnsi="Arial"/>
                <w:sz w:val="14"/>
                <w:szCs w:val="14"/>
                <w:color w:val="auto"/>
              </w:rPr>
              <w:t>(2)</w:t>
            </w:r>
          </w:p>
        </w:tc>
        <w:tc>
          <w:tcPr>
            <w:tcW w:w="2460" w:type="dxa"/>
            <w:vAlign w:val="bottom"/>
          </w:tcPr>
          <w:p>
            <w:pPr>
              <w:ind w:left="20"/>
              <w:spacing w:after="0"/>
              <w:rPr>
                <w:sz w:val="20"/>
                <w:szCs w:val="20"/>
                <w:color w:val="auto"/>
              </w:rPr>
            </w:pPr>
            <w:r>
              <w:rPr>
                <w:rFonts w:ascii="Arial" w:cs="Arial" w:eastAsia="Arial" w:hAnsi="Arial"/>
                <w:sz w:val="14"/>
                <w:szCs w:val="14"/>
                <w:color w:val="auto"/>
              </w:rPr>
              <w:t>Pike &amp; Rose</w:t>
            </w:r>
          </w:p>
        </w:tc>
        <w:tc>
          <w:tcPr>
            <w:tcW w:w="8340" w:type="dxa"/>
            <w:vAlign w:val="bottom"/>
            <w:gridSpan w:val="3"/>
          </w:tcPr>
          <w:p>
            <w:pPr>
              <w:ind w:left="120"/>
              <w:spacing w:after="0"/>
              <w:rPr>
                <w:sz w:val="20"/>
                <w:szCs w:val="20"/>
                <w:color w:val="auto"/>
              </w:rPr>
            </w:pPr>
            <w:r>
              <w:rPr>
                <w:rFonts w:ascii="Arial" w:cs="Arial" w:eastAsia="Arial" w:hAnsi="Arial"/>
                <w:sz w:val="14"/>
                <w:szCs w:val="14"/>
                <w:color w:val="auto"/>
                <w:w w:val="96"/>
              </w:rPr>
              <w:t>Remaining entitlements after Phase III include approximately 740,000 square feet of commercial-use buildings, and 741 residential units.</w:t>
            </w:r>
          </w:p>
        </w:tc>
      </w:tr>
      <w:tr>
        <w:trPr>
          <w:trHeight w:val="138"/>
        </w:trPr>
        <w:tc>
          <w:tcPr>
            <w:tcW w:w="4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(3)</w:t>
            </w:r>
          </w:p>
        </w:tc>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Santana Row</w:t>
            </w:r>
          </w:p>
        </w:tc>
        <w:tc>
          <w:tcPr>
            <w:tcW w:w="8340" w:type="dxa"/>
            <w:vAlign w:val="bottom"/>
            <w:gridSpan w:val="3"/>
            <w:shd w:val="clear" w:color="auto" w:fill="CCEEFF"/>
          </w:tcPr>
          <w:p>
            <w:pPr>
              <w:ind w:left="120"/>
              <w:spacing w:after="0" w:line="139" w:lineRule="exact"/>
              <w:rPr>
                <w:sz w:val="20"/>
                <w:szCs w:val="20"/>
                <w:color w:val="auto"/>
              </w:rPr>
            </w:pPr>
            <w:r>
              <w:rPr>
                <w:rFonts w:ascii="Arial" w:cs="Arial" w:eastAsia="Arial" w:hAnsi="Arial"/>
                <w:sz w:val="14"/>
                <w:szCs w:val="14"/>
                <w:color w:val="auto"/>
                <w:w w:val="95"/>
              </w:rPr>
              <w:t>Remaining entitlements include approximately 321,000 square feet of commercial space and 395 residential units, as well as approximately</w:t>
            </w:r>
          </w:p>
        </w:tc>
      </w:tr>
      <w:tr>
        <w:trPr>
          <w:trHeight w:val="189"/>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4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604,000 square feet of commercial space at Santana West.</w:t>
            </w:r>
          </w:p>
        </w:tc>
        <w:tc>
          <w:tcPr>
            <w:tcW w:w="348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40" w:top="1030" w:right="359" w:bottom="1440" w:gutter="0" w:footer="0" w:header="0"/>
        </w:sectPr>
      </w:pPr>
    </w:p>
    <w:bookmarkStart w:id="22" w:name="page23"/>
    <w:bookmarkEnd w:id="22"/>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Property Acquisitions, Disposition, and Other Transactions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2021</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Property Acquisitions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Date</w:t>
            </w:r>
          </w:p>
        </w:tc>
        <w:tc>
          <w:tcPr>
            <w:tcW w:w="19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Property</w:t>
            </w:r>
          </w:p>
        </w:tc>
        <w:tc>
          <w:tcPr>
            <w:tcW w:w="16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City/State</w:t>
            </w:r>
          </w:p>
        </w:tc>
        <w:tc>
          <w:tcPr>
            <w:tcW w:w="1200" w:type="dxa"/>
            <w:vAlign w:val="bottom"/>
            <w:vMerge w:val="restart"/>
          </w:tcPr>
          <w:p>
            <w:pPr>
              <w:jc w:val="right"/>
              <w:ind w:right="317"/>
              <w:spacing w:after="0"/>
              <w:rPr>
                <w:sz w:val="20"/>
                <w:szCs w:val="20"/>
                <w:color w:val="auto"/>
              </w:rPr>
            </w:pPr>
            <w:r>
              <w:rPr>
                <w:rFonts w:ascii="Arial" w:cs="Arial" w:eastAsia="Arial" w:hAnsi="Arial"/>
                <w:sz w:val="16"/>
                <w:szCs w:val="16"/>
                <w:b w:val="1"/>
                <w:bCs w:val="1"/>
                <w:color w:val="auto"/>
              </w:rPr>
              <w:t>GLA</w:t>
            </w:r>
          </w:p>
        </w:tc>
        <w:tc>
          <w:tcPr>
            <w:tcW w:w="880" w:type="dxa"/>
            <w:vAlign w:val="bottom"/>
          </w:tcPr>
          <w:p>
            <w:pPr>
              <w:ind w:left="60"/>
              <w:spacing w:after="0"/>
              <w:rPr>
                <w:sz w:val="20"/>
                <w:szCs w:val="20"/>
                <w:color w:val="auto"/>
              </w:rPr>
            </w:pPr>
            <w:r>
              <w:rPr>
                <w:rFonts w:ascii="Arial" w:cs="Arial" w:eastAsia="Arial" w:hAnsi="Arial"/>
                <w:sz w:val="16"/>
                <w:szCs w:val="16"/>
                <w:b w:val="1"/>
                <w:bCs w:val="1"/>
                <w:color w:val="auto"/>
                <w:w w:val="96"/>
              </w:rPr>
              <w:t>Ownership</w:t>
            </w:r>
          </w:p>
        </w:tc>
        <w:tc>
          <w:tcPr>
            <w:tcW w:w="180" w:type="dxa"/>
            <w:vAlign w:val="bottom"/>
          </w:tcPr>
          <w:p>
            <w:pPr>
              <w:spacing w:after="0"/>
              <w:rPr>
                <w:sz w:val="16"/>
                <w:szCs w:val="16"/>
                <w:color w:val="auto"/>
              </w:rPr>
            </w:pPr>
          </w:p>
        </w:tc>
        <w:tc>
          <w:tcPr>
            <w:tcW w:w="680" w:type="dxa"/>
            <w:vAlign w:val="bottom"/>
          </w:tcPr>
          <w:p>
            <w:pPr>
              <w:jc w:val="right"/>
              <w:ind w:right="136"/>
              <w:spacing w:after="0"/>
              <w:rPr>
                <w:sz w:val="20"/>
                <w:szCs w:val="20"/>
                <w:color w:val="auto"/>
              </w:rPr>
            </w:pPr>
            <w:r>
              <w:rPr>
                <w:rFonts w:ascii="Arial" w:cs="Arial" w:eastAsia="Arial" w:hAnsi="Arial"/>
                <w:sz w:val="16"/>
                <w:szCs w:val="16"/>
                <w:b w:val="1"/>
                <w:bCs w:val="1"/>
                <w:color w:val="auto"/>
                <w:w w:val="95"/>
              </w:rPr>
              <w:t>Gross</w:t>
            </w:r>
          </w:p>
        </w:tc>
        <w:tc>
          <w:tcPr>
            <w:tcW w:w="34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Principal Tenants</w:t>
            </w:r>
          </w:p>
        </w:tc>
        <w:tc>
          <w:tcPr>
            <w:tcW w:w="0" w:type="dxa"/>
            <w:vAlign w:val="bottom"/>
          </w:tcPr>
          <w:p>
            <w:pPr>
              <w:spacing w:after="0"/>
              <w:rPr>
                <w:sz w:val="1"/>
                <w:szCs w:val="1"/>
                <w:color w:val="auto"/>
              </w:rPr>
            </w:pPr>
          </w:p>
        </w:tc>
      </w:tr>
      <w:tr>
        <w:trPr>
          <w:trHeight w:val="213"/>
        </w:trPr>
        <w:tc>
          <w:tcPr>
            <w:tcW w:w="1240" w:type="dxa"/>
            <w:vAlign w:val="bottom"/>
            <w:tcBorders>
              <w:bottom w:val="single" w:sz="8" w:color="auto"/>
            </w:tcBorders>
            <w:vMerge w:val="continue"/>
          </w:tcPr>
          <w:p>
            <w:pPr>
              <w:spacing w:after="0"/>
              <w:rPr>
                <w:sz w:val="18"/>
                <w:szCs w:val="18"/>
                <w:color w:val="auto"/>
              </w:rPr>
            </w:pPr>
          </w:p>
        </w:tc>
        <w:tc>
          <w:tcPr>
            <w:tcW w:w="198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w w:val="98"/>
              </w:rPr>
              <w:t>Value</w:t>
            </w:r>
          </w:p>
        </w:tc>
        <w:tc>
          <w:tcPr>
            <w:tcW w:w="3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jc w:val="right"/>
              <w:ind w:right="37"/>
              <w:spacing w:after="0"/>
              <w:rPr>
                <w:sz w:val="20"/>
                <w:szCs w:val="20"/>
                <w:color w:val="auto"/>
              </w:rPr>
            </w:pPr>
            <w:r>
              <w:rPr>
                <w:rFonts w:ascii="Arial" w:cs="Arial" w:eastAsia="Arial" w:hAnsi="Arial"/>
                <w:sz w:val="14"/>
                <w:szCs w:val="14"/>
                <w:b w:val="1"/>
                <w:bCs w:val="1"/>
                <w:color w:val="auto"/>
              </w:rPr>
              <w:t>(in square feet)</w:t>
            </w:r>
          </w:p>
        </w:tc>
        <w:tc>
          <w:tcPr>
            <w:tcW w:w="88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(in millions)</w:t>
            </w: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30, 2021</w:t>
            </w:r>
          </w:p>
        </w:tc>
        <w:tc>
          <w:tcPr>
            <w:tcW w:w="19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Chesterbrook (1)</w:t>
            </w:r>
          </w:p>
        </w:tc>
        <w:tc>
          <w:tcPr>
            <w:tcW w:w="1620" w:type="dxa"/>
            <w:vAlign w:val="bottom"/>
            <w:shd w:val="clear" w:color="auto" w:fill="CCEEFF"/>
          </w:tcPr>
          <w:p>
            <w:pPr>
              <w:ind w:left="80"/>
              <w:spacing w:after="0"/>
              <w:rPr>
                <w:sz w:val="20"/>
                <w:szCs w:val="20"/>
                <w:color w:val="auto"/>
              </w:rPr>
            </w:pPr>
            <w:r>
              <w:rPr>
                <w:rFonts w:ascii="Arial" w:cs="Arial" w:eastAsia="Arial" w:hAnsi="Arial"/>
                <w:sz w:val="17"/>
                <w:szCs w:val="17"/>
                <w:color w:val="auto"/>
              </w:rPr>
              <w:t>McLean, Virginia</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90,000</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80%</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32.1</w:t>
            </w:r>
          </w:p>
        </w:tc>
        <w:tc>
          <w:tcPr>
            <w:tcW w:w="3460" w:type="dxa"/>
            <w:vAlign w:val="bottom"/>
            <w:shd w:val="clear" w:color="auto" w:fill="CCEEFF"/>
          </w:tcPr>
          <w:p>
            <w:pPr>
              <w:ind w:left="60"/>
              <w:spacing w:after="0"/>
              <w:rPr>
                <w:sz w:val="20"/>
                <w:szCs w:val="20"/>
                <w:color w:val="auto"/>
              </w:rPr>
            </w:pPr>
            <w:r>
              <w:rPr>
                <w:rFonts w:ascii="Arial" w:cs="Arial" w:eastAsia="Arial" w:hAnsi="Arial"/>
                <w:sz w:val="17"/>
                <w:szCs w:val="17"/>
                <w:color w:val="auto"/>
              </w:rPr>
              <w:t>Safeway / Walgreens</w:t>
            </w:r>
          </w:p>
        </w:tc>
        <w:tc>
          <w:tcPr>
            <w:tcW w:w="0" w:type="dxa"/>
            <w:vAlign w:val="bottom"/>
          </w:tcPr>
          <w:p>
            <w:pPr>
              <w:spacing w:after="0"/>
              <w:rPr>
                <w:sz w:val="1"/>
                <w:szCs w:val="1"/>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7"/>
                <w:szCs w:val="17"/>
                <w:color w:val="auto"/>
              </w:rPr>
              <w:t>June 1, 2021</w:t>
            </w:r>
          </w:p>
        </w:tc>
        <w:tc>
          <w:tcPr>
            <w:tcW w:w="1980" w:type="dxa"/>
            <w:vAlign w:val="bottom"/>
          </w:tcPr>
          <w:p>
            <w:pPr>
              <w:ind w:left="100"/>
              <w:spacing w:after="0"/>
              <w:rPr>
                <w:sz w:val="20"/>
                <w:szCs w:val="20"/>
                <w:color w:val="auto"/>
              </w:rPr>
            </w:pPr>
            <w:r>
              <w:rPr>
                <w:rFonts w:ascii="Arial" w:cs="Arial" w:eastAsia="Arial" w:hAnsi="Arial"/>
                <w:sz w:val="17"/>
                <w:szCs w:val="17"/>
                <w:color w:val="auto"/>
              </w:rPr>
              <w:t>Grossmont Center (1)</w:t>
            </w:r>
          </w:p>
        </w:tc>
        <w:tc>
          <w:tcPr>
            <w:tcW w:w="1620" w:type="dxa"/>
            <w:vAlign w:val="bottom"/>
          </w:tcPr>
          <w:p>
            <w:pPr>
              <w:ind w:left="80"/>
              <w:spacing w:after="0"/>
              <w:rPr>
                <w:sz w:val="20"/>
                <w:szCs w:val="20"/>
                <w:color w:val="auto"/>
              </w:rPr>
            </w:pPr>
            <w:r>
              <w:rPr>
                <w:rFonts w:ascii="Arial" w:cs="Arial" w:eastAsia="Arial" w:hAnsi="Arial"/>
                <w:sz w:val="17"/>
                <w:szCs w:val="17"/>
                <w:color w:val="auto"/>
              </w:rPr>
              <w:t>La Mesa, California</w:t>
            </w:r>
          </w:p>
        </w:tc>
        <w:tc>
          <w:tcPr>
            <w:tcW w:w="1200" w:type="dxa"/>
            <w:vAlign w:val="bottom"/>
          </w:tcPr>
          <w:p>
            <w:pPr>
              <w:jc w:val="right"/>
              <w:spacing w:after="0"/>
              <w:rPr>
                <w:sz w:val="20"/>
                <w:szCs w:val="20"/>
                <w:color w:val="auto"/>
              </w:rPr>
            </w:pPr>
            <w:r>
              <w:rPr>
                <w:rFonts w:ascii="Arial" w:cs="Arial" w:eastAsia="Arial" w:hAnsi="Arial"/>
                <w:sz w:val="17"/>
                <w:szCs w:val="17"/>
                <w:color w:val="auto"/>
              </w:rPr>
              <w:t>933,000</w:t>
            </w:r>
          </w:p>
        </w:tc>
        <w:tc>
          <w:tcPr>
            <w:tcW w:w="880" w:type="dxa"/>
            <w:vAlign w:val="bottom"/>
          </w:tcPr>
          <w:p>
            <w:pPr>
              <w:jc w:val="center"/>
              <w:spacing w:after="0"/>
              <w:rPr>
                <w:sz w:val="20"/>
                <w:szCs w:val="20"/>
                <w:color w:val="auto"/>
              </w:rPr>
            </w:pPr>
            <w:r>
              <w:rPr>
                <w:rFonts w:ascii="Arial" w:cs="Arial" w:eastAsia="Arial" w:hAnsi="Arial"/>
                <w:sz w:val="17"/>
                <w:szCs w:val="17"/>
                <w:color w:val="auto"/>
                <w:w w:val="93"/>
              </w:rPr>
              <w:t>60%</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6"/>
              <w:spacing w:after="0"/>
              <w:rPr>
                <w:sz w:val="20"/>
                <w:szCs w:val="20"/>
                <w:color w:val="auto"/>
              </w:rPr>
            </w:pPr>
            <w:r>
              <w:rPr>
                <w:rFonts w:ascii="Arial" w:cs="Arial" w:eastAsia="Arial" w:hAnsi="Arial"/>
                <w:sz w:val="17"/>
                <w:szCs w:val="17"/>
                <w:color w:val="auto"/>
              </w:rPr>
              <w:t>175.0</w:t>
            </w:r>
          </w:p>
        </w:tc>
        <w:tc>
          <w:tcPr>
            <w:tcW w:w="3460" w:type="dxa"/>
            <w:vAlign w:val="bottom"/>
          </w:tcPr>
          <w:p>
            <w:pPr>
              <w:ind w:left="60"/>
              <w:spacing w:after="0"/>
              <w:rPr>
                <w:sz w:val="20"/>
                <w:szCs w:val="20"/>
                <w:color w:val="auto"/>
              </w:rPr>
            </w:pPr>
            <w:r>
              <w:rPr>
                <w:rFonts w:ascii="Arial" w:cs="Arial" w:eastAsia="Arial" w:hAnsi="Arial"/>
                <w:sz w:val="17"/>
                <w:szCs w:val="17"/>
                <w:color w:val="auto"/>
              </w:rPr>
              <w:t>Target / Walmart / Macy’s / CVS</w:t>
            </w:r>
          </w:p>
        </w:tc>
        <w:tc>
          <w:tcPr>
            <w:tcW w:w="0" w:type="dxa"/>
            <w:vAlign w:val="bottom"/>
          </w:tcPr>
          <w:p>
            <w:pPr>
              <w:spacing w:after="0"/>
              <w:rPr>
                <w:sz w:val="1"/>
                <w:szCs w:val="1"/>
                <w:color w:val="auto"/>
              </w:rPr>
            </w:pPr>
          </w:p>
        </w:tc>
      </w:tr>
      <w:tr>
        <w:trPr>
          <w:trHeight w:val="169"/>
        </w:trPr>
        <w:tc>
          <w:tcPr>
            <w:tcW w:w="124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June 14, 2021</w:t>
            </w:r>
          </w:p>
        </w:tc>
        <w:tc>
          <w:tcPr>
            <w:tcW w:w="1980" w:type="dxa"/>
            <w:vAlign w:val="bottom"/>
            <w:shd w:val="clear" w:color="auto" w:fill="CCEEFF"/>
          </w:tcPr>
          <w:p>
            <w:pPr>
              <w:ind w:left="100"/>
              <w:spacing w:after="0" w:line="169" w:lineRule="exact"/>
              <w:rPr>
                <w:sz w:val="20"/>
                <w:szCs w:val="20"/>
                <w:color w:val="auto"/>
              </w:rPr>
            </w:pPr>
            <w:r>
              <w:rPr>
                <w:rFonts w:ascii="Arial" w:cs="Arial" w:eastAsia="Arial" w:hAnsi="Arial"/>
                <w:sz w:val="17"/>
                <w:szCs w:val="17"/>
                <w:color w:val="auto"/>
                <w:w w:val="94"/>
              </w:rPr>
              <w:t>Camelback Colonnade (1)</w:t>
            </w:r>
          </w:p>
        </w:tc>
        <w:tc>
          <w:tcPr>
            <w:tcW w:w="1620" w:type="dxa"/>
            <w:vAlign w:val="bottom"/>
            <w:shd w:val="clear" w:color="auto" w:fill="CCEEFF"/>
          </w:tcPr>
          <w:p>
            <w:pPr>
              <w:ind w:left="80"/>
              <w:spacing w:after="0" w:line="169" w:lineRule="exact"/>
              <w:rPr>
                <w:sz w:val="20"/>
                <w:szCs w:val="20"/>
                <w:color w:val="auto"/>
              </w:rPr>
            </w:pPr>
            <w:r>
              <w:rPr>
                <w:rFonts w:ascii="Arial" w:cs="Arial" w:eastAsia="Arial" w:hAnsi="Arial"/>
                <w:sz w:val="17"/>
                <w:szCs w:val="17"/>
                <w:color w:val="auto"/>
              </w:rPr>
              <w:t>Phoenix, Arizona</w:t>
            </w:r>
          </w:p>
        </w:tc>
        <w:tc>
          <w:tcPr>
            <w:tcW w:w="1200" w:type="dxa"/>
            <w:vAlign w:val="bottom"/>
            <w:shd w:val="clear" w:color="auto" w:fill="CCEEFF"/>
          </w:tcPr>
          <w:p>
            <w:pPr>
              <w:jc w:val="right"/>
              <w:ind w:right="37"/>
              <w:spacing w:after="0" w:line="169" w:lineRule="exact"/>
              <w:rPr>
                <w:sz w:val="20"/>
                <w:szCs w:val="20"/>
                <w:color w:val="auto"/>
              </w:rPr>
            </w:pPr>
            <w:r>
              <w:rPr>
                <w:rFonts w:ascii="Arial" w:cs="Arial" w:eastAsia="Arial" w:hAnsi="Arial"/>
                <w:sz w:val="17"/>
                <w:szCs w:val="17"/>
                <w:color w:val="auto"/>
              </w:rPr>
              <w:t>642,000</w:t>
            </w:r>
          </w:p>
        </w:tc>
        <w:tc>
          <w:tcPr>
            <w:tcW w:w="880" w:type="dxa"/>
            <w:vAlign w:val="bottom"/>
            <w:shd w:val="clear" w:color="auto" w:fill="CCEEFF"/>
          </w:tcPr>
          <w:p>
            <w:pPr>
              <w:jc w:val="center"/>
              <w:spacing w:after="0" w:line="169" w:lineRule="exact"/>
              <w:rPr>
                <w:sz w:val="20"/>
                <w:szCs w:val="20"/>
                <w:color w:val="auto"/>
              </w:rPr>
            </w:pPr>
            <w:r>
              <w:rPr>
                <w:rFonts w:ascii="Arial" w:cs="Arial" w:eastAsia="Arial" w:hAnsi="Arial"/>
                <w:sz w:val="17"/>
                <w:szCs w:val="17"/>
                <w:color w:val="auto"/>
                <w:w w:val="93"/>
              </w:rPr>
              <w:t>98%</w:t>
            </w:r>
          </w:p>
        </w:tc>
        <w:tc>
          <w:tcPr>
            <w:tcW w:w="180" w:type="dxa"/>
            <w:vAlign w:val="bottom"/>
            <w:shd w:val="clear" w:color="auto" w:fill="CCEEFF"/>
          </w:tcPr>
          <w:p>
            <w:pPr>
              <w:ind w:left="60"/>
              <w:spacing w:after="0" w:line="16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6"/>
              <w:spacing w:after="0" w:line="169" w:lineRule="exact"/>
              <w:rPr>
                <w:sz w:val="20"/>
                <w:szCs w:val="20"/>
                <w:color w:val="auto"/>
              </w:rPr>
            </w:pPr>
            <w:r>
              <w:rPr>
                <w:rFonts w:ascii="Arial" w:cs="Arial" w:eastAsia="Arial" w:hAnsi="Arial"/>
                <w:sz w:val="17"/>
                <w:szCs w:val="17"/>
                <w:color w:val="auto"/>
              </w:rPr>
              <w:t>162.5</w:t>
            </w:r>
          </w:p>
        </w:tc>
        <w:tc>
          <w:tcPr>
            <w:tcW w:w="3460" w:type="dxa"/>
            <w:vAlign w:val="bottom"/>
            <w:shd w:val="clear" w:color="auto" w:fill="CCEEFF"/>
          </w:tcPr>
          <w:p>
            <w:pPr>
              <w:ind w:left="60"/>
              <w:spacing w:after="0" w:line="169" w:lineRule="exact"/>
              <w:rPr>
                <w:sz w:val="20"/>
                <w:szCs w:val="20"/>
                <w:color w:val="auto"/>
              </w:rPr>
            </w:pPr>
            <w:r>
              <w:rPr>
                <w:rFonts w:ascii="Arial" w:cs="Arial" w:eastAsia="Arial" w:hAnsi="Arial"/>
                <w:sz w:val="17"/>
                <w:szCs w:val="17"/>
                <w:color w:val="auto"/>
                <w:w w:val="95"/>
              </w:rPr>
              <w:t>Fry's Food &amp; Drug / Floor &amp; Décor / Marshalls /</w:t>
            </w: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60" w:type="dxa"/>
            <w:vAlign w:val="bottom"/>
            <w:shd w:val="clear" w:color="auto" w:fill="CCEEFF"/>
          </w:tcPr>
          <w:p>
            <w:pPr>
              <w:ind w:left="60"/>
              <w:spacing w:after="0" w:line="162" w:lineRule="exact"/>
              <w:rPr>
                <w:sz w:val="20"/>
                <w:szCs w:val="20"/>
                <w:color w:val="auto"/>
              </w:rPr>
            </w:pPr>
            <w:r>
              <w:rPr>
                <w:rFonts w:ascii="Arial" w:cs="Arial" w:eastAsia="Arial" w:hAnsi="Arial"/>
                <w:sz w:val="17"/>
                <w:szCs w:val="17"/>
                <w:color w:val="auto"/>
              </w:rPr>
              <w:t>Old Navy / Best Buy / Michaels / Nordstrom</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60" w:type="dxa"/>
            <w:vAlign w:val="bottom"/>
            <w:shd w:val="clear" w:color="auto" w:fill="CCEEFF"/>
          </w:tcPr>
          <w:p>
            <w:pPr>
              <w:ind w:left="60"/>
              <w:spacing w:after="0"/>
              <w:rPr>
                <w:sz w:val="20"/>
                <w:szCs w:val="20"/>
                <w:color w:val="auto"/>
              </w:rPr>
            </w:pPr>
            <w:r>
              <w:rPr>
                <w:rFonts w:ascii="Arial" w:cs="Arial" w:eastAsia="Arial" w:hAnsi="Arial"/>
                <w:sz w:val="17"/>
                <w:szCs w:val="17"/>
                <w:color w:val="auto"/>
              </w:rPr>
              <w:t>Last Chance / Bed Bath &amp; Beyond / Ulta</w:t>
            </w:r>
          </w:p>
        </w:tc>
        <w:tc>
          <w:tcPr>
            <w:tcW w:w="0" w:type="dxa"/>
            <w:vAlign w:val="bottom"/>
          </w:tcPr>
          <w:p>
            <w:pPr>
              <w:spacing w:after="0"/>
              <w:rPr>
                <w:sz w:val="1"/>
                <w:szCs w:val="1"/>
                <w:color w:val="auto"/>
              </w:rPr>
            </w:pPr>
          </w:p>
        </w:tc>
      </w:tr>
      <w:tr>
        <w:trPr>
          <w:trHeight w:val="216"/>
        </w:trPr>
        <w:tc>
          <w:tcPr>
            <w:tcW w:w="1240" w:type="dxa"/>
            <w:vAlign w:val="bottom"/>
          </w:tcPr>
          <w:p>
            <w:pPr>
              <w:ind w:left="20"/>
              <w:spacing w:after="0"/>
              <w:rPr>
                <w:sz w:val="20"/>
                <w:szCs w:val="20"/>
                <w:color w:val="auto"/>
              </w:rPr>
            </w:pPr>
            <w:r>
              <w:rPr>
                <w:rFonts w:ascii="Arial" w:cs="Arial" w:eastAsia="Arial" w:hAnsi="Arial"/>
                <w:sz w:val="17"/>
                <w:szCs w:val="17"/>
                <w:color w:val="auto"/>
              </w:rPr>
              <w:t>June 14, 2021</w:t>
            </w:r>
          </w:p>
        </w:tc>
        <w:tc>
          <w:tcPr>
            <w:tcW w:w="1980" w:type="dxa"/>
            <w:vAlign w:val="bottom"/>
          </w:tcPr>
          <w:p>
            <w:pPr>
              <w:ind w:left="100"/>
              <w:spacing w:after="0"/>
              <w:rPr>
                <w:sz w:val="20"/>
                <w:szCs w:val="20"/>
                <w:color w:val="auto"/>
              </w:rPr>
            </w:pPr>
            <w:r>
              <w:rPr>
                <w:rFonts w:ascii="Arial" w:cs="Arial" w:eastAsia="Arial" w:hAnsi="Arial"/>
                <w:sz w:val="17"/>
                <w:szCs w:val="17"/>
                <w:color w:val="auto"/>
              </w:rPr>
              <w:t>Hilton Village (1) (2)</w:t>
            </w:r>
          </w:p>
        </w:tc>
        <w:tc>
          <w:tcPr>
            <w:tcW w:w="1620" w:type="dxa"/>
            <w:vAlign w:val="bottom"/>
          </w:tcPr>
          <w:p>
            <w:pPr>
              <w:ind w:left="80"/>
              <w:spacing w:after="0"/>
              <w:rPr>
                <w:sz w:val="20"/>
                <w:szCs w:val="20"/>
                <w:color w:val="auto"/>
              </w:rPr>
            </w:pPr>
            <w:r>
              <w:rPr>
                <w:rFonts w:ascii="Arial" w:cs="Arial" w:eastAsia="Arial" w:hAnsi="Arial"/>
                <w:sz w:val="17"/>
                <w:szCs w:val="17"/>
                <w:color w:val="auto"/>
              </w:rPr>
              <w:t>Scottsdale, Arizona</w:t>
            </w:r>
          </w:p>
        </w:tc>
        <w:tc>
          <w:tcPr>
            <w:tcW w:w="1200" w:type="dxa"/>
            <w:vAlign w:val="bottom"/>
          </w:tcPr>
          <w:p>
            <w:pPr>
              <w:jc w:val="right"/>
              <w:spacing w:after="0"/>
              <w:rPr>
                <w:sz w:val="20"/>
                <w:szCs w:val="20"/>
                <w:color w:val="auto"/>
              </w:rPr>
            </w:pPr>
            <w:r>
              <w:rPr>
                <w:rFonts w:ascii="Arial" w:cs="Arial" w:eastAsia="Arial" w:hAnsi="Arial"/>
                <w:sz w:val="17"/>
                <w:szCs w:val="17"/>
                <w:color w:val="auto"/>
              </w:rPr>
              <w:t>93,000</w:t>
            </w:r>
          </w:p>
        </w:tc>
        <w:tc>
          <w:tcPr>
            <w:tcW w:w="880" w:type="dxa"/>
            <w:vAlign w:val="bottom"/>
          </w:tcPr>
          <w:p>
            <w:pPr>
              <w:jc w:val="center"/>
              <w:spacing w:after="0"/>
              <w:rPr>
                <w:sz w:val="20"/>
                <w:szCs w:val="20"/>
                <w:color w:val="auto"/>
              </w:rPr>
            </w:pPr>
            <w:r>
              <w:rPr>
                <w:rFonts w:ascii="Arial" w:cs="Arial" w:eastAsia="Arial" w:hAnsi="Arial"/>
                <w:sz w:val="17"/>
                <w:szCs w:val="17"/>
                <w:color w:val="auto"/>
                <w:w w:val="93"/>
              </w:rPr>
              <w:t>98%</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6"/>
              <w:spacing w:after="0"/>
              <w:rPr>
                <w:sz w:val="20"/>
                <w:szCs w:val="20"/>
                <w:color w:val="auto"/>
              </w:rPr>
            </w:pPr>
            <w:r>
              <w:rPr>
                <w:rFonts w:ascii="Arial" w:cs="Arial" w:eastAsia="Arial" w:hAnsi="Arial"/>
                <w:sz w:val="17"/>
                <w:szCs w:val="17"/>
                <w:color w:val="auto"/>
              </w:rPr>
              <w:t>37.5</w:t>
            </w:r>
          </w:p>
        </w:tc>
        <w:tc>
          <w:tcPr>
            <w:tcW w:w="3460" w:type="dxa"/>
            <w:vAlign w:val="bottom"/>
          </w:tcPr>
          <w:p>
            <w:pPr>
              <w:ind w:left="60"/>
              <w:spacing w:after="0"/>
              <w:rPr>
                <w:sz w:val="20"/>
                <w:szCs w:val="20"/>
                <w:color w:val="auto"/>
              </w:rPr>
            </w:pPr>
            <w:r>
              <w:rPr>
                <w:rFonts w:ascii="Arial" w:cs="Arial" w:eastAsia="Arial" w:hAnsi="Arial"/>
                <w:sz w:val="17"/>
                <w:szCs w:val="17"/>
                <w:color w:val="auto"/>
              </w:rPr>
              <w:t>CVS / Houston's</w:t>
            </w:r>
          </w:p>
        </w:tc>
        <w:tc>
          <w:tcPr>
            <w:tcW w:w="0" w:type="dxa"/>
            <w:vAlign w:val="bottom"/>
          </w:tcPr>
          <w:p>
            <w:pPr>
              <w:spacing w:after="0"/>
              <w:rPr>
                <w:sz w:val="1"/>
                <w:szCs w:val="1"/>
                <w:color w:val="auto"/>
              </w:rPr>
            </w:pPr>
          </w:p>
        </w:tc>
      </w:tr>
      <w:tr>
        <w:trPr>
          <w:trHeight w:val="162"/>
        </w:trPr>
        <w:tc>
          <w:tcPr>
            <w:tcW w:w="124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September 2,</w:t>
            </w:r>
          </w:p>
        </w:tc>
        <w:tc>
          <w:tcPr>
            <w:tcW w:w="1980" w:type="dxa"/>
            <w:vAlign w:val="bottom"/>
            <w:shd w:val="clear" w:color="auto" w:fill="CCEEFF"/>
          </w:tcPr>
          <w:p>
            <w:pPr>
              <w:ind w:left="100"/>
              <w:spacing w:after="0" w:line="162" w:lineRule="exact"/>
              <w:rPr>
                <w:sz w:val="20"/>
                <w:szCs w:val="20"/>
                <w:color w:val="auto"/>
              </w:rPr>
            </w:pPr>
            <w:r>
              <w:rPr>
                <w:rFonts w:ascii="Arial" w:cs="Arial" w:eastAsia="Arial" w:hAnsi="Arial"/>
                <w:sz w:val="17"/>
                <w:szCs w:val="17"/>
                <w:color w:val="auto"/>
              </w:rPr>
              <w:t>Twinbrooke Shopping</w:t>
            </w:r>
          </w:p>
        </w:tc>
        <w:tc>
          <w:tcPr>
            <w:tcW w:w="1620" w:type="dxa"/>
            <w:vAlign w:val="bottom"/>
            <w:shd w:val="clear" w:color="auto" w:fill="CCEEFF"/>
          </w:tcPr>
          <w:p>
            <w:pPr>
              <w:ind w:left="80"/>
              <w:spacing w:after="0" w:line="162" w:lineRule="exact"/>
              <w:rPr>
                <w:sz w:val="20"/>
                <w:szCs w:val="20"/>
                <w:color w:val="auto"/>
              </w:rPr>
            </w:pPr>
            <w:r>
              <w:rPr>
                <w:rFonts w:ascii="Arial" w:cs="Arial" w:eastAsia="Arial" w:hAnsi="Arial"/>
                <w:sz w:val="17"/>
                <w:szCs w:val="17"/>
                <w:color w:val="auto"/>
              </w:rPr>
              <w:t>Fairfax, Virginia</w:t>
            </w: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7"/>
                <w:szCs w:val="17"/>
                <w:color w:val="auto"/>
              </w:rPr>
              <w:t>109,000</w:t>
            </w:r>
          </w:p>
        </w:tc>
        <w:tc>
          <w:tcPr>
            <w:tcW w:w="88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color w:val="auto"/>
                <w:w w:val="91"/>
              </w:rPr>
              <w:t>100%</w:t>
            </w:r>
          </w:p>
        </w:tc>
        <w:tc>
          <w:tcPr>
            <w:tcW w:w="180" w:type="dxa"/>
            <w:vAlign w:val="bottom"/>
            <w:shd w:val="clear" w:color="auto" w:fill="CCEEFF"/>
          </w:tcPr>
          <w:p>
            <w:pPr>
              <w:ind w:left="60"/>
              <w:spacing w:after="0" w:line="162"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6"/>
              <w:spacing w:after="0" w:line="162" w:lineRule="exact"/>
              <w:rPr>
                <w:sz w:val="20"/>
                <w:szCs w:val="20"/>
                <w:color w:val="auto"/>
              </w:rPr>
            </w:pPr>
            <w:r>
              <w:rPr>
                <w:rFonts w:ascii="Arial" w:cs="Arial" w:eastAsia="Arial" w:hAnsi="Arial"/>
                <w:sz w:val="17"/>
                <w:szCs w:val="17"/>
                <w:color w:val="auto"/>
              </w:rPr>
              <w:t>33.8</w:t>
            </w:r>
          </w:p>
        </w:tc>
        <w:tc>
          <w:tcPr>
            <w:tcW w:w="3460" w:type="dxa"/>
            <w:vAlign w:val="bottom"/>
            <w:shd w:val="clear" w:color="auto" w:fill="CCEEFF"/>
          </w:tcPr>
          <w:p>
            <w:pPr>
              <w:ind w:left="60"/>
              <w:spacing w:after="0" w:line="162" w:lineRule="exact"/>
              <w:rPr>
                <w:sz w:val="20"/>
                <w:szCs w:val="20"/>
                <w:color w:val="auto"/>
              </w:rPr>
            </w:pPr>
            <w:r>
              <w:rPr>
                <w:rFonts w:ascii="Arial" w:cs="Arial" w:eastAsia="Arial" w:hAnsi="Arial"/>
                <w:sz w:val="17"/>
                <w:szCs w:val="17"/>
                <w:color w:val="auto"/>
              </w:rPr>
              <w:t>Safeway / Walgreens</w:t>
            </w:r>
          </w:p>
        </w:tc>
        <w:tc>
          <w:tcPr>
            <w:tcW w:w="0" w:type="dxa"/>
            <w:vAlign w:val="bottom"/>
          </w:tcPr>
          <w:p>
            <w:pPr>
              <w:spacing w:after="0"/>
              <w:rPr>
                <w:sz w:val="1"/>
                <w:szCs w:val="1"/>
                <w:color w:val="auto"/>
              </w:rPr>
            </w:pPr>
          </w:p>
        </w:tc>
      </w:tr>
      <w:tr>
        <w:trPr>
          <w:trHeight w:val="216"/>
        </w:trPr>
        <w:tc>
          <w:tcPr>
            <w:tcW w:w="1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9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Centre</w:t>
            </w:r>
          </w:p>
        </w:tc>
        <w:tc>
          <w:tcPr>
            <w:tcW w:w="1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40" w:right="40" w:hanging="332"/>
        <w:spacing w:after="0" w:line="273" w:lineRule="auto"/>
        <w:tabs>
          <w:tab w:leader="none" w:pos="337"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These acquisitions were completed through newly formed joint ventures, for which we own the controlling interest listed above, and therefore, these properties are consolidated in our financial statements.</w:t>
      </w:r>
    </w:p>
    <w:p>
      <w:pPr>
        <w:ind w:left="320" w:hanging="312"/>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land is controlled under a long-term ground lease that expires on December 31, 2076.</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80" w:type="dxa"/>
            <w:vAlign w:val="bottom"/>
            <w:gridSpan w:val="2"/>
          </w:tcPr>
          <w:p>
            <w:pPr>
              <w:spacing w:after="0"/>
              <w:rPr>
                <w:sz w:val="20"/>
                <w:szCs w:val="20"/>
                <w:color w:val="auto"/>
              </w:rPr>
            </w:pPr>
            <w:r>
              <w:rPr>
                <w:rFonts w:ascii="Arial" w:cs="Arial" w:eastAsia="Arial" w:hAnsi="Arial"/>
                <w:sz w:val="17"/>
                <w:szCs w:val="17"/>
                <w:b w:val="1"/>
                <w:bCs w:val="1"/>
                <w:color w:val="auto"/>
              </w:rPr>
              <w:t>Disposition</w:t>
            </w:r>
          </w:p>
        </w:tc>
        <w:tc>
          <w:tcPr>
            <w:tcW w:w="2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940" w:type="dxa"/>
            <w:vAlign w:val="bottom"/>
          </w:tcPr>
          <w:p>
            <w:pPr>
              <w:spacing w:after="0"/>
              <w:rPr>
                <w:sz w:val="16"/>
                <w:szCs w:val="16"/>
                <w:color w:val="auto"/>
              </w:rPr>
            </w:pPr>
          </w:p>
        </w:tc>
      </w:tr>
      <w:tr>
        <w:trPr>
          <w:trHeight w:val="518"/>
        </w:trPr>
        <w:tc>
          <w:tcPr>
            <w:tcW w:w="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Date</w:t>
            </w:r>
          </w:p>
        </w:tc>
        <w:tc>
          <w:tcPr>
            <w:tcW w:w="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Property</w:t>
            </w: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City/State</w:t>
            </w:r>
          </w:p>
        </w:tc>
        <w:tc>
          <w:tcPr>
            <w:tcW w:w="44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jc w:val="center"/>
              <w:ind w:right="5015"/>
              <w:spacing w:after="0"/>
              <w:rPr>
                <w:sz w:val="20"/>
                <w:szCs w:val="20"/>
                <w:color w:val="auto"/>
              </w:rPr>
            </w:pPr>
            <w:r>
              <w:rPr>
                <w:rFonts w:ascii="Arial" w:cs="Arial" w:eastAsia="Arial" w:hAnsi="Arial"/>
                <w:sz w:val="17"/>
                <w:szCs w:val="17"/>
                <w:b w:val="1"/>
                <w:bCs w:val="1"/>
                <w:color w:val="auto"/>
                <w:w w:val="88"/>
              </w:rPr>
              <w:t>Sales Price</w:t>
            </w:r>
          </w:p>
        </w:tc>
      </w:tr>
      <w:tr>
        <w:trPr>
          <w:trHeight w:val="212"/>
        </w:trPr>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jc w:val="center"/>
              <w:ind w:right="4575"/>
              <w:spacing w:after="0"/>
              <w:rPr>
                <w:sz w:val="20"/>
                <w:szCs w:val="20"/>
                <w:color w:val="auto"/>
              </w:rPr>
            </w:pPr>
            <w:r>
              <w:rPr>
                <w:rFonts w:ascii="Arial" w:cs="Arial" w:eastAsia="Arial" w:hAnsi="Arial"/>
                <w:sz w:val="17"/>
                <w:szCs w:val="17"/>
                <w:b w:val="1"/>
                <w:bCs w:val="1"/>
                <w:color w:val="auto"/>
                <w:w w:val="92"/>
              </w:rPr>
              <w:t>(in millions)</w:t>
            </w:r>
          </w:p>
        </w:tc>
      </w:tr>
      <w:tr>
        <w:trPr>
          <w:trHeight w:val="162"/>
        </w:trPr>
        <w:tc>
          <w:tcPr>
            <w:tcW w:w="3460" w:type="dxa"/>
            <w:vAlign w:val="bottom"/>
            <w:gridSpan w:val="3"/>
            <w:shd w:val="clear" w:color="auto" w:fill="CCEEFF"/>
          </w:tcPr>
          <w:p>
            <w:pPr>
              <w:ind w:left="20"/>
              <w:spacing w:after="0" w:line="162" w:lineRule="exact"/>
              <w:rPr>
                <w:sz w:val="20"/>
                <w:szCs w:val="20"/>
                <w:color w:val="auto"/>
              </w:rPr>
            </w:pPr>
            <w:r>
              <w:rPr>
                <w:rFonts w:ascii="Arial" w:cs="Arial" w:eastAsia="Arial" w:hAnsi="Arial"/>
                <w:sz w:val="17"/>
                <w:szCs w:val="17"/>
                <w:color w:val="auto"/>
                <w:w w:val="98"/>
              </w:rPr>
              <w:t>March 19, 2021   Graham Park Plaza (portion)</w:t>
            </w:r>
          </w:p>
        </w:tc>
        <w:tc>
          <w:tcPr>
            <w:tcW w:w="1400" w:type="dxa"/>
            <w:vAlign w:val="bottom"/>
            <w:shd w:val="clear" w:color="auto" w:fill="CCEEFF"/>
          </w:tcPr>
          <w:p>
            <w:pPr>
              <w:ind w:left="140"/>
              <w:spacing w:after="0" w:line="162" w:lineRule="exact"/>
              <w:rPr>
                <w:sz w:val="20"/>
                <w:szCs w:val="20"/>
                <w:color w:val="auto"/>
              </w:rPr>
            </w:pPr>
            <w:r>
              <w:rPr>
                <w:rFonts w:ascii="Arial" w:cs="Arial" w:eastAsia="Arial" w:hAnsi="Arial"/>
                <w:sz w:val="17"/>
                <w:szCs w:val="17"/>
                <w:color w:val="auto"/>
              </w:rPr>
              <w:t>Falls Church,</w:t>
            </w:r>
          </w:p>
        </w:tc>
        <w:tc>
          <w:tcPr>
            <w:tcW w:w="440" w:type="dxa"/>
            <w:vAlign w:val="bottom"/>
            <w:shd w:val="clear" w:color="auto" w:fill="CCEEFF"/>
          </w:tcPr>
          <w:p>
            <w:pPr>
              <w:jc w:val="right"/>
              <w:spacing w:after="0" w:line="162" w:lineRule="exact"/>
              <w:rPr>
                <w:sz w:val="20"/>
                <w:szCs w:val="20"/>
                <w:color w:val="auto"/>
              </w:rPr>
            </w:pPr>
            <w:r>
              <w:rPr>
                <w:rFonts w:ascii="Arial" w:cs="Arial" w:eastAsia="Arial" w:hAnsi="Arial"/>
                <w:sz w:val="17"/>
                <w:szCs w:val="17"/>
                <w:color w:val="auto"/>
              </w:rPr>
              <w:t>$</w:t>
            </w:r>
          </w:p>
        </w:tc>
        <w:tc>
          <w:tcPr>
            <w:tcW w:w="5940" w:type="dxa"/>
            <w:vAlign w:val="bottom"/>
            <w:shd w:val="clear" w:color="auto" w:fill="CCEEFF"/>
          </w:tcPr>
          <w:p>
            <w:pPr>
              <w:jc w:val="right"/>
              <w:ind w:right="4975"/>
              <w:spacing w:after="0" w:line="162" w:lineRule="exact"/>
              <w:rPr>
                <w:sz w:val="20"/>
                <w:szCs w:val="20"/>
                <w:color w:val="auto"/>
              </w:rPr>
            </w:pPr>
            <w:r>
              <w:rPr>
                <w:rFonts w:ascii="Arial" w:cs="Arial" w:eastAsia="Arial" w:hAnsi="Arial"/>
                <w:sz w:val="17"/>
                <w:szCs w:val="17"/>
                <w:color w:val="auto"/>
              </w:rPr>
              <w:t>20.3</w:t>
            </w:r>
          </w:p>
        </w:tc>
      </w:tr>
      <w:tr>
        <w:trPr>
          <w:trHeight w:val="216"/>
        </w:trPr>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Virginia</w:t>
            </w:r>
          </w:p>
        </w:tc>
        <w:tc>
          <w:tcPr>
            <w:tcW w:w="44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r>
    </w:tbl>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Transactions</w:t>
      </w:r>
    </w:p>
    <w:p>
      <w:pPr>
        <w:spacing w:after="0" w:line="106" w:lineRule="exact"/>
        <w:rPr>
          <w:sz w:val="20"/>
          <w:szCs w:val="20"/>
          <w:color w:val="auto"/>
        </w:rPr>
      </w:pPr>
    </w:p>
    <w:p>
      <w:pPr>
        <w:ind w:right="640"/>
        <w:spacing w:after="0" w:line="274" w:lineRule="auto"/>
        <w:rPr>
          <w:sz w:val="20"/>
          <w:szCs w:val="20"/>
          <w:color w:val="auto"/>
        </w:rPr>
      </w:pPr>
      <w:r>
        <w:rPr>
          <w:rFonts w:ascii="Arial" w:cs="Arial" w:eastAsia="Arial" w:hAnsi="Arial"/>
          <w:sz w:val="17"/>
          <w:szCs w:val="17"/>
          <w:color w:val="auto"/>
        </w:rPr>
        <w:t>On May 11, 2021, two of our outstanding mortgage notes receivable were repaid. Including interest, the net proceeds were $33.8 million. As a result of the transaction, our mortgage notes receivable, net of valuation allowance, decreased $30.3 million.</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Date</w:t>
            </w:r>
          </w:p>
        </w:tc>
        <w:tc>
          <w:tcPr>
            <w:tcW w:w="23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Type</w:t>
            </w:r>
          </w:p>
        </w:tc>
        <w:tc>
          <w:tcPr>
            <w:tcW w:w="14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Property</w:t>
            </w:r>
          </w:p>
        </w:tc>
        <w:tc>
          <w:tcPr>
            <w:tcW w:w="182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City/State</w:t>
            </w:r>
          </w:p>
        </w:tc>
        <w:tc>
          <w:tcPr>
            <w:tcW w:w="320" w:type="dxa"/>
            <w:vAlign w:val="bottom"/>
          </w:tcPr>
          <w:p>
            <w:pPr>
              <w:spacing w:after="0"/>
              <w:rPr>
                <w:sz w:val="16"/>
                <w:szCs w:val="16"/>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Purchase</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20" w:type="dxa"/>
            <w:vAlign w:val="bottom"/>
            <w:tcBorders>
              <w:bottom w:val="single" w:sz="8" w:color="auto"/>
            </w:tcBorders>
            <w:vMerge w:val="continue"/>
          </w:tcPr>
          <w:p>
            <w:pPr>
              <w:spacing w:after="0"/>
              <w:rPr>
                <w:sz w:val="18"/>
                <w:szCs w:val="18"/>
                <w:color w:val="auto"/>
              </w:rPr>
            </w:pPr>
          </w:p>
        </w:tc>
        <w:tc>
          <w:tcPr>
            <w:tcW w:w="236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1"/>
              </w:rPr>
              <w:t>Price</w:t>
            </w:r>
          </w:p>
        </w:tc>
        <w:tc>
          <w:tcPr>
            <w:tcW w:w="3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3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2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w w:val="96"/>
              </w:rPr>
              <w:t>January 4, 2021</w:t>
            </w:r>
          </w:p>
        </w:tc>
        <w:tc>
          <w:tcPr>
            <w:tcW w:w="2360" w:type="dxa"/>
            <w:vAlign w:val="bottom"/>
            <w:shd w:val="clear" w:color="auto" w:fill="CCEEFF"/>
          </w:tcPr>
          <w:p>
            <w:pPr>
              <w:ind w:left="120"/>
              <w:spacing w:after="0" w:line="163" w:lineRule="exact"/>
              <w:rPr>
                <w:sz w:val="20"/>
                <w:szCs w:val="20"/>
                <w:color w:val="auto"/>
              </w:rPr>
            </w:pPr>
            <w:r>
              <w:rPr>
                <w:rFonts w:ascii="Arial" w:cs="Arial" w:eastAsia="Arial" w:hAnsi="Arial"/>
                <w:sz w:val="17"/>
                <w:szCs w:val="17"/>
                <w:color w:val="auto"/>
              </w:rPr>
              <w:t>Acquisition of partner interest</w:t>
            </w:r>
          </w:p>
        </w:tc>
        <w:tc>
          <w:tcPr>
            <w:tcW w:w="1400" w:type="dxa"/>
            <w:vAlign w:val="bottom"/>
            <w:shd w:val="clear" w:color="auto" w:fill="CCEEFF"/>
          </w:tcPr>
          <w:p>
            <w:pPr>
              <w:ind w:left="180"/>
              <w:spacing w:after="0" w:line="163" w:lineRule="exact"/>
              <w:rPr>
                <w:sz w:val="20"/>
                <w:szCs w:val="20"/>
                <w:color w:val="auto"/>
              </w:rPr>
            </w:pPr>
            <w:r>
              <w:rPr>
                <w:rFonts w:ascii="Arial" w:cs="Arial" w:eastAsia="Arial" w:hAnsi="Arial"/>
                <w:sz w:val="17"/>
                <w:szCs w:val="17"/>
                <w:color w:val="auto"/>
              </w:rPr>
              <w:t>Pike &amp; Rose</w:t>
            </w:r>
          </w:p>
        </w:tc>
        <w:tc>
          <w:tcPr>
            <w:tcW w:w="1820" w:type="dxa"/>
            <w:vAlign w:val="bottom"/>
            <w:shd w:val="clear" w:color="auto" w:fill="CCEEFF"/>
          </w:tcPr>
          <w:p>
            <w:pPr>
              <w:ind w:left="220"/>
              <w:spacing w:after="0" w:line="163" w:lineRule="exact"/>
              <w:rPr>
                <w:sz w:val="20"/>
                <w:szCs w:val="20"/>
                <w:color w:val="auto"/>
              </w:rPr>
            </w:pPr>
            <w:r>
              <w:rPr>
                <w:rFonts w:ascii="Arial" w:cs="Arial" w:eastAsia="Arial" w:hAnsi="Arial"/>
                <w:sz w:val="17"/>
                <w:szCs w:val="17"/>
                <w:color w:val="auto"/>
              </w:rPr>
              <w:t>North Bethesda,</w:t>
            </w:r>
          </w:p>
        </w:tc>
        <w:tc>
          <w:tcPr>
            <w:tcW w:w="320" w:type="dxa"/>
            <w:vAlign w:val="bottom"/>
            <w:shd w:val="clear" w:color="auto" w:fill="CCEEFF"/>
          </w:tcPr>
          <w:p>
            <w:pPr>
              <w:jc w:val="right"/>
              <w:spacing w:after="0" w:line="163"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63" w:lineRule="exact"/>
              <w:rPr>
                <w:sz w:val="20"/>
                <w:szCs w:val="20"/>
                <w:color w:val="auto"/>
              </w:rPr>
            </w:pPr>
            <w:r>
              <w:rPr>
                <w:rFonts w:ascii="Arial" w:cs="Arial" w:eastAsia="Arial" w:hAnsi="Arial"/>
                <w:sz w:val="17"/>
                <w:szCs w:val="17"/>
                <w:color w:val="auto"/>
              </w:rPr>
              <w:t>2.3</w:t>
            </w:r>
          </w:p>
        </w:tc>
        <w:tc>
          <w:tcPr>
            <w:tcW w:w="3260" w:type="dxa"/>
            <w:vAlign w:val="bottom"/>
            <w:shd w:val="clear" w:color="auto" w:fill="CCEEFF"/>
          </w:tcPr>
          <w:p>
            <w:pPr>
              <w:jc w:val="right"/>
              <w:ind w:right="2915"/>
              <w:spacing w:after="0" w:line="163"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(hotel)</w:t>
            </w:r>
          </w:p>
        </w:tc>
        <w:tc>
          <w:tcPr>
            <w:tcW w:w="1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Maryland</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20" w:type="dxa"/>
            <w:vAlign w:val="bottom"/>
          </w:tcPr>
          <w:p>
            <w:pPr>
              <w:ind w:left="20"/>
              <w:spacing w:after="0" w:line="162" w:lineRule="exact"/>
              <w:rPr>
                <w:sz w:val="20"/>
                <w:szCs w:val="20"/>
                <w:color w:val="auto"/>
              </w:rPr>
            </w:pPr>
            <w:r>
              <w:rPr>
                <w:rFonts w:ascii="Arial" w:cs="Arial" w:eastAsia="Arial" w:hAnsi="Arial"/>
                <w:sz w:val="17"/>
                <w:szCs w:val="17"/>
                <w:color w:val="auto"/>
              </w:rPr>
              <w:t>February 22,</w:t>
            </w:r>
          </w:p>
        </w:tc>
        <w:tc>
          <w:tcPr>
            <w:tcW w:w="2360" w:type="dxa"/>
            <w:vAlign w:val="bottom"/>
          </w:tcPr>
          <w:p>
            <w:pPr>
              <w:ind w:left="120"/>
              <w:spacing w:after="0" w:line="162" w:lineRule="exact"/>
              <w:rPr>
                <w:sz w:val="20"/>
                <w:szCs w:val="20"/>
                <w:color w:val="auto"/>
              </w:rPr>
            </w:pPr>
            <w:r>
              <w:rPr>
                <w:rFonts w:ascii="Arial" w:cs="Arial" w:eastAsia="Arial" w:hAnsi="Arial"/>
                <w:sz w:val="17"/>
                <w:szCs w:val="17"/>
                <w:color w:val="auto"/>
              </w:rPr>
              <w:t>Acquisition of fee interest (24</w:t>
            </w:r>
          </w:p>
        </w:tc>
        <w:tc>
          <w:tcPr>
            <w:tcW w:w="1400" w:type="dxa"/>
            <w:vAlign w:val="bottom"/>
          </w:tcPr>
          <w:p>
            <w:pPr>
              <w:ind w:left="180"/>
              <w:spacing w:after="0" w:line="162" w:lineRule="exact"/>
              <w:rPr>
                <w:sz w:val="20"/>
                <w:szCs w:val="20"/>
                <w:color w:val="auto"/>
              </w:rPr>
            </w:pPr>
            <w:r>
              <w:rPr>
                <w:rFonts w:ascii="Arial" w:cs="Arial" w:eastAsia="Arial" w:hAnsi="Arial"/>
                <w:sz w:val="17"/>
                <w:szCs w:val="17"/>
                <w:color w:val="auto"/>
              </w:rPr>
              <w:t>Mount Vernon</w:t>
            </w:r>
          </w:p>
        </w:tc>
        <w:tc>
          <w:tcPr>
            <w:tcW w:w="1820" w:type="dxa"/>
            <w:vAlign w:val="bottom"/>
          </w:tcPr>
          <w:p>
            <w:pPr>
              <w:ind w:left="220"/>
              <w:spacing w:after="0" w:line="162" w:lineRule="exact"/>
              <w:rPr>
                <w:sz w:val="20"/>
                <w:szCs w:val="20"/>
                <w:color w:val="auto"/>
              </w:rPr>
            </w:pPr>
            <w:r>
              <w:rPr>
                <w:rFonts w:ascii="Arial" w:cs="Arial" w:eastAsia="Arial" w:hAnsi="Arial"/>
                <w:sz w:val="17"/>
                <w:szCs w:val="17"/>
                <w:color w:val="auto"/>
              </w:rPr>
              <w:t>Alexandria, Virginia</w:t>
            </w:r>
          </w:p>
        </w:tc>
        <w:tc>
          <w:tcPr>
            <w:tcW w:w="320" w:type="dxa"/>
            <w:vAlign w:val="bottom"/>
          </w:tcPr>
          <w:p>
            <w:pPr>
              <w:jc w:val="right"/>
              <w:spacing w:after="0" w:line="162"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62" w:lineRule="exact"/>
              <w:rPr>
                <w:sz w:val="20"/>
                <w:szCs w:val="20"/>
                <w:color w:val="auto"/>
              </w:rPr>
            </w:pPr>
            <w:r>
              <w:rPr>
                <w:rFonts w:ascii="Arial" w:cs="Arial" w:eastAsia="Arial" w:hAnsi="Arial"/>
                <w:sz w:val="17"/>
                <w:szCs w:val="17"/>
                <w:color w:val="auto"/>
              </w:rPr>
              <w:t>5.6</w:t>
            </w:r>
          </w:p>
        </w:tc>
        <w:tc>
          <w:tcPr>
            <w:tcW w:w="3260" w:type="dxa"/>
            <w:vAlign w:val="bottom"/>
          </w:tcPr>
          <w:p>
            <w:pPr>
              <w:jc w:val="right"/>
              <w:ind w:right="2915"/>
              <w:spacing w:after="0" w:line="162"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6"/>
        </w:trPr>
        <w:tc>
          <w:tcPr>
            <w:tcW w:w="1220" w:type="dxa"/>
            <w:vAlign w:val="bottom"/>
          </w:tcPr>
          <w:p>
            <w:pPr>
              <w:ind w:left="20"/>
              <w:spacing w:after="0"/>
              <w:rPr>
                <w:sz w:val="20"/>
                <w:szCs w:val="20"/>
                <w:color w:val="auto"/>
              </w:rPr>
            </w:pPr>
            <w:r>
              <w:rPr>
                <w:rFonts w:ascii="Arial" w:cs="Arial" w:eastAsia="Arial" w:hAnsi="Arial"/>
                <w:sz w:val="17"/>
                <w:szCs w:val="17"/>
                <w:color w:val="auto"/>
              </w:rPr>
              <w:t>2021</w:t>
            </w:r>
          </w:p>
        </w:tc>
        <w:tc>
          <w:tcPr>
            <w:tcW w:w="2360" w:type="dxa"/>
            <w:vAlign w:val="bottom"/>
          </w:tcPr>
          <w:p>
            <w:pPr>
              <w:ind w:left="120"/>
              <w:spacing w:after="0"/>
              <w:rPr>
                <w:sz w:val="20"/>
                <w:szCs w:val="20"/>
                <w:color w:val="auto"/>
              </w:rPr>
            </w:pPr>
            <w:r>
              <w:rPr>
                <w:rFonts w:ascii="Arial" w:cs="Arial" w:eastAsia="Arial" w:hAnsi="Arial"/>
                <w:sz w:val="17"/>
                <w:szCs w:val="17"/>
                <w:color w:val="auto"/>
              </w:rPr>
              <w:t>acres)</w:t>
            </w:r>
          </w:p>
        </w:tc>
        <w:tc>
          <w:tcPr>
            <w:tcW w:w="1400" w:type="dxa"/>
            <w:vAlign w:val="bottom"/>
          </w:tcPr>
          <w:p>
            <w:pPr>
              <w:ind w:left="180"/>
              <w:spacing w:after="0"/>
              <w:rPr>
                <w:sz w:val="20"/>
                <w:szCs w:val="20"/>
                <w:color w:val="auto"/>
              </w:rPr>
            </w:pPr>
            <w:r>
              <w:rPr>
                <w:rFonts w:ascii="Arial" w:cs="Arial" w:eastAsia="Arial" w:hAnsi="Arial"/>
                <w:sz w:val="17"/>
                <w:szCs w:val="17"/>
                <w:color w:val="auto"/>
              </w:rPr>
              <w:t>Plaza</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80" w:hanging="332"/>
        <w:spacing w:after="0" w:line="273" w:lineRule="auto"/>
        <w:tabs>
          <w:tab w:leader="none" w:pos="337"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acquired our partner's 20% interest; and consequently, now own 100% of the hotel and consolidated the asset. Additionally, we repaid the $31.5 million mortgage loan encumbering the hotel.</w:t>
      </w:r>
    </w:p>
    <w:p>
      <w:pPr>
        <w:ind w:left="320" w:hanging="31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now own the entire fee interest on this property.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026"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Real</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8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Grocery</w:t>
            </w: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Property Name</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8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MSA Description</w:t>
            </w:r>
          </w:p>
        </w:tc>
        <w:tc>
          <w:tcPr>
            <w:tcW w:w="6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Estate at</w:t>
            </w:r>
          </w:p>
        </w:tc>
        <w:tc>
          <w:tcPr>
            <w:tcW w:w="10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Acreage</w:t>
            </w:r>
          </w:p>
        </w:tc>
        <w:tc>
          <w:tcPr>
            <w:tcW w:w="7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GLA (3)</w:t>
            </w: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b w:val="1"/>
                <w:bCs w:val="1"/>
                <w:color w:val="auto"/>
                <w:w w:val="98"/>
              </w:rPr>
              <w:t>Leased</w:t>
            </w:r>
          </w:p>
        </w:tc>
        <w:tc>
          <w:tcPr>
            <w:tcW w:w="68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vMerge w:val="continue"/>
          </w:tcPr>
          <w:p>
            <w:pPr>
              <w:spacing w:after="0"/>
              <w:rPr>
                <w:sz w:val="10"/>
                <w:szCs w:val="10"/>
                <w:color w:val="auto"/>
              </w:rPr>
            </w:pPr>
          </w:p>
        </w:tc>
        <w:tc>
          <w:tcPr>
            <w:tcW w:w="20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rPr>
              <w:t>(2)</w:t>
            </w:r>
          </w:p>
        </w:tc>
        <w:tc>
          <w:tcPr>
            <w:tcW w:w="520" w:type="dxa"/>
            <w:vAlign w:val="bottom"/>
            <w:tcBorders>
              <w:bottom w:val="single" w:sz="8" w:color="auto"/>
            </w:tcBorders>
            <w:gridSpan w:val="2"/>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Anchor</w:t>
            </w:r>
          </w:p>
        </w:tc>
        <w:tc>
          <w:tcPr>
            <w:tcW w:w="2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620" w:type="dxa"/>
            <w:vAlign w:val="bottom"/>
          </w:tcPr>
          <w:p>
            <w:pPr>
              <w:jc w:val="center"/>
              <w:spacing w:after="0" w:line="111" w:lineRule="exact"/>
              <w:rPr>
                <w:sz w:val="20"/>
                <w:szCs w:val="20"/>
                <w:color w:val="auto"/>
              </w:rPr>
            </w:pPr>
            <w:r>
              <w:rPr>
                <w:rFonts w:ascii="Arial" w:cs="Arial" w:eastAsia="Arial" w:hAnsi="Arial"/>
                <w:sz w:val="11"/>
                <w:szCs w:val="11"/>
                <w:color w:val="auto"/>
                <w:w w:val="97"/>
              </w:rPr>
              <w:t>(in</w:t>
            </w:r>
          </w:p>
        </w:tc>
        <w:tc>
          <w:tcPr>
            <w:tcW w:w="160" w:type="dxa"/>
            <w:vAlign w:val="bottom"/>
          </w:tcPr>
          <w:p>
            <w:pPr>
              <w:spacing w:after="0"/>
              <w:rPr>
                <w:sz w:val="9"/>
                <w:szCs w:val="9"/>
                <w:color w:val="auto"/>
              </w:rPr>
            </w:pPr>
          </w:p>
        </w:tc>
        <w:tc>
          <w:tcPr>
            <w:tcW w:w="880" w:type="dxa"/>
            <w:vAlign w:val="bottom"/>
            <w:vMerge w:val="restart"/>
          </w:tcPr>
          <w:p>
            <w:pPr>
              <w:jc w:val="center"/>
              <w:ind w:right="79"/>
              <w:spacing w:after="0"/>
              <w:rPr>
                <w:sz w:val="20"/>
                <w:szCs w:val="20"/>
                <w:color w:val="auto"/>
              </w:rPr>
            </w:pPr>
            <w:r>
              <w:rPr>
                <w:rFonts w:ascii="Arial" w:cs="Arial" w:eastAsia="Arial" w:hAnsi="Arial"/>
                <w:sz w:val="11"/>
                <w:szCs w:val="11"/>
                <w:color w:val="auto"/>
                <w:w w:val="88"/>
              </w:rPr>
              <w:t>(in thousands)</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California</w:t>
            </w: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Borders>
              <w:top w:val="single" w:sz="8" w:color="CCEEFF"/>
            </w:tcBorders>
          </w:tcPr>
          <w:p>
            <w:pPr>
              <w:spacing w:after="0"/>
              <w:rPr>
                <w:sz w:val="10"/>
                <w:szCs w:val="10"/>
                <w:color w:val="auto"/>
              </w:rPr>
            </w:pPr>
          </w:p>
        </w:tc>
        <w:tc>
          <w:tcPr>
            <w:tcW w:w="620" w:type="dxa"/>
            <w:vAlign w:val="bottom"/>
            <w:tcBorders>
              <w:top w:val="single" w:sz="8" w:color="auto"/>
            </w:tcBorders>
          </w:tcPr>
          <w:p>
            <w:pPr>
              <w:spacing w:after="0" w:line="122" w:lineRule="exact"/>
              <w:rPr>
                <w:sz w:val="20"/>
                <w:szCs w:val="20"/>
                <w:color w:val="auto"/>
              </w:rPr>
            </w:pPr>
            <w:r>
              <w:rPr>
                <w:rFonts w:ascii="Arial" w:cs="Arial" w:eastAsia="Arial" w:hAnsi="Arial"/>
                <w:sz w:val="13"/>
                <w:szCs w:val="13"/>
                <w:color w:val="auto"/>
              </w:rPr>
              <w:t>Azalea</w:t>
            </w:r>
          </w:p>
        </w:tc>
        <w:tc>
          <w:tcPr>
            <w:tcW w:w="50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(4)</w:t>
            </w:r>
          </w:p>
        </w:tc>
        <w:tc>
          <w:tcPr>
            <w:tcW w:w="2300" w:type="dxa"/>
            <w:vAlign w:val="bottom"/>
            <w:tcBorders>
              <w:top w:val="single" w:sz="8" w:color="CCEEFF"/>
            </w:tcBorders>
            <w:gridSpan w:val="2"/>
          </w:tcPr>
          <w:p>
            <w:pPr>
              <w:ind w:left="80"/>
              <w:spacing w:after="0" w:line="122" w:lineRule="exact"/>
              <w:rPr>
                <w:sz w:val="20"/>
                <w:szCs w:val="20"/>
                <w:color w:val="auto"/>
              </w:rPr>
            </w:pPr>
            <w:r>
              <w:rPr>
                <w:rFonts w:ascii="Arial" w:cs="Arial" w:eastAsia="Arial" w:hAnsi="Arial"/>
                <w:sz w:val="13"/>
                <w:szCs w:val="13"/>
                <w:color w:val="auto"/>
                <w:w w:val="97"/>
              </w:rPr>
              <w:t>Los Angeles-Long Beach-Anaheim, CA</w:t>
            </w:r>
          </w:p>
        </w:tc>
        <w:tc>
          <w:tcPr>
            <w:tcW w:w="62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w w:val="91"/>
              </w:rPr>
              <w:t>$  107,571</w:t>
            </w:r>
          </w:p>
        </w:tc>
        <w:tc>
          <w:tcPr>
            <w:tcW w:w="160" w:type="dxa"/>
            <w:vAlign w:val="bottom"/>
            <w:tcBorders>
              <w:top w:val="single" w:sz="8" w:color="CCEEFF"/>
            </w:tcBorders>
          </w:tcPr>
          <w:p>
            <w:pPr>
              <w:jc w:val="right"/>
              <w:ind w:right="17"/>
              <w:spacing w:after="0" w:line="122"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40,000</w:t>
            </w:r>
          </w:p>
        </w:tc>
        <w:tc>
          <w:tcPr>
            <w:tcW w:w="44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22</w:t>
            </w:r>
          </w:p>
        </w:tc>
        <w:tc>
          <w:tcPr>
            <w:tcW w:w="8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223,000</w:t>
            </w:r>
          </w:p>
        </w:tc>
        <w:tc>
          <w:tcPr>
            <w:tcW w:w="8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99 %</w:t>
            </w:r>
          </w:p>
        </w:tc>
        <w:tc>
          <w:tcPr>
            <w:tcW w:w="68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820" w:type="dxa"/>
            <w:vAlign w:val="bottom"/>
            <w:tcBorders>
              <w:top w:val="single" w:sz="8" w:color="CCEEFF"/>
            </w:tcBorders>
          </w:tcPr>
          <w:p>
            <w:pPr>
              <w:spacing w:after="0"/>
              <w:rPr>
                <w:sz w:val="10"/>
                <w:szCs w:val="10"/>
                <w:color w:val="auto"/>
              </w:rPr>
            </w:pPr>
          </w:p>
        </w:tc>
        <w:tc>
          <w:tcPr>
            <w:tcW w:w="2020" w:type="dxa"/>
            <w:vAlign w:val="bottom"/>
            <w:tcBorders>
              <w:top w:val="single" w:sz="8" w:color="CCEEFF"/>
            </w:tcBorders>
          </w:tcPr>
          <w:p>
            <w:pPr>
              <w:ind w:left="40"/>
              <w:spacing w:after="0" w:line="122" w:lineRule="exact"/>
              <w:rPr>
                <w:sz w:val="20"/>
                <w:szCs w:val="20"/>
                <w:color w:val="auto"/>
              </w:rPr>
            </w:pPr>
            <w:r>
              <w:rPr>
                <w:rFonts w:ascii="Arial" w:cs="Arial" w:eastAsia="Arial" w:hAnsi="Arial"/>
                <w:sz w:val="13"/>
                <w:szCs w:val="13"/>
                <w:color w:val="auto"/>
                <w:w w:val="90"/>
              </w:rPr>
              <w:t>Marshalls / Ross Dress for Less / Ulta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 Michaels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Bell Gardens</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7"/>
              </w:rPr>
              <w:t>Los Angeles-Long Beach-Anaheim,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111,465</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12,199</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330,000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67,000</w:t>
            </w:r>
          </w:p>
        </w:tc>
        <w:tc>
          <w:tcPr>
            <w:tcW w:w="8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Food 4 Less</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Marshalls / Ross Dress for Less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Bob's Discount Furniture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rPr>
              <w:t>Colorado Blvd</w:t>
            </w:r>
          </w:p>
        </w:tc>
        <w:tc>
          <w:tcPr>
            <w:tcW w:w="30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Arial" w:cs="Arial" w:eastAsia="Arial" w:hAnsi="Arial"/>
                <w:sz w:val="13"/>
                <w:szCs w:val="13"/>
                <w:color w:val="auto"/>
                <w:w w:val="97"/>
              </w:rPr>
              <w:t>Los Angeles-Long Beach-Anaheim, CA</w:t>
            </w:r>
          </w:p>
        </w:tc>
        <w:tc>
          <w:tcPr>
            <w:tcW w:w="620" w:type="dxa"/>
            <w:vAlign w:val="bottom"/>
          </w:tcPr>
          <w:p>
            <w:pPr>
              <w:jc w:val="right"/>
              <w:spacing w:after="0"/>
              <w:rPr>
                <w:sz w:val="20"/>
                <w:szCs w:val="20"/>
                <w:color w:val="auto"/>
              </w:rPr>
            </w:pPr>
            <w:r>
              <w:rPr>
                <w:rFonts w:ascii="Arial" w:cs="Arial" w:eastAsia="Arial" w:hAnsi="Arial"/>
                <w:sz w:val="13"/>
                <w:szCs w:val="13"/>
                <w:color w:val="auto"/>
              </w:rPr>
              <w:t>13,316</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42,000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88 %</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w w:val="90"/>
              </w:rPr>
              <w:t>Banana Republic / True Food Kitchen</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Crow Canyon</w:t>
            </w:r>
          </w:p>
        </w:tc>
        <w:tc>
          <w:tcPr>
            <w:tcW w:w="3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San Francisco-Oakland-Hayward,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90,631</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243,000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32,000</w:t>
            </w:r>
          </w:p>
        </w:tc>
        <w:tc>
          <w:tcPr>
            <w:tcW w:w="8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Sprouts</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Total Wine &amp; More / Rite Aid</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Commons</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East Bay Bridge</w:t>
            </w:r>
          </w:p>
        </w:tc>
        <w:tc>
          <w:tcPr>
            <w:tcW w:w="30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San Francisco-Oakland-Hayward, CA</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179,457</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32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440,000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99 %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59,000</w:t>
            </w:r>
          </w:p>
        </w:tc>
        <w:tc>
          <w:tcPr>
            <w:tcW w:w="820" w:type="dxa"/>
            <w:vAlign w:val="bottom"/>
          </w:tcPr>
          <w:p>
            <w:pPr>
              <w:ind w:left="60"/>
              <w:spacing w:after="0" w:line="122" w:lineRule="exact"/>
              <w:rPr>
                <w:sz w:val="20"/>
                <w:szCs w:val="20"/>
                <w:color w:val="auto"/>
              </w:rPr>
            </w:pPr>
            <w:r>
              <w:rPr>
                <w:rFonts w:ascii="Arial" w:cs="Arial" w:eastAsia="Arial" w:hAnsi="Arial"/>
                <w:sz w:val="13"/>
                <w:szCs w:val="13"/>
                <w:color w:val="auto"/>
              </w:rPr>
              <w:t>Pak-N-Save</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Home Depot / Target / Nordstrom</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Rack</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Escondido</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San Diego-Carlsbad,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54,594</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298,000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TJ Maxx / Dick’s Sporting Goods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Promenade</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89"/>
              </w:rPr>
              <w:t>Ross Dress For Less / Bob's Discount</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Furniture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rPr>
              <w:t>Fourth Street</w:t>
            </w:r>
          </w:p>
        </w:tc>
        <w:tc>
          <w:tcPr>
            <w:tcW w:w="300" w:type="dxa"/>
            <w:vAlign w:val="bottom"/>
          </w:tcPr>
          <w:p>
            <w:pPr>
              <w:jc w:val="right"/>
              <w:spacing w:after="0"/>
              <w:rPr>
                <w:sz w:val="20"/>
                <w:szCs w:val="20"/>
                <w:color w:val="auto"/>
              </w:rPr>
            </w:pPr>
            <w:r>
              <w:rPr>
                <w:rFonts w:ascii="Arial" w:cs="Arial" w:eastAsia="Arial" w:hAnsi="Arial"/>
                <w:sz w:val="13"/>
                <w:szCs w:val="13"/>
                <w:color w:val="auto"/>
              </w:rPr>
              <w:t>(4)</w:t>
            </w:r>
          </w:p>
        </w:tc>
        <w:tc>
          <w:tcPr>
            <w:tcW w:w="2300" w:type="dxa"/>
            <w:vAlign w:val="bottom"/>
            <w:gridSpan w:val="2"/>
          </w:tcPr>
          <w:p>
            <w:pPr>
              <w:ind w:left="80"/>
              <w:spacing w:after="0"/>
              <w:rPr>
                <w:sz w:val="20"/>
                <w:szCs w:val="20"/>
                <w:color w:val="auto"/>
              </w:rPr>
            </w:pPr>
            <w:r>
              <w:rPr>
                <w:rFonts w:ascii="Arial" w:cs="Arial" w:eastAsia="Arial" w:hAnsi="Arial"/>
                <w:sz w:val="13"/>
                <w:szCs w:val="13"/>
                <w:color w:val="auto"/>
              </w:rPr>
              <w:t>San Francisco-Oakland-Hayward, CA</w:t>
            </w:r>
          </w:p>
        </w:tc>
        <w:tc>
          <w:tcPr>
            <w:tcW w:w="620" w:type="dxa"/>
            <w:vAlign w:val="bottom"/>
          </w:tcPr>
          <w:p>
            <w:pPr>
              <w:jc w:val="right"/>
              <w:spacing w:after="0"/>
              <w:rPr>
                <w:sz w:val="20"/>
                <w:szCs w:val="20"/>
                <w:color w:val="auto"/>
              </w:rPr>
            </w:pPr>
            <w:r>
              <w:rPr>
                <w:rFonts w:ascii="Arial" w:cs="Arial" w:eastAsia="Arial" w:hAnsi="Arial"/>
                <w:sz w:val="13"/>
                <w:szCs w:val="13"/>
                <w:color w:val="auto"/>
              </w:rPr>
              <w:t>27,226</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78 %</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CB2</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Freedom Plaza</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7"/>
              </w:rPr>
              <w:t>Los Angeles-Long Beach-Anaheim,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41,464</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102,000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31,000</w:t>
            </w:r>
          </w:p>
        </w:tc>
        <w:tc>
          <w:tcPr>
            <w:tcW w:w="8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3"/>
              </w:rPr>
              <w:t>Smart &amp; Final</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2"/>
              </w:rPr>
              <w:t>Nike / Blink Fitness / Ross Dress For</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rPr>
              <w:t>Grossmont Center</w:t>
            </w:r>
          </w:p>
        </w:tc>
        <w:tc>
          <w:tcPr>
            <w:tcW w:w="300" w:type="dxa"/>
            <w:vAlign w:val="bottom"/>
          </w:tcPr>
          <w:p>
            <w:pPr>
              <w:jc w:val="right"/>
              <w:spacing w:after="0"/>
              <w:rPr>
                <w:sz w:val="20"/>
                <w:szCs w:val="20"/>
                <w:color w:val="auto"/>
              </w:rPr>
            </w:pPr>
            <w:r>
              <w:rPr>
                <w:rFonts w:ascii="Arial" w:cs="Arial" w:eastAsia="Arial" w:hAnsi="Arial"/>
                <w:sz w:val="13"/>
                <w:szCs w:val="13"/>
                <w:color w:val="auto"/>
              </w:rPr>
              <w:t>(4)</w:t>
            </w:r>
          </w:p>
        </w:tc>
        <w:tc>
          <w:tcPr>
            <w:tcW w:w="2300" w:type="dxa"/>
            <w:vAlign w:val="bottom"/>
            <w:gridSpan w:val="2"/>
          </w:tcPr>
          <w:p>
            <w:pPr>
              <w:ind w:left="80"/>
              <w:spacing w:after="0"/>
              <w:rPr>
                <w:sz w:val="20"/>
                <w:szCs w:val="20"/>
                <w:color w:val="auto"/>
              </w:rPr>
            </w:pPr>
            <w:r>
              <w:rPr>
                <w:rFonts w:ascii="Arial" w:cs="Arial" w:eastAsia="Arial" w:hAnsi="Arial"/>
                <w:sz w:val="13"/>
                <w:szCs w:val="13"/>
                <w:color w:val="auto"/>
              </w:rPr>
              <w:t>San Diego-Carlsbad, CA</w:t>
            </w:r>
          </w:p>
        </w:tc>
        <w:tc>
          <w:tcPr>
            <w:tcW w:w="620" w:type="dxa"/>
            <w:vAlign w:val="bottom"/>
          </w:tcPr>
          <w:p>
            <w:pPr>
              <w:jc w:val="right"/>
              <w:spacing w:after="0"/>
              <w:rPr>
                <w:sz w:val="20"/>
                <w:szCs w:val="20"/>
                <w:color w:val="auto"/>
              </w:rPr>
            </w:pPr>
            <w:r>
              <w:rPr>
                <w:rFonts w:ascii="Arial" w:cs="Arial" w:eastAsia="Arial" w:hAnsi="Arial"/>
                <w:sz w:val="13"/>
                <w:szCs w:val="13"/>
                <w:color w:val="auto"/>
              </w:rPr>
              <w:t>175,865</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933,000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99 %</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Target / Walmart / Macy’s / CVS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Hastings Ranch</w:t>
            </w:r>
          </w:p>
        </w:tc>
        <w:tc>
          <w:tcPr>
            <w:tcW w:w="3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7"/>
              </w:rPr>
              <w:t>Los Angeles-Long Beach-Anaheim,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25,471</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273,000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88"/>
              </w:rPr>
              <w:t>Marshalls / HomeGoods / CVS / Sears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Plaza</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rPr>
              <w:t>Hollywood Blvd</w:t>
            </w:r>
          </w:p>
        </w:tc>
        <w:tc>
          <w:tcPr>
            <w:tcW w:w="30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Arial" w:cs="Arial" w:eastAsia="Arial" w:hAnsi="Arial"/>
                <w:sz w:val="13"/>
                <w:szCs w:val="13"/>
                <w:color w:val="auto"/>
                <w:w w:val="97"/>
              </w:rPr>
              <w:t>Los Angeles-Long Beach-Anaheim, CA</w:t>
            </w:r>
          </w:p>
        </w:tc>
        <w:tc>
          <w:tcPr>
            <w:tcW w:w="620" w:type="dxa"/>
            <w:vAlign w:val="bottom"/>
          </w:tcPr>
          <w:p>
            <w:pPr>
              <w:jc w:val="right"/>
              <w:spacing w:after="0"/>
              <w:rPr>
                <w:sz w:val="20"/>
                <w:szCs w:val="20"/>
                <w:color w:val="auto"/>
              </w:rPr>
            </w:pPr>
            <w:r>
              <w:rPr>
                <w:rFonts w:ascii="Arial" w:cs="Arial" w:eastAsia="Arial" w:hAnsi="Arial"/>
                <w:sz w:val="13"/>
                <w:szCs w:val="13"/>
                <w:color w:val="auto"/>
              </w:rPr>
              <w:t>61,848</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181,000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86 %</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Target / Marshalls / L.A. Fitness</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Kings Court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San Jose-Sunnyvale-Santa Clara, CA</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11,610</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31,000</w:t>
            </w:r>
          </w:p>
        </w:tc>
        <w:tc>
          <w:tcPr>
            <w:tcW w:w="820" w:type="dxa"/>
            <w:vAlign w:val="bottom"/>
            <w:shd w:val="clear" w:color="auto" w:fill="CCEEFF"/>
          </w:tcPr>
          <w:p>
            <w:pPr>
              <w:ind w:left="60"/>
              <w:spacing w:after="0"/>
              <w:rPr>
                <w:sz w:val="20"/>
                <w:szCs w:val="20"/>
                <w:color w:val="auto"/>
              </w:rPr>
            </w:pPr>
            <w:r>
              <w:rPr>
                <w:rFonts w:ascii="Arial" w:cs="Arial" w:eastAsia="Arial" w:hAnsi="Arial"/>
                <w:sz w:val="13"/>
                <w:szCs w:val="13"/>
                <w:color w:val="auto"/>
              </w:rPr>
              <w:t>Lunardi's</w:t>
            </w: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Old Town Center</w:t>
            </w:r>
          </w:p>
        </w:tc>
        <w:tc>
          <w:tcPr>
            <w:tcW w:w="30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San Jose-Sunnyvale-Santa Clara, CA</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38,711</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97,000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90 %</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w w:val="99"/>
              </w:rPr>
              <w:t>Anthropologie / Banana Republic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Gap</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Olivo at Mission</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7"/>
              </w:rPr>
              <w:t>Los Angeles-Long Beach-Anaheim,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82,015</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155,000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Target / 24 Hour Fitness / Ross Dress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Hills</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 Less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rPr>
              <w:t>Plaza Del Sol</w:t>
            </w:r>
          </w:p>
        </w:tc>
        <w:tc>
          <w:tcPr>
            <w:tcW w:w="300" w:type="dxa"/>
            <w:vAlign w:val="bottom"/>
          </w:tcPr>
          <w:p>
            <w:pPr>
              <w:jc w:val="right"/>
              <w:spacing w:after="0"/>
              <w:rPr>
                <w:sz w:val="20"/>
                <w:szCs w:val="20"/>
                <w:color w:val="auto"/>
              </w:rPr>
            </w:pPr>
            <w:r>
              <w:rPr>
                <w:rFonts w:ascii="Arial" w:cs="Arial" w:eastAsia="Arial" w:hAnsi="Arial"/>
                <w:sz w:val="13"/>
                <w:szCs w:val="13"/>
                <w:color w:val="auto"/>
              </w:rPr>
              <w:t>(4)</w:t>
            </w:r>
          </w:p>
        </w:tc>
        <w:tc>
          <w:tcPr>
            <w:tcW w:w="2300" w:type="dxa"/>
            <w:vAlign w:val="bottom"/>
            <w:gridSpan w:val="2"/>
          </w:tcPr>
          <w:p>
            <w:pPr>
              <w:ind w:left="80"/>
              <w:spacing w:after="0"/>
              <w:rPr>
                <w:sz w:val="20"/>
                <w:szCs w:val="20"/>
                <w:color w:val="auto"/>
              </w:rPr>
            </w:pPr>
            <w:r>
              <w:rPr>
                <w:rFonts w:ascii="Arial" w:cs="Arial" w:eastAsia="Arial" w:hAnsi="Arial"/>
                <w:sz w:val="13"/>
                <w:szCs w:val="13"/>
                <w:color w:val="auto"/>
                <w:w w:val="97"/>
              </w:rPr>
              <w:t>Los Angeles-Long Beach-Anaheim, CA</w:t>
            </w:r>
          </w:p>
        </w:tc>
        <w:tc>
          <w:tcPr>
            <w:tcW w:w="620" w:type="dxa"/>
            <w:vAlign w:val="bottom"/>
          </w:tcPr>
          <w:p>
            <w:pPr>
              <w:jc w:val="right"/>
              <w:spacing w:after="0"/>
              <w:rPr>
                <w:sz w:val="20"/>
                <w:szCs w:val="20"/>
                <w:color w:val="auto"/>
              </w:rPr>
            </w:pPr>
            <w:r>
              <w:rPr>
                <w:rFonts w:ascii="Arial" w:cs="Arial" w:eastAsia="Arial" w:hAnsi="Arial"/>
                <w:sz w:val="13"/>
                <w:szCs w:val="13"/>
                <w:color w:val="auto"/>
              </w:rPr>
              <w:t>17,867</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96 %</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9"/>
              </w:rPr>
              <w:t>Plaza El Segundo /</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7"/>
              </w:rPr>
              <w:t>Los Angeles-Long Beach-Anaheim,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298,201</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125,000</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500,000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66,000</w:t>
            </w:r>
          </w:p>
        </w:tc>
        <w:tc>
          <w:tcPr>
            <w:tcW w:w="8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6"/>
              </w:rPr>
              <w:t>Whole Foods</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Nordstrom Rack / HomeGoods /</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The Point</w:t>
            </w: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Dick's Sporting Goods / Multiple</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Restaurants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w w:val="96"/>
              </w:rPr>
              <w:t>San Antonio Center</w:t>
            </w:r>
          </w:p>
        </w:tc>
        <w:tc>
          <w:tcPr>
            <w:tcW w:w="300" w:type="dxa"/>
            <w:vAlign w:val="bottom"/>
          </w:tcPr>
          <w:p>
            <w:pPr>
              <w:jc w:val="right"/>
              <w:spacing w:after="0"/>
              <w:rPr>
                <w:sz w:val="20"/>
                <w:szCs w:val="20"/>
                <w:color w:val="auto"/>
              </w:rPr>
            </w:pPr>
            <w:r>
              <w:rPr>
                <w:rFonts w:ascii="Arial" w:cs="Arial" w:eastAsia="Arial" w:hAnsi="Arial"/>
                <w:sz w:val="13"/>
                <w:szCs w:val="13"/>
                <w:color w:val="auto"/>
              </w:rPr>
              <w:t>(6)</w:t>
            </w:r>
          </w:p>
        </w:tc>
        <w:tc>
          <w:tcPr>
            <w:tcW w:w="2300" w:type="dxa"/>
            <w:vAlign w:val="bottom"/>
            <w:gridSpan w:val="2"/>
          </w:tcPr>
          <w:p>
            <w:pPr>
              <w:ind w:left="80"/>
              <w:spacing w:after="0"/>
              <w:rPr>
                <w:sz w:val="20"/>
                <w:szCs w:val="20"/>
                <w:color w:val="auto"/>
              </w:rPr>
            </w:pPr>
            <w:r>
              <w:rPr>
                <w:rFonts w:ascii="Arial" w:cs="Arial" w:eastAsia="Arial" w:hAnsi="Arial"/>
                <w:sz w:val="13"/>
                <w:szCs w:val="13"/>
                <w:color w:val="auto"/>
              </w:rPr>
              <w:t>San Jose-Sunnyvale-Santa Clara, CA</w:t>
            </w:r>
          </w:p>
        </w:tc>
        <w:tc>
          <w:tcPr>
            <w:tcW w:w="620" w:type="dxa"/>
            <w:vAlign w:val="bottom"/>
          </w:tcPr>
          <w:p>
            <w:pPr>
              <w:jc w:val="right"/>
              <w:spacing w:after="0"/>
              <w:rPr>
                <w:sz w:val="20"/>
                <w:szCs w:val="20"/>
                <w:color w:val="auto"/>
              </w:rPr>
            </w:pPr>
            <w:r>
              <w:rPr>
                <w:rFonts w:ascii="Arial" w:cs="Arial" w:eastAsia="Arial" w:hAnsi="Arial"/>
                <w:sz w:val="13"/>
                <w:szCs w:val="13"/>
                <w:color w:val="auto"/>
              </w:rPr>
              <w:t>47,955</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212,000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98 %</w:t>
            </w:r>
          </w:p>
        </w:tc>
        <w:tc>
          <w:tcPr>
            <w:tcW w:w="6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0"/>
              </w:rPr>
              <w:t>14,000</w:t>
            </w:r>
          </w:p>
        </w:tc>
        <w:tc>
          <w:tcPr>
            <w:tcW w:w="820" w:type="dxa"/>
            <w:vAlign w:val="bottom"/>
          </w:tcPr>
          <w:p>
            <w:pPr>
              <w:ind w:left="60"/>
              <w:spacing w:after="0"/>
              <w:rPr>
                <w:sz w:val="20"/>
                <w:szCs w:val="20"/>
                <w:color w:val="auto"/>
              </w:rPr>
            </w:pPr>
            <w:r>
              <w:rPr>
                <w:rFonts w:ascii="Arial" w:cs="Arial" w:eastAsia="Arial" w:hAnsi="Arial"/>
                <w:sz w:val="13"/>
                <w:szCs w:val="13"/>
                <w:color w:val="auto"/>
              </w:rPr>
              <w:t>Trader Joe's</w:t>
            </w:r>
          </w:p>
        </w:tc>
        <w:tc>
          <w:tcPr>
            <w:tcW w:w="2020" w:type="dxa"/>
            <w:vAlign w:val="bottom"/>
          </w:tcPr>
          <w:p>
            <w:pPr>
              <w:ind w:left="40"/>
              <w:spacing w:after="0"/>
              <w:rPr>
                <w:sz w:val="20"/>
                <w:szCs w:val="20"/>
                <w:color w:val="auto"/>
              </w:rPr>
            </w:pPr>
            <w:r>
              <w:rPr>
                <w:rFonts w:ascii="Arial" w:cs="Arial" w:eastAsia="Arial" w:hAnsi="Arial"/>
                <w:sz w:val="13"/>
                <w:szCs w:val="13"/>
                <w:color w:val="auto"/>
              </w:rPr>
              <w:t>Walmart / 24 Hour Fitness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Santana Row</w:t>
            </w:r>
          </w:p>
        </w:tc>
        <w:tc>
          <w:tcPr>
            <w:tcW w:w="3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San Jose-Sunnyvale-Santa Clara,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1,232,067</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1,201,000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662</w:t>
            </w: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Crate &amp; Barrel / H&amp;M / Best Buy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Multiple 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Sylmar Towne</w:t>
            </w:r>
          </w:p>
        </w:tc>
        <w:tc>
          <w:tcPr>
            <w:tcW w:w="300" w:type="dxa"/>
            <w:vAlign w:val="bottom"/>
          </w:tcPr>
          <w:p>
            <w:pPr>
              <w:jc w:val="right"/>
              <w:spacing w:after="0" w:line="122" w:lineRule="exact"/>
              <w:rPr>
                <w:sz w:val="20"/>
                <w:szCs w:val="20"/>
                <w:color w:val="auto"/>
              </w:rPr>
            </w:pPr>
            <w:r>
              <w:rPr>
                <w:rFonts w:ascii="Arial" w:cs="Arial" w:eastAsia="Arial" w:hAnsi="Arial"/>
                <w:sz w:val="13"/>
                <w:szCs w:val="13"/>
                <w:color w:val="auto"/>
              </w:rPr>
              <w:t>(4)</w:t>
            </w:r>
          </w:p>
        </w:tc>
        <w:tc>
          <w:tcPr>
            <w:tcW w:w="230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7"/>
              </w:rPr>
              <w:t>Los Angeles-Long Beach-Anaheim, CA</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46,169</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148,000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93 %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43,000</w:t>
            </w:r>
          </w:p>
        </w:tc>
        <w:tc>
          <w:tcPr>
            <w:tcW w:w="820" w:type="dxa"/>
            <w:vAlign w:val="bottom"/>
          </w:tcPr>
          <w:p>
            <w:pPr>
              <w:ind w:left="60"/>
              <w:spacing w:after="0" w:line="122" w:lineRule="exact"/>
              <w:rPr>
                <w:sz w:val="20"/>
                <w:szCs w:val="20"/>
                <w:color w:val="auto"/>
              </w:rPr>
            </w:pPr>
            <w:r>
              <w:rPr>
                <w:rFonts w:ascii="Arial" w:cs="Arial" w:eastAsia="Arial" w:hAnsi="Arial"/>
                <w:sz w:val="13"/>
                <w:szCs w:val="13"/>
                <w:color w:val="auto"/>
              </w:rPr>
              <w:t>Food 4 Less</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rPr>
              <w:t>Center</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Third Street</w:t>
            </w:r>
          </w:p>
        </w:tc>
        <w:tc>
          <w:tcPr>
            <w:tcW w:w="3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7"/>
              </w:rPr>
              <w:t>Los Angeles-Long Beach-Anaheim, CA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84,911</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207,000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75 %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88"/>
              </w:rPr>
              <w:t>adidas / J. Crew / Multiple Restaurants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Promenade</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Westgate Center</w:t>
            </w:r>
          </w:p>
        </w:tc>
        <w:tc>
          <w:tcPr>
            <w:tcW w:w="30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San Jose-Sunnyvale-Santa Clara, CA</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158,491</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44</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648,000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Target / Nordstrom Rack / Nike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Factory / TJ Maxx</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Total California</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2,906,905</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6,433,000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95 %</w:t>
            </w: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gridSpan w:val="3"/>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720" w:type="dxa"/>
            <w:vAlign w:val="bottom"/>
            <w:gridSpan w:val="5"/>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Washington Metropolitan Area</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Barcroft Plaza</w:t>
            </w:r>
          </w:p>
        </w:tc>
        <w:tc>
          <w:tcPr>
            <w:tcW w:w="30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49,722</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113,000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94 %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46,000</w:t>
            </w:r>
          </w:p>
        </w:tc>
        <w:tc>
          <w:tcPr>
            <w:tcW w:w="820" w:type="dxa"/>
            <w:vAlign w:val="bottom"/>
          </w:tcPr>
          <w:p>
            <w:pPr>
              <w:ind w:left="60"/>
              <w:spacing w:after="0" w:line="122" w:lineRule="exact"/>
              <w:rPr>
                <w:sz w:val="20"/>
                <w:szCs w:val="20"/>
                <w:color w:val="auto"/>
              </w:rPr>
            </w:pPr>
            <w:r>
              <w:rPr>
                <w:rFonts w:ascii="Arial" w:cs="Arial" w:eastAsia="Arial" w:hAnsi="Arial"/>
                <w:sz w:val="13"/>
                <w:szCs w:val="13"/>
                <w:color w:val="auto"/>
                <w:w w:val="97"/>
              </w:rPr>
              <w:t>Harris Teeter</w:t>
            </w: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Bethesda Row</w:t>
            </w:r>
          </w:p>
        </w:tc>
        <w:tc>
          <w:tcPr>
            <w:tcW w:w="3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248,154</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529,000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94 %</w:t>
            </w:r>
          </w:p>
        </w:tc>
        <w:tc>
          <w:tcPr>
            <w:tcW w:w="6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180</w:t>
            </w: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40,000</w:t>
            </w:r>
          </w:p>
        </w:tc>
        <w:tc>
          <w:tcPr>
            <w:tcW w:w="8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Giant Food</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Apple / Equinox / Anthropologie /</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Multiple Restaurants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Birch &amp; Broad</w:t>
            </w:r>
          </w:p>
        </w:tc>
        <w:tc>
          <w:tcPr>
            <w:tcW w:w="30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21,793</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144,000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51,000</w:t>
            </w:r>
          </w:p>
        </w:tc>
        <w:tc>
          <w:tcPr>
            <w:tcW w:w="820" w:type="dxa"/>
            <w:vAlign w:val="bottom"/>
          </w:tcPr>
          <w:p>
            <w:pPr>
              <w:ind w:left="60"/>
              <w:spacing w:after="0" w:line="122" w:lineRule="exact"/>
              <w:rPr>
                <w:sz w:val="20"/>
                <w:szCs w:val="20"/>
                <w:color w:val="auto"/>
              </w:rPr>
            </w:pPr>
            <w:r>
              <w:rPr>
                <w:rFonts w:ascii="Arial" w:cs="Arial" w:eastAsia="Arial" w:hAnsi="Arial"/>
                <w:sz w:val="13"/>
                <w:szCs w:val="13"/>
                <w:color w:val="auto"/>
              </w:rPr>
              <w:t>Giant Food</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CVS / Staples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Chesterbrook</w:t>
            </w:r>
          </w:p>
        </w:tc>
        <w:tc>
          <w:tcPr>
            <w:tcW w:w="3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37,947</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85 %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35,000</w:t>
            </w:r>
          </w:p>
        </w:tc>
        <w:tc>
          <w:tcPr>
            <w:tcW w:w="8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Safeway</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Walgreens / Starbucks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w w:val="92"/>
              </w:rPr>
              <w:t>Congressional Plaza</w:t>
            </w:r>
          </w:p>
        </w:tc>
        <w:tc>
          <w:tcPr>
            <w:tcW w:w="300" w:type="dxa"/>
            <w:vAlign w:val="bottom"/>
          </w:tcPr>
          <w:p>
            <w:pPr>
              <w:jc w:val="right"/>
              <w:spacing w:after="0" w:line="122" w:lineRule="exact"/>
              <w:rPr>
                <w:sz w:val="20"/>
                <w:szCs w:val="20"/>
                <w:color w:val="auto"/>
              </w:rPr>
            </w:pPr>
            <w:r>
              <w:rPr>
                <w:rFonts w:ascii="Arial" w:cs="Arial" w:eastAsia="Arial" w:hAnsi="Arial"/>
                <w:sz w:val="13"/>
                <w:szCs w:val="13"/>
                <w:color w:val="auto"/>
              </w:rPr>
              <w:t>(4)</w:t>
            </w:r>
          </w:p>
        </w:tc>
        <w:tc>
          <w:tcPr>
            <w:tcW w:w="230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107,202</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21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324,000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91 %</w:t>
            </w:r>
          </w:p>
        </w:tc>
        <w:tc>
          <w:tcPr>
            <w:tcW w:w="680" w:type="dxa"/>
            <w:vAlign w:val="bottom"/>
          </w:tcPr>
          <w:p>
            <w:pPr>
              <w:jc w:val="center"/>
              <w:spacing w:after="0" w:line="122" w:lineRule="exact"/>
              <w:rPr>
                <w:sz w:val="20"/>
                <w:szCs w:val="20"/>
                <w:color w:val="auto"/>
              </w:rPr>
            </w:pPr>
            <w:r>
              <w:rPr>
                <w:rFonts w:ascii="Arial" w:cs="Arial" w:eastAsia="Arial" w:hAnsi="Arial"/>
                <w:sz w:val="13"/>
                <w:szCs w:val="13"/>
                <w:color w:val="auto"/>
                <w:w w:val="82"/>
              </w:rPr>
              <w:t>194</w:t>
            </w: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25,000</w:t>
            </w:r>
          </w:p>
        </w:tc>
        <w:tc>
          <w:tcPr>
            <w:tcW w:w="820" w:type="dxa"/>
            <w:vAlign w:val="bottom"/>
          </w:tcPr>
          <w:p>
            <w:pPr>
              <w:ind w:left="60"/>
              <w:spacing w:after="0" w:line="122" w:lineRule="exact"/>
              <w:rPr>
                <w:sz w:val="20"/>
                <w:szCs w:val="20"/>
                <w:color w:val="auto"/>
              </w:rPr>
            </w:pPr>
            <w:r>
              <w:rPr>
                <w:rFonts w:ascii="Arial" w:cs="Arial" w:eastAsia="Arial" w:hAnsi="Arial"/>
                <w:sz w:val="13"/>
                <w:szCs w:val="13"/>
                <w:color w:val="auto"/>
              </w:rPr>
              <w:t>The Fresh</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Buy Buy Baby / Ulta / Barnes &amp;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auto"/>
              </w:rPr>
              <w:t>Market</w:t>
            </w:r>
          </w:p>
        </w:tc>
        <w:tc>
          <w:tcPr>
            <w:tcW w:w="2020" w:type="dxa"/>
            <w:vAlign w:val="bottom"/>
          </w:tcPr>
          <w:p>
            <w:pPr>
              <w:ind w:left="40"/>
              <w:spacing w:after="0"/>
              <w:rPr>
                <w:sz w:val="20"/>
                <w:szCs w:val="20"/>
                <w:color w:val="auto"/>
              </w:rPr>
            </w:pPr>
            <w:r>
              <w:rPr>
                <w:rFonts w:ascii="Arial" w:cs="Arial" w:eastAsia="Arial" w:hAnsi="Arial"/>
                <w:sz w:val="13"/>
                <w:szCs w:val="13"/>
                <w:color w:val="auto"/>
              </w:rPr>
              <w:t>Noble</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Courthouse Center</w:t>
            </w:r>
          </w:p>
        </w:tc>
        <w:tc>
          <w:tcPr>
            <w:tcW w:w="3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7,107</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37,000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76 %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Fairfax Junction</w:t>
            </w:r>
          </w:p>
        </w:tc>
        <w:tc>
          <w:tcPr>
            <w:tcW w:w="300" w:type="dxa"/>
            <w:vAlign w:val="bottom"/>
          </w:tcPr>
          <w:p>
            <w:pPr>
              <w:jc w:val="right"/>
              <w:spacing w:after="0" w:line="122" w:lineRule="exact"/>
              <w:rPr>
                <w:sz w:val="20"/>
                <w:szCs w:val="20"/>
                <w:color w:val="auto"/>
              </w:rPr>
            </w:pPr>
            <w:r>
              <w:rPr>
                <w:rFonts w:ascii="Arial" w:cs="Arial" w:eastAsia="Arial" w:hAnsi="Arial"/>
                <w:sz w:val="13"/>
                <w:szCs w:val="13"/>
                <w:color w:val="auto"/>
              </w:rPr>
              <w:t>(6)</w:t>
            </w:r>
          </w:p>
        </w:tc>
        <w:tc>
          <w:tcPr>
            <w:tcW w:w="230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41,457</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124,000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93 %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23,000</w:t>
            </w:r>
          </w:p>
        </w:tc>
        <w:tc>
          <w:tcPr>
            <w:tcW w:w="820" w:type="dxa"/>
            <w:vAlign w:val="bottom"/>
          </w:tcPr>
          <w:p>
            <w:pPr>
              <w:ind w:left="60"/>
              <w:spacing w:after="0" w:line="122" w:lineRule="exact"/>
              <w:rPr>
                <w:sz w:val="20"/>
                <w:szCs w:val="20"/>
                <w:color w:val="auto"/>
              </w:rPr>
            </w:pPr>
            <w:r>
              <w:rPr>
                <w:rFonts w:ascii="Arial" w:cs="Arial" w:eastAsia="Arial" w:hAnsi="Arial"/>
                <w:sz w:val="13"/>
                <w:szCs w:val="13"/>
                <w:color w:val="auto"/>
              </w:rPr>
              <w:t>Aldi</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CVS / Planet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Federal Plaza</w:t>
            </w:r>
          </w:p>
        </w:tc>
        <w:tc>
          <w:tcPr>
            <w:tcW w:w="3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71,176</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249,000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14,000</w:t>
            </w:r>
          </w:p>
        </w:tc>
        <w:tc>
          <w:tcPr>
            <w:tcW w:w="8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Trader Joe's</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2"/>
              </w:rPr>
              <w:t>TJ Maxx / Micro Center / Ross Dress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 Less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030"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Real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Mortgage/Finance</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8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Grocery</w:t>
            </w: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vMerge w:val="restart"/>
          </w:tcPr>
          <w:p>
            <w:pPr>
              <w:ind w:left="100"/>
              <w:spacing w:after="0"/>
              <w:rPr>
                <w:sz w:val="20"/>
                <w:szCs w:val="20"/>
                <w:color w:val="auto"/>
              </w:rPr>
            </w:pPr>
            <w:r>
              <w:rPr>
                <w:rFonts w:ascii="Arial" w:cs="Arial" w:eastAsia="Arial" w:hAnsi="Arial"/>
                <w:sz w:val="13"/>
                <w:szCs w:val="13"/>
                <w:b w:val="1"/>
                <w:bCs w:val="1"/>
                <w:color w:val="auto"/>
                <w:w w:val="99"/>
              </w:rPr>
              <w:t>Property Name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vMerge w:val="restart"/>
          </w:tcPr>
          <w:p>
            <w:pPr>
              <w:ind w:left="680"/>
              <w:spacing w:after="0"/>
              <w:rPr>
                <w:sz w:val="20"/>
                <w:szCs w:val="20"/>
                <w:color w:val="auto"/>
              </w:rPr>
            </w:pPr>
            <w:r>
              <w:rPr>
                <w:rFonts w:ascii="Arial" w:cs="Arial" w:eastAsia="Arial" w:hAnsi="Arial"/>
                <w:sz w:val="13"/>
                <w:szCs w:val="13"/>
                <w:b w:val="1"/>
                <w:bCs w:val="1"/>
                <w:color w:val="auto"/>
              </w:rPr>
              <w:t>MSA Description</w:t>
            </w:r>
          </w:p>
        </w:tc>
        <w:tc>
          <w:tcPr>
            <w:tcW w:w="6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Estate at</w:t>
            </w:r>
          </w:p>
        </w:tc>
        <w:tc>
          <w:tcPr>
            <w:tcW w:w="10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Acreage</w:t>
            </w:r>
          </w:p>
        </w:tc>
        <w:tc>
          <w:tcPr>
            <w:tcW w:w="7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GLA (3)</w:t>
            </w:r>
          </w:p>
        </w:tc>
        <w:tc>
          <w:tcPr>
            <w:tcW w:w="540" w:type="dxa"/>
            <w:vAlign w:val="bottom"/>
          </w:tcPr>
          <w:p>
            <w:pPr>
              <w:jc w:val="right"/>
              <w:ind w:right="17"/>
              <w:spacing w:after="0" w:line="122" w:lineRule="exact"/>
              <w:rPr>
                <w:sz w:val="20"/>
                <w:szCs w:val="20"/>
                <w:color w:val="auto"/>
              </w:rPr>
            </w:pPr>
            <w:r>
              <w:rPr>
                <w:rFonts w:ascii="Arial" w:cs="Arial" w:eastAsia="Arial" w:hAnsi="Arial"/>
                <w:sz w:val="13"/>
                <w:szCs w:val="13"/>
                <w:b w:val="1"/>
                <w:bCs w:val="1"/>
                <w:color w:val="auto"/>
                <w:w w:val="98"/>
              </w:rPr>
              <w:t>Leased</w:t>
            </w:r>
          </w:p>
        </w:tc>
        <w:tc>
          <w:tcPr>
            <w:tcW w:w="68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Anchor</w:t>
            </w:r>
          </w:p>
        </w:tc>
        <w:tc>
          <w:tcPr>
            <w:tcW w:w="840" w:type="dxa"/>
            <w:vAlign w:val="bottom"/>
            <w:vMerge w:val="continue"/>
          </w:tcPr>
          <w:p>
            <w:pPr>
              <w:spacing w:after="0"/>
              <w:rPr>
                <w:sz w:val="10"/>
                <w:szCs w:val="10"/>
                <w:color w:val="auto"/>
              </w:rPr>
            </w:pPr>
          </w:p>
        </w:tc>
        <w:tc>
          <w:tcPr>
            <w:tcW w:w="20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520" w:type="dxa"/>
            <w:vAlign w:val="bottom"/>
            <w:tcBorders>
              <w:bottom w:val="single" w:sz="8" w:color="auto"/>
            </w:tcBorders>
            <w:gridSpan w:val="2"/>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Anchor</w:t>
            </w:r>
          </w:p>
        </w:tc>
        <w:tc>
          <w:tcPr>
            <w:tcW w:w="2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20" w:type="dxa"/>
            <w:vAlign w:val="bottom"/>
          </w:tcPr>
          <w:p>
            <w:pPr>
              <w:jc w:val="center"/>
              <w:spacing w:after="0" w:line="111" w:lineRule="exact"/>
              <w:rPr>
                <w:sz w:val="20"/>
                <w:szCs w:val="20"/>
                <w:color w:val="auto"/>
              </w:rPr>
            </w:pPr>
            <w:r>
              <w:rPr>
                <w:rFonts w:ascii="Arial" w:cs="Arial" w:eastAsia="Arial" w:hAnsi="Arial"/>
                <w:sz w:val="11"/>
                <w:szCs w:val="11"/>
                <w:color w:val="auto"/>
                <w:w w:val="97"/>
              </w:rPr>
              <w:t>(in</w:t>
            </w:r>
          </w:p>
        </w:tc>
        <w:tc>
          <w:tcPr>
            <w:tcW w:w="1040" w:type="dxa"/>
            <w:vAlign w:val="bottom"/>
            <w:vMerge w:val="restart"/>
          </w:tcPr>
          <w:p>
            <w:pPr>
              <w:jc w:val="center"/>
              <w:spacing w:after="0"/>
              <w:rPr>
                <w:sz w:val="20"/>
                <w:szCs w:val="20"/>
                <w:color w:val="auto"/>
              </w:rPr>
            </w:pPr>
            <w:r>
              <w:rPr>
                <w:rFonts w:ascii="Arial" w:cs="Arial" w:eastAsia="Arial" w:hAnsi="Arial"/>
                <w:sz w:val="11"/>
                <w:szCs w:val="11"/>
                <w:color w:val="auto"/>
                <w:w w:val="88"/>
              </w:rPr>
              <w:t>(in thousands)</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40" w:type="dxa"/>
            <w:vAlign w:val="bottom"/>
          </w:tcPr>
          <w:p>
            <w:pPr>
              <w:spacing w:after="0" w:line="144" w:lineRule="exact"/>
              <w:rPr>
                <w:sz w:val="20"/>
                <w:szCs w:val="20"/>
                <w:color w:val="auto"/>
              </w:rPr>
            </w:pPr>
            <w:r>
              <w:rPr>
                <w:rFonts w:ascii="Arial" w:cs="Arial" w:eastAsia="Arial" w:hAnsi="Arial"/>
                <w:sz w:val="13"/>
                <w:szCs w:val="13"/>
                <w:color w:val="auto"/>
                <w:w w:val="98"/>
              </w:rPr>
              <w:t>Friendship Center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ind w:left="40"/>
              <w:spacing w:after="0" w:line="144"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36,441</w:t>
            </w:r>
          </w:p>
        </w:tc>
        <w:tc>
          <w:tcPr>
            <w:tcW w:w="104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119,000</w:t>
            </w:r>
          </w:p>
        </w:tc>
        <w:tc>
          <w:tcPr>
            <w:tcW w:w="8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66 %</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0" w:type="dxa"/>
            <w:vAlign w:val="bottom"/>
          </w:tcPr>
          <w:p>
            <w:pPr>
              <w:ind w:left="40"/>
              <w:spacing w:after="0" w:line="144" w:lineRule="exact"/>
              <w:rPr>
                <w:sz w:val="20"/>
                <w:szCs w:val="20"/>
                <w:color w:val="auto"/>
              </w:rPr>
            </w:pPr>
            <w:r>
              <w:rPr>
                <w:rFonts w:ascii="Arial" w:cs="Arial" w:eastAsia="Arial" w:hAnsi="Arial"/>
                <w:sz w:val="13"/>
                <w:szCs w:val="13"/>
                <w:color w:val="auto"/>
              </w:rPr>
              <w:t>Marshalls / DSW / Maggiano's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Gaithersburg</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35,291</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208,000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Marshalls / Ross Dress For Less /</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Square</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Ashley Furniture HomeStore / CVS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w w:val="89"/>
              </w:rPr>
              <w:t>Graham Park Plaza</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21,956</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132,000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90 %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58,000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Giant Food</w:t>
            </w: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Idylwood Plaza</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17,508</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73,000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30,000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9"/>
              </w:rPr>
              <w:t>Whole Foods</w:t>
            </w:r>
          </w:p>
        </w:tc>
        <w:tc>
          <w:tcPr>
            <w:tcW w:w="2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Laurel</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60,065</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26</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364,000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93 %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61,000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Giant Food</w:t>
            </w: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w w:val="88"/>
              </w:rPr>
              <w:t>Marshalls / L.A. Fitness / HomeGoods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Leesburg Plaza</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38,393</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235,000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55,000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Giant Food</w:t>
            </w: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Petsmart / Office Depot</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w w:val="93"/>
              </w:rPr>
              <w:t>Montrose Crossing</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166,166</w:t>
            </w:r>
          </w:p>
        </w:tc>
        <w:tc>
          <w:tcPr>
            <w:tcW w:w="1040" w:type="dxa"/>
            <w:vAlign w:val="bottom"/>
          </w:tcPr>
          <w:p>
            <w:pPr>
              <w:jc w:val="right"/>
              <w:spacing w:after="0" w:line="122" w:lineRule="exact"/>
              <w:rPr>
                <w:sz w:val="20"/>
                <w:szCs w:val="20"/>
                <w:color w:val="auto"/>
              </w:rPr>
            </w:pPr>
            <w:r>
              <w:rPr>
                <w:rFonts w:ascii="Arial" w:cs="Arial" w:eastAsia="Arial" w:hAnsi="Arial"/>
                <w:sz w:val="13"/>
                <w:szCs w:val="13"/>
                <w:color w:val="auto"/>
              </w:rPr>
              <w:t>64,121</w:t>
            </w: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36</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368,000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73,000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Giant Food</w:t>
            </w: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rPr>
              <w:t>Marshalls / Home Depot Design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w w:val="96"/>
              </w:rPr>
              <w:t>Center / Old Navy / Bob's Discount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Furniture</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Mount</w:t>
            </w:r>
          </w:p>
        </w:tc>
        <w:tc>
          <w:tcPr>
            <w:tcW w:w="42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(6)</w:t>
            </w: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93,042</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565,000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62,000</w:t>
            </w:r>
          </w:p>
        </w:tc>
        <w:tc>
          <w:tcPr>
            <w:tcW w:w="2840" w:type="dxa"/>
            <w:vAlign w:val="bottom"/>
            <w:gridSpan w:val="2"/>
            <w:shd w:val="clear" w:color="auto" w:fill="CCEEFF"/>
          </w:tcPr>
          <w:p>
            <w:pPr>
              <w:ind w:left="60"/>
              <w:spacing w:after="0" w:line="129" w:lineRule="exact"/>
              <w:rPr>
                <w:sz w:val="20"/>
                <w:szCs w:val="20"/>
                <w:color w:val="auto"/>
              </w:rPr>
            </w:pPr>
            <w:r>
              <w:rPr>
                <w:rFonts w:ascii="Arial" w:cs="Arial" w:eastAsia="Arial" w:hAnsi="Arial"/>
                <w:sz w:val="13"/>
                <w:szCs w:val="13"/>
                <w:color w:val="auto"/>
                <w:w w:val="90"/>
              </w:rPr>
              <w:t>Shoppers Food TJ Maxx / Home Depot / Bed, Bath &amp;</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Vernon/South</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6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rPr>
              <w:t>Warehouse</w:t>
            </w:r>
          </w:p>
        </w:tc>
        <w:tc>
          <w:tcPr>
            <w:tcW w:w="200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Beyond / Results Fitness</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Valley/7770</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Richmond Hwy</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Old Keene Mill</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13,100</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91,000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95 %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24,000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w w:val="99"/>
              </w:rPr>
              <w:t>Whole Foods</w:t>
            </w: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rPr>
              <w:t>Walgreens / Planet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Pan Am</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30,301</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228,000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65,000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Safeway</w:t>
            </w: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Micro Center / CVS / Michaels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Pentagon Row</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107,314</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14</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297,000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99 %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45,000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Harris Teeter</w:t>
            </w: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rPr>
              <w:t>TJ Maxx / DSW / Ulta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Pike &amp; Rose</w:t>
            </w:r>
          </w:p>
        </w:tc>
        <w:tc>
          <w:tcPr>
            <w:tcW w:w="42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(5)</w:t>
            </w: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714,966</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574,000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98 %</w:t>
            </w:r>
          </w:p>
        </w:tc>
        <w:tc>
          <w:tcPr>
            <w:tcW w:w="6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765</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6"/>
              </w:rPr>
              <w:t>Porsche / Uniqlo / REI / H&amp;M / L.L.</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Bean / Multiple Restaurants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Pike 7 Plaza</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49,814</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172,000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95 %</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w w:val="99"/>
              </w:rPr>
              <w:t>TJ Maxx / DSW / Crunch Fitness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4"/>
              </w:rPr>
              <w:t>Plaza del Mercado</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46,947</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116,000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18,000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Aldi</w:t>
            </w: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CVS / L.A. Fitness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Quince Orchard</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40,762</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268,000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91 %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19,000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Aldi</w:t>
            </w: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w w:val="93"/>
              </w:rPr>
              <w:t>HomeGoods / L.A. Fitness / Staples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Rockville Town</w:t>
            </w:r>
          </w:p>
        </w:tc>
        <w:tc>
          <w:tcPr>
            <w:tcW w:w="42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(7)</w:t>
            </w: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49,604</w:t>
            </w:r>
          </w:p>
        </w:tc>
        <w:tc>
          <w:tcPr>
            <w:tcW w:w="10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4,374</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187,000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81 %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25,000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Dawson's</w:t>
            </w: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CVS / Gold's Gym / Multiple</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Square</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Market</w:t>
            </w: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Rollingwood</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12,626</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14</w:t>
            </w:r>
          </w:p>
        </w:tc>
        <w:tc>
          <w:tcPr>
            <w:tcW w:w="80" w:type="dxa"/>
            <w:vAlign w:val="bottom"/>
          </w:tcPr>
          <w:p>
            <w:pPr>
              <w:spacing w:after="0"/>
              <w:rPr>
                <w:sz w:val="10"/>
                <w:szCs w:val="10"/>
                <w:color w:val="auto"/>
              </w:rPr>
            </w:pPr>
          </w:p>
        </w:tc>
        <w:tc>
          <w:tcPr>
            <w:tcW w:w="720" w:type="dxa"/>
            <w:vAlign w:val="bottom"/>
            <w:gridSpan w:val="2"/>
          </w:tcPr>
          <w:p>
            <w:pPr>
              <w:ind w:left="400"/>
              <w:spacing w:after="0" w:line="122" w:lineRule="exact"/>
              <w:rPr>
                <w:sz w:val="20"/>
                <w:szCs w:val="20"/>
                <w:color w:val="auto"/>
              </w:rPr>
            </w:pPr>
            <w:r>
              <w:rPr>
                <w:rFonts w:ascii="Arial" w:cs="Arial" w:eastAsia="Arial" w:hAnsi="Arial"/>
                <w:sz w:val="13"/>
                <w:szCs w:val="13"/>
                <w:color w:val="auto"/>
              </w:rPr>
              <w:t>N/A</w:t>
            </w: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80" w:type="dxa"/>
            <w:vAlign w:val="bottom"/>
          </w:tcPr>
          <w:p>
            <w:pPr>
              <w:jc w:val="center"/>
              <w:spacing w:after="0" w:line="122" w:lineRule="exact"/>
              <w:rPr>
                <w:sz w:val="20"/>
                <w:szCs w:val="20"/>
                <w:color w:val="auto"/>
              </w:rPr>
            </w:pPr>
            <w:r>
              <w:rPr>
                <w:rFonts w:ascii="Arial" w:cs="Arial" w:eastAsia="Arial" w:hAnsi="Arial"/>
                <w:sz w:val="13"/>
                <w:szCs w:val="13"/>
                <w:color w:val="auto"/>
                <w:w w:val="82"/>
              </w:rPr>
              <w:t>282</w:t>
            </w: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Apartments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Tower Shopping</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22,750</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111,000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26,000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L.A. Mart</w:t>
            </w: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Talbots / Total Wine &amp; More</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Center</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Twinbrooke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35,365</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109,000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87 %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35,000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Safeway</w:t>
            </w: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Shopping Centre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Tyson's Station</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5,811</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15,000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Trader Joe's</w:t>
            </w:r>
          </w:p>
        </w:tc>
        <w:tc>
          <w:tcPr>
            <w:tcW w:w="2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Village at</w:t>
            </w:r>
          </w:p>
        </w:tc>
        <w:tc>
          <w:tcPr>
            <w:tcW w:w="420" w:type="dxa"/>
            <w:vAlign w:val="bottom"/>
            <w:gridSpan w:val="2"/>
          </w:tcPr>
          <w:p>
            <w:pPr>
              <w:jc w:val="center"/>
              <w:spacing w:after="0" w:line="122" w:lineRule="exact"/>
              <w:rPr>
                <w:sz w:val="20"/>
                <w:szCs w:val="20"/>
                <w:color w:val="auto"/>
              </w:rPr>
            </w:pPr>
            <w:r>
              <w:rPr>
                <w:rFonts w:ascii="Arial" w:cs="Arial" w:eastAsia="Arial" w:hAnsi="Arial"/>
                <w:sz w:val="13"/>
                <w:szCs w:val="13"/>
                <w:color w:val="auto"/>
                <w:w w:val="87"/>
              </w:rPr>
              <w:t>(7)</w:t>
            </w: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70,185</w:t>
            </w:r>
          </w:p>
        </w:tc>
        <w:tc>
          <w:tcPr>
            <w:tcW w:w="1040" w:type="dxa"/>
            <w:vAlign w:val="bottom"/>
          </w:tcPr>
          <w:p>
            <w:pPr>
              <w:jc w:val="right"/>
              <w:spacing w:after="0" w:line="122" w:lineRule="exact"/>
              <w:rPr>
                <w:sz w:val="20"/>
                <w:szCs w:val="20"/>
                <w:color w:val="auto"/>
              </w:rPr>
            </w:pPr>
            <w:r>
              <w:rPr>
                <w:rFonts w:ascii="Arial" w:cs="Arial" w:eastAsia="Arial" w:hAnsi="Arial"/>
                <w:sz w:val="13"/>
                <w:szCs w:val="13"/>
                <w:color w:val="auto"/>
              </w:rPr>
              <w:t>6,886</w:t>
            </w: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267,000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84 %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28,000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Harris Teeter</w:t>
            </w: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rPr>
              <w:t>CVS / AMC / Carlyle Grand Café</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Shirlington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Wildwood</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Washington-Arlington-Alexandria, DC-</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27,329</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20,000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Balducci's</w:t>
            </w: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CVS / Flower Child</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Shopping Center</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VA-MD-WV</w:t>
            </w:r>
          </w:p>
        </w:tc>
        <w:tc>
          <w:tcPr>
            <w:tcW w:w="620" w:type="dxa"/>
            <w:vAlign w:val="bottom"/>
            <w:tcBorders>
              <w:bottom w:val="single" w:sz="8" w:color="auto"/>
            </w:tcBorders>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line="144" w:lineRule="exact"/>
              <w:rPr>
                <w:sz w:val="20"/>
                <w:szCs w:val="20"/>
                <w:color w:val="auto"/>
              </w:rPr>
            </w:pPr>
            <w:r>
              <w:rPr>
                <w:rFonts w:ascii="Arial" w:cs="Arial" w:eastAsia="Arial" w:hAnsi="Arial"/>
                <w:sz w:val="13"/>
                <w:szCs w:val="13"/>
                <w:b w:val="1"/>
                <w:bCs w:val="1"/>
                <w:color w:val="auto"/>
                <w:w w:val="98"/>
              </w:rPr>
              <w:t>Total Washington Metropolitan Area</w:t>
            </w:r>
          </w:p>
        </w:tc>
        <w:tc>
          <w:tcPr>
            <w:tcW w:w="620" w:type="dxa"/>
            <w:vAlign w:val="bottom"/>
          </w:tcPr>
          <w:p>
            <w:pPr>
              <w:jc w:val="right"/>
              <w:spacing w:after="0"/>
              <w:rPr>
                <w:sz w:val="20"/>
                <w:szCs w:val="20"/>
                <w:color w:val="auto"/>
              </w:rPr>
            </w:pPr>
            <w:r>
              <w:rPr>
                <w:rFonts w:ascii="Arial" w:cs="Arial" w:eastAsia="Arial" w:hAnsi="Arial"/>
                <w:sz w:val="13"/>
                <w:szCs w:val="13"/>
                <w:color w:val="auto"/>
                <w:w w:val="96"/>
              </w:rPr>
              <w:t>2,280,294</w:t>
            </w:r>
          </w:p>
        </w:tc>
        <w:tc>
          <w:tcPr>
            <w:tcW w:w="10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442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6,232,000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93 %</w:t>
            </w: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NY Metro/New Jersey</w:t>
            </w:r>
          </w:p>
        </w:tc>
        <w:tc>
          <w:tcPr>
            <w:tcW w:w="2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Brick Plaza</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6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91"/>
              </w:rPr>
              <w:t>New York-Newark-Jersey City, NY-NJ-PA</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103,527</w:t>
            </w:r>
          </w:p>
        </w:tc>
        <w:tc>
          <w:tcPr>
            <w:tcW w:w="10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408,000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93 %</w:t>
            </w:r>
          </w:p>
        </w:tc>
        <w:tc>
          <w:tcPr>
            <w:tcW w:w="68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90"/>
              </w:rPr>
              <w:t>14,000</w:t>
            </w:r>
          </w:p>
        </w:tc>
        <w:tc>
          <w:tcPr>
            <w:tcW w:w="84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rPr>
              <w:t>Trader Joe's</w:t>
            </w:r>
          </w:p>
        </w:tc>
        <w:tc>
          <w:tcPr>
            <w:tcW w:w="200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AMC / HomeGoods / Ulta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Burlington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Brook 35</w:t>
            </w:r>
          </w:p>
        </w:tc>
        <w:tc>
          <w:tcPr>
            <w:tcW w:w="420" w:type="dxa"/>
            <w:vAlign w:val="bottom"/>
            <w:gridSpan w:val="2"/>
          </w:tcPr>
          <w:p>
            <w:pPr>
              <w:jc w:val="center"/>
              <w:spacing w:after="0" w:line="122" w:lineRule="exact"/>
              <w:rPr>
                <w:sz w:val="20"/>
                <w:szCs w:val="20"/>
                <w:color w:val="auto"/>
              </w:rPr>
            </w:pPr>
            <w:r>
              <w:rPr>
                <w:rFonts w:ascii="Arial" w:cs="Arial" w:eastAsia="Arial" w:hAnsi="Arial"/>
                <w:sz w:val="13"/>
                <w:szCs w:val="13"/>
                <w:color w:val="auto"/>
                <w:w w:val="95"/>
              </w:rPr>
              <w:t>(4) (6)</w:t>
            </w: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1"/>
              </w:rPr>
              <w:t>New York-Newark-Jersey City, NY-NJ-PA</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49,966</w:t>
            </w:r>
          </w:p>
        </w:tc>
        <w:tc>
          <w:tcPr>
            <w:tcW w:w="1040" w:type="dxa"/>
            <w:vAlign w:val="bottom"/>
          </w:tcPr>
          <w:p>
            <w:pPr>
              <w:jc w:val="right"/>
              <w:spacing w:after="0" w:line="122" w:lineRule="exact"/>
              <w:rPr>
                <w:sz w:val="20"/>
                <w:szCs w:val="20"/>
                <w:color w:val="auto"/>
              </w:rPr>
            </w:pPr>
            <w:r>
              <w:rPr>
                <w:rFonts w:ascii="Arial" w:cs="Arial" w:eastAsia="Arial" w:hAnsi="Arial"/>
                <w:sz w:val="13"/>
                <w:szCs w:val="13"/>
                <w:color w:val="auto"/>
              </w:rPr>
              <w:t>11,500</w:t>
            </w: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99,000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92 %</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w w:val="97"/>
              </w:rPr>
              <w:t>Banana Republic / Gap / Williams-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Sonoma</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Darien Commons</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Bridgeport-Stamford-Norwalk, CT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97,499</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89 %</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Equinox / Walgreens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Fresh Meadows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w w:val="91"/>
              </w:rPr>
              <w:t>New York-Newark-Jersey City, NY-NJ-PA</w:t>
            </w:r>
          </w:p>
        </w:tc>
        <w:tc>
          <w:tcPr>
            <w:tcW w:w="620" w:type="dxa"/>
            <w:vAlign w:val="bottom"/>
          </w:tcPr>
          <w:p>
            <w:pPr>
              <w:jc w:val="right"/>
              <w:spacing w:after="0"/>
              <w:rPr>
                <w:sz w:val="20"/>
                <w:szCs w:val="20"/>
                <w:color w:val="auto"/>
              </w:rPr>
            </w:pPr>
            <w:r>
              <w:rPr>
                <w:rFonts w:ascii="Arial" w:cs="Arial" w:eastAsia="Arial" w:hAnsi="Arial"/>
                <w:sz w:val="13"/>
                <w:szCs w:val="13"/>
                <w:color w:val="auto"/>
              </w:rPr>
              <w:t>93,877</w:t>
            </w:r>
          </w:p>
        </w:tc>
        <w:tc>
          <w:tcPr>
            <w:tcW w:w="10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409,000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95 %</w:t>
            </w:r>
          </w:p>
        </w:tc>
        <w:tc>
          <w:tcPr>
            <w:tcW w:w="6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0"/>
              </w:rPr>
              <w:t>15,000</w:t>
            </w:r>
          </w:p>
        </w:tc>
        <w:tc>
          <w:tcPr>
            <w:tcW w:w="840" w:type="dxa"/>
            <w:vAlign w:val="bottom"/>
          </w:tcPr>
          <w:p>
            <w:pPr>
              <w:ind w:left="60"/>
              <w:spacing w:after="0"/>
              <w:rPr>
                <w:sz w:val="20"/>
                <w:szCs w:val="20"/>
                <w:color w:val="auto"/>
              </w:rPr>
            </w:pPr>
            <w:r>
              <w:rPr>
                <w:rFonts w:ascii="Arial" w:cs="Arial" w:eastAsia="Arial" w:hAnsi="Arial"/>
                <w:sz w:val="13"/>
                <w:szCs w:val="13"/>
                <w:color w:val="auto"/>
                <w:w w:val="94"/>
              </w:rPr>
              <w:t>Island of Gold</w:t>
            </w:r>
          </w:p>
        </w:tc>
        <w:tc>
          <w:tcPr>
            <w:tcW w:w="2000" w:type="dxa"/>
            <w:vAlign w:val="bottom"/>
          </w:tcPr>
          <w:p>
            <w:pPr>
              <w:ind w:left="40"/>
              <w:spacing w:after="0"/>
              <w:rPr>
                <w:sz w:val="20"/>
                <w:szCs w:val="20"/>
                <w:color w:val="auto"/>
              </w:rPr>
            </w:pPr>
            <w:r>
              <w:rPr>
                <w:rFonts w:ascii="Arial" w:cs="Arial" w:eastAsia="Arial" w:hAnsi="Arial"/>
                <w:sz w:val="13"/>
                <w:szCs w:val="13"/>
                <w:color w:val="auto"/>
              </w:rPr>
              <w:t>AMC / Kohl's / Michaels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Georgetowne</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1"/>
              </w:rPr>
              <w:t>New York-Newark-Jersey City, NY-NJ-PA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83,893</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146,000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88 %</w:t>
            </w: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43,000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Foodway</w:t>
            </w: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Five Below / IHOP</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Shopping Center</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Greenlawn Plaza</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1"/>
              </w:rPr>
              <w:t>New York-Newark-Jersey City, NY-NJ-PA</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32,389</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103,000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92 %</w:t>
            </w:r>
          </w:p>
        </w:tc>
        <w:tc>
          <w:tcPr>
            <w:tcW w:w="6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90"/>
              </w:rPr>
              <w:t>46,000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Greenlawn</w:t>
            </w: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rPr>
              <w:t>Tuesday Morning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auto"/>
              </w:rPr>
              <w:t>Farms</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w w:val="92"/>
              </w:rPr>
              <w:t>Greenwich Avenue</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Bridgeport-Stamford-Norwalk, CT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23,748</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Saks Fifth Avenue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Hauppauge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Arial" w:cs="Arial" w:eastAsia="Arial" w:hAnsi="Arial"/>
                <w:sz w:val="13"/>
                <w:szCs w:val="13"/>
                <w:color w:val="auto"/>
                <w:w w:val="91"/>
              </w:rPr>
              <w:t>New York-Newark-Jersey City, NY-NJ-PA</w:t>
            </w:r>
          </w:p>
        </w:tc>
        <w:tc>
          <w:tcPr>
            <w:tcW w:w="620" w:type="dxa"/>
            <w:vAlign w:val="bottom"/>
          </w:tcPr>
          <w:p>
            <w:pPr>
              <w:jc w:val="right"/>
              <w:spacing w:after="0"/>
              <w:rPr>
                <w:sz w:val="20"/>
                <w:szCs w:val="20"/>
                <w:color w:val="auto"/>
              </w:rPr>
            </w:pPr>
            <w:r>
              <w:rPr>
                <w:rFonts w:ascii="Arial" w:cs="Arial" w:eastAsia="Arial" w:hAnsi="Arial"/>
                <w:sz w:val="13"/>
                <w:szCs w:val="13"/>
                <w:color w:val="auto"/>
              </w:rPr>
              <w:t>32,087</w:t>
            </w:r>
          </w:p>
        </w:tc>
        <w:tc>
          <w:tcPr>
            <w:tcW w:w="10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133,000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70 %</w:t>
            </w:r>
          </w:p>
        </w:tc>
        <w:tc>
          <w:tcPr>
            <w:tcW w:w="6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0"/>
              </w:rPr>
              <w:t>61,000</w:t>
            </w:r>
          </w:p>
        </w:tc>
        <w:tc>
          <w:tcPr>
            <w:tcW w:w="840" w:type="dxa"/>
            <w:vAlign w:val="bottom"/>
          </w:tcPr>
          <w:p>
            <w:pPr>
              <w:ind w:left="60"/>
              <w:spacing w:after="0"/>
              <w:rPr>
                <w:sz w:val="20"/>
                <w:szCs w:val="20"/>
                <w:color w:val="auto"/>
              </w:rPr>
            </w:pPr>
            <w:r>
              <w:rPr>
                <w:rFonts w:ascii="Arial" w:cs="Arial" w:eastAsia="Arial" w:hAnsi="Arial"/>
                <w:sz w:val="13"/>
                <w:szCs w:val="13"/>
                <w:color w:val="auto"/>
              </w:rPr>
              <w:t>Shop Rite</w:t>
            </w: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Hoboken</w:t>
            </w:r>
          </w:p>
        </w:tc>
        <w:tc>
          <w:tcPr>
            <w:tcW w:w="42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3"/>
                <w:szCs w:val="13"/>
                <w:color w:val="auto"/>
                <w:w w:val="95"/>
              </w:rPr>
              <w:t>(4) (8)</w:t>
            </w:r>
          </w:p>
        </w:tc>
        <w:tc>
          <w:tcPr>
            <w:tcW w:w="226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1"/>
              </w:rPr>
              <w:t>New York-Newark-Jersey City, NY-NJ-PA</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216,203</w:t>
            </w:r>
          </w:p>
        </w:tc>
        <w:tc>
          <w:tcPr>
            <w:tcW w:w="10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104,810</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171,000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8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129</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CVS / New York Sports Club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Sephora / Multiple Restaurants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Arial" w:cs="Arial" w:eastAsia="Arial" w:hAnsi="Arial"/>
                <w:sz w:val="13"/>
                <w:szCs w:val="13"/>
                <w:color w:val="auto"/>
              </w:rPr>
              <w:t>Huntington</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Arial" w:cs="Arial" w:eastAsia="Arial" w:hAnsi="Arial"/>
                <w:sz w:val="13"/>
                <w:szCs w:val="13"/>
                <w:color w:val="auto"/>
                <w:w w:val="91"/>
              </w:rPr>
              <w:t>New York-Newark-Jersey City, NY-NJ-PA</w:t>
            </w: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47,509</w:t>
            </w:r>
          </w:p>
        </w:tc>
        <w:tc>
          <w:tcPr>
            <w:tcW w:w="10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21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212,000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3"/>
                <w:szCs w:val="13"/>
                <w:color w:val="auto"/>
              </w:rPr>
              <w:t>83 %</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0" w:type="dxa"/>
            <w:vAlign w:val="bottom"/>
          </w:tcPr>
          <w:p>
            <w:pPr>
              <w:ind w:left="40"/>
              <w:spacing w:after="0" w:line="122" w:lineRule="exact"/>
              <w:rPr>
                <w:sz w:val="20"/>
                <w:szCs w:val="20"/>
                <w:color w:val="auto"/>
              </w:rPr>
            </w:pPr>
            <w:r>
              <w:rPr>
                <w:rFonts w:ascii="Arial" w:cs="Arial" w:eastAsia="Arial" w:hAnsi="Arial"/>
                <w:sz w:val="13"/>
                <w:szCs w:val="13"/>
                <w:color w:val="auto"/>
                <w:w w:val="90"/>
              </w:rPr>
              <w:t>Petsmart / Buy Buy Baby / Michaels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Ulta</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w w:val="94"/>
              </w:rPr>
              <w:t>Huntington Square</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New York-Newark-Jersey City, NY-NJ-PA</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13,621</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81 %</w:t>
            </w: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Barnes &amp; Noble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030"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2"/>
              </w:rPr>
              <w:t>Grocery</w:t>
            </w:r>
          </w:p>
        </w:tc>
        <w:tc>
          <w:tcPr>
            <w:tcW w:w="8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Grocery</w:t>
            </w: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w w:val="99"/>
              </w:rPr>
              <w:t>Property Name</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0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MSA Description</w:t>
            </w:r>
          </w:p>
        </w:tc>
        <w:tc>
          <w:tcPr>
            <w:tcW w:w="6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Estate at</w:t>
            </w: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Acreage</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GLA (3)</w:t>
            </w:r>
          </w:p>
        </w:tc>
        <w:tc>
          <w:tcPr>
            <w:tcW w:w="560" w:type="dxa"/>
            <w:vAlign w:val="bottom"/>
          </w:tcPr>
          <w:p>
            <w:pPr>
              <w:jc w:val="right"/>
              <w:ind w:right="17"/>
              <w:spacing w:after="0" w:line="122" w:lineRule="exact"/>
              <w:rPr>
                <w:sz w:val="20"/>
                <w:szCs w:val="20"/>
                <w:color w:val="auto"/>
              </w:rPr>
            </w:pPr>
            <w:r>
              <w:rPr>
                <w:rFonts w:ascii="Arial" w:cs="Arial" w:eastAsia="Arial" w:hAnsi="Arial"/>
                <w:sz w:val="13"/>
                <w:szCs w:val="13"/>
                <w:b w:val="1"/>
                <w:bCs w:val="1"/>
                <w:color w:val="auto"/>
              </w:rPr>
              <w:t>Leased</w:t>
            </w:r>
          </w:p>
        </w:tc>
        <w:tc>
          <w:tcPr>
            <w:tcW w:w="66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Anchor</w:t>
            </w:r>
          </w:p>
        </w:tc>
        <w:tc>
          <w:tcPr>
            <w:tcW w:w="840" w:type="dxa"/>
            <w:vAlign w:val="bottom"/>
            <w:vMerge w:val="continue"/>
          </w:tcPr>
          <w:p>
            <w:pPr>
              <w:spacing w:after="0"/>
              <w:rPr>
                <w:sz w:val="10"/>
                <w:szCs w:val="10"/>
                <w:color w:val="auto"/>
              </w:rPr>
            </w:pPr>
          </w:p>
        </w:tc>
        <w:tc>
          <w:tcPr>
            <w:tcW w:w="20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w:t>
            </w:r>
          </w:p>
        </w:tc>
        <w:tc>
          <w:tcPr>
            <w:tcW w:w="54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Anchor</w:t>
            </w:r>
          </w:p>
        </w:tc>
        <w:tc>
          <w:tcPr>
            <w:tcW w:w="2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Arial" w:cs="Arial" w:eastAsia="Arial" w:hAnsi="Arial"/>
                <w:sz w:val="11"/>
                <w:szCs w:val="11"/>
                <w:color w:val="auto"/>
                <w:w w:val="97"/>
              </w:rPr>
              <w:t>(in</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88"/>
              </w:rPr>
              <w:t>(in thousands)</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40" w:type="dxa"/>
            <w:vAlign w:val="bottom"/>
            <w:gridSpan w:val="3"/>
          </w:tcPr>
          <w:p>
            <w:pPr>
              <w:spacing w:after="0" w:line="144" w:lineRule="exact"/>
              <w:rPr>
                <w:sz w:val="20"/>
                <w:szCs w:val="20"/>
                <w:color w:val="auto"/>
              </w:rPr>
            </w:pPr>
            <w:r>
              <w:rPr>
                <w:rFonts w:ascii="Arial" w:cs="Arial" w:eastAsia="Arial" w:hAnsi="Arial"/>
                <w:sz w:val="13"/>
                <w:szCs w:val="13"/>
                <w:color w:val="auto"/>
              </w:rPr>
              <w:t>Melville Mall</w:t>
            </w:r>
          </w:p>
        </w:tc>
        <w:tc>
          <w:tcPr>
            <w:tcW w:w="420" w:type="dxa"/>
            <w:vAlign w:val="bottom"/>
          </w:tcPr>
          <w:p>
            <w:pPr>
              <w:spacing w:after="0"/>
              <w:rPr>
                <w:sz w:val="12"/>
                <w:szCs w:val="12"/>
                <w:color w:val="auto"/>
              </w:rPr>
            </w:pPr>
          </w:p>
        </w:tc>
        <w:tc>
          <w:tcPr>
            <w:tcW w:w="2220" w:type="dxa"/>
            <w:vAlign w:val="bottom"/>
            <w:gridSpan w:val="2"/>
          </w:tcPr>
          <w:p>
            <w:pPr>
              <w:ind w:left="40"/>
              <w:spacing w:after="0" w:line="144" w:lineRule="exact"/>
              <w:rPr>
                <w:sz w:val="20"/>
                <w:szCs w:val="20"/>
                <w:color w:val="auto"/>
              </w:rPr>
            </w:pPr>
            <w:r>
              <w:rPr>
                <w:rFonts w:ascii="Arial" w:cs="Arial" w:eastAsia="Arial" w:hAnsi="Arial"/>
                <w:sz w:val="13"/>
                <w:szCs w:val="13"/>
                <w:color w:val="auto"/>
                <w:w w:val="89"/>
              </w:rPr>
              <w:t>New York-Newark-Jersey City, NY-NJ-PA</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104,020</w:t>
            </w:r>
          </w:p>
        </w:tc>
        <w:tc>
          <w:tcPr>
            <w:tcW w:w="1020" w:type="dxa"/>
            <w:vAlign w:val="bottom"/>
          </w:tcPr>
          <w:p>
            <w:pPr>
              <w:spacing w:after="0"/>
              <w:rPr>
                <w:sz w:val="12"/>
                <w:szCs w:val="12"/>
                <w:color w:val="auto"/>
              </w:rPr>
            </w:pPr>
          </w:p>
        </w:tc>
        <w:tc>
          <w:tcPr>
            <w:tcW w:w="460" w:type="dxa"/>
            <w:vAlign w:val="bottom"/>
          </w:tcPr>
          <w:p>
            <w:pPr>
              <w:jc w:val="right"/>
              <w:spacing w:after="0" w:line="144" w:lineRule="exact"/>
              <w:rPr>
                <w:sz w:val="20"/>
                <w:szCs w:val="20"/>
                <w:color w:val="auto"/>
              </w:rPr>
            </w:pPr>
            <w:r>
              <w:rPr>
                <w:rFonts w:ascii="Arial" w:cs="Arial" w:eastAsia="Arial" w:hAnsi="Arial"/>
                <w:sz w:val="13"/>
                <w:szCs w:val="13"/>
                <w:color w:val="auto"/>
              </w:rPr>
              <w:t>21</w:t>
            </w:r>
          </w:p>
        </w:tc>
        <w:tc>
          <w:tcPr>
            <w:tcW w:w="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247,000</w:t>
            </w:r>
          </w:p>
        </w:tc>
        <w:tc>
          <w:tcPr>
            <w:tcW w:w="8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100 %</w:t>
            </w:r>
          </w:p>
        </w:tc>
        <w:tc>
          <w:tcPr>
            <w:tcW w:w="660" w:type="dxa"/>
            <w:vAlign w:val="bottom"/>
          </w:tcPr>
          <w:p>
            <w:pPr>
              <w:spacing w:after="0"/>
              <w:rPr>
                <w:sz w:val="12"/>
                <w:szCs w:val="12"/>
                <w:color w:val="auto"/>
              </w:rPr>
            </w:pPr>
          </w:p>
        </w:tc>
        <w:tc>
          <w:tcPr>
            <w:tcW w:w="560" w:type="dxa"/>
            <w:vAlign w:val="bottom"/>
          </w:tcPr>
          <w:p>
            <w:pPr>
              <w:jc w:val="center"/>
              <w:spacing w:after="0" w:line="144" w:lineRule="exact"/>
              <w:rPr>
                <w:sz w:val="20"/>
                <w:szCs w:val="20"/>
                <w:color w:val="auto"/>
              </w:rPr>
            </w:pPr>
            <w:r>
              <w:rPr>
                <w:rFonts w:ascii="Arial" w:cs="Arial" w:eastAsia="Arial" w:hAnsi="Arial"/>
                <w:sz w:val="13"/>
                <w:szCs w:val="13"/>
                <w:color w:val="auto"/>
                <w:w w:val="85"/>
              </w:rPr>
              <w:t>53,000</w:t>
            </w:r>
          </w:p>
        </w:tc>
        <w:tc>
          <w:tcPr>
            <w:tcW w:w="840" w:type="dxa"/>
            <w:vAlign w:val="bottom"/>
          </w:tcPr>
          <w:p>
            <w:pPr>
              <w:ind w:left="60"/>
              <w:spacing w:after="0" w:line="144" w:lineRule="exact"/>
              <w:rPr>
                <w:sz w:val="20"/>
                <w:szCs w:val="20"/>
                <w:color w:val="auto"/>
              </w:rPr>
            </w:pPr>
            <w:r>
              <w:rPr>
                <w:rFonts w:ascii="Arial" w:cs="Arial" w:eastAsia="Arial" w:hAnsi="Arial"/>
                <w:sz w:val="13"/>
                <w:szCs w:val="13"/>
                <w:color w:val="auto"/>
              </w:rPr>
              <w:t>Uncle</w:t>
            </w:r>
          </w:p>
        </w:tc>
        <w:tc>
          <w:tcPr>
            <w:tcW w:w="2020" w:type="dxa"/>
            <w:vAlign w:val="bottom"/>
          </w:tcPr>
          <w:p>
            <w:pPr>
              <w:ind w:left="40"/>
              <w:spacing w:after="0" w:line="144" w:lineRule="exact"/>
              <w:rPr>
                <w:sz w:val="20"/>
                <w:szCs w:val="20"/>
                <w:color w:val="auto"/>
              </w:rPr>
            </w:pPr>
            <w:r>
              <w:rPr>
                <w:rFonts w:ascii="Arial" w:cs="Arial" w:eastAsia="Arial" w:hAnsi="Arial"/>
                <w:sz w:val="13"/>
                <w:szCs w:val="13"/>
                <w:color w:val="auto"/>
                <w:w w:val="97"/>
              </w:rPr>
              <w:t>Marshalls / Dick's Sporting Goods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Giuseppe's</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w w:val="97"/>
              </w:rPr>
              <w:t>Field &amp; Stream / Macy's Backstage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auto"/>
              </w:rPr>
              <w:t>Marketplace</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Mercer Mall</w:t>
            </w:r>
          </w:p>
        </w:tc>
        <w:tc>
          <w:tcPr>
            <w:tcW w:w="4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rPr>
              <w:t>(7)</w:t>
            </w:r>
          </w:p>
        </w:tc>
        <w:tc>
          <w:tcPr>
            <w:tcW w:w="22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rPr>
              <w:t>Trenton, NJ</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129,082</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55,228</w:t>
            </w: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551,000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89 %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75,000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Shop Rite</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Ross Dress For Less / Nordstrom</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Rack / REI</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The Grove at</w:t>
            </w:r>
          </w:p>
        </w:tc>
        <w:tc>
          <w:tcPr>
            <w:tcW w:w="420" w:type="dxa"/>
            <w:vAlign w:val="bottom"/>
          </w:tcPr>
          <w:p>
            <w:pPr>
              <w:jc w:val="center"/>
              <w:spacing w:after="0" w:line="122" w:lineRule="exact"/>
              <w:rPr>
                <w:sz w:val="20"/>
                <w:szCs w:val="20"/>
                <w:color w:val="auto"/>
              </w:rPr>
            </w:pPr>
            <w:r>
              <w:rPr>
                <w:rFonts w:ascii="Arial" w:cs="Arial" w:eastAsia="Arial" w:hAnsi="Arial"/>
                <w:sz w:val="13"/>
                <w:szCs w:val="13"/>
                <w:color w:val="auto"/>
                <w:w w:val="90"/>
              </w:rPr>
              <w:t>(4) (6)</w:t>
            </w: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w w:val="89"/>
              </w:rPr>
              <w:t>New York-Newark-Jersey City, NY-NJ-PA</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128,298</w:t>
            </w:r>
          </w:p>
        </w:tc>
        <w:tc>
          <w:tcPr>
            <w:tcW w:w="1020" w:type="dxa"/>
            <w:vAlign w:val="bottom"/>
          </w:tcPr>
          <w:p>
            <w:pPr>
              <w:jc w:val="right"/>
              <w:spacing w:after="0" w:line="122" w:lineRule="exact"/>
              <w:rPr>
                <w:sz w:val="20"/>
                <w:szCs w:val="20"/>
                <w:color w:val="auto"/>
              </w:rPr>
            </w:pPr>
            <w:r>
              <w:rPr>
                <w:rFonts w:ascii="Arial" w:cs="Arial" w:eastAsia="Arial" w:hAnsi="Arial"/>
                <w:sz w:val="13"/>
                <w:szCs w:val="13"/>
                <w:color w:val="auto"/>
              </w:rPr>
              <w:t>43,600</w:t>
            </w: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193,000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98 %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w w:val="96"/>
              </w:rPr>
              <w:t>Lululemon / Anthropologie / Pottery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Shrewsbury</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Barn / Williams-Sonoma</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Troy</w:t>
            </w: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9"/>
              </w:rPr>
              <w:t>New York-Newark-Jersey City, NY-NJ-PA</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41,126</w:t>
            </w:r>
          </w:p>
        </w:tc>
        <w:tc>
          <w:tcPr>
            <w:tcW w:w="10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211,000</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Target / L.A. Fitness / Michaels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Total NY Metro/New Jersey</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1,196,845</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274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3,051,000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92 %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80" w:type="dxa"/>
            <w:vAlign w:val="bottom"/>
            <w:gridSpan w:val="3"/>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6"/>
          </w:tcPr>
          <w:p>
            <w:pPr>
              <w:ind w:left="60"/>
              <w:spacing w:after="0" w:line="135" w:lineRule="exact"/>
              <w:rPr>
                <w:sz w:val="20"/>
                <w:szCs w:val="20"/>
                <w:color w:val="auto"/>
              </w:rPr>
            </w:pPr>
            <w:r>
              <w:rPr>
                <w:rFonts w:ascii="Arial" w:cs="Arial" w:eastAsia="Arial" w:hAnsi="Arial"/>
                <w:sz w:val="13"/>
                <w:szCs w:val="13"/>
                <w:b w:val="1"/>
                <w:bCs w:val="1"/>
                <w:color w:val="auto"/>
              </w:rPr>
              <w:t>Philadelphia Metropolitan Area</w:t>
            </w: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color w:val="auto"/>
              </w:rPr>
              <w:t>Andorra</w:t>
            </w:r>
          </w:p>
        </w:tc>
        <w:tc>
          <w:tcPr>
            <w:tcW w:w="42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40"/>
              <w:spacing w:after="0" w:line="122"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32,126</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270,000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87 %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5"/>
              </w:rPr>
              <w:t>24,000</w:t>
            </w:r>
          </w:p>
        </w:tc>
        <w:tc>
          <w:tcPr>
            <w:tcW w:w="84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w w:val="91"/>
              </w:rPr>
              <w:t>Acme Markets</w:t>
            </w:r>
          </w:p>
        </w:tc>
        <w:tc>
          <w:tcPr>
            <w:tcW w:w="20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TJ Maxx / Kohl's / L.A. Fitness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Bala Cynwyd</w:t>
            </w:r>
          </w:p>
        </w:tc>
        <w:tc>
          <w:tcPr>
            <w:tcW w:w="420" w:type="dxa"/>
            <w:vAlign w:val="bottom"/>
          </w:tcPr>
          <w:p>
            <w:pPr>
              <w:spacing w:after="0"/>
              <w:rPr>
                <w:sz w:val="10"/>
                <w:szCs w:val="10"/>
                <w:color w:val="auto"/>
              </w:rPr>
            </w:pP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66,146</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23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174,000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660" w:type="dxa"/>
            <w:vAlign w:val="bottom"/>
          </w:tcPr>
          <w:p>
            <w:pPr>
              <w:jc w:val="center"/>
              <w:spacing w:after="0" w:line="122" w:lineRule="exact"/>
              <w:rPr>
                <w:sz w:val="20"/>
                <w:szCs w:val="20"/>
                <w:color w:val="auto"/>
              </w:rPr>
            </w:pPr>
            <w:r>
              <w:rPr>
                <w:rFonts w:ascii="Arial" w:cs="Arial" w:eastAsia="Arial" w:hAnsi="Arial"/>
                <w:sz w:val="13"/>
                <w:szCs w:val="13"/>
                <w:color w:val="auto"/>
                <w:w w:val="82"/>
              </w:rPr>
              <w:t>87</w:t>
            </w:r>
          </w:p>
        </w:tc>
        <w:tc>
          <w:tcPr>
            <w:tcW w:w="560" w:type="dxa"/>
            <w:vAlign w:val="bottom"/>
          </w:tcPr>
          <w:p>
            <w:pPr>
              <w:jc w:val="center"/>
              <w:spacing w:after="0" w:line="122" w:lineRule="exact"/>
              <w:rPr>
                <w:sz w:val="20"/>
                <w:szCs w:val="20"/>
                <w:color w:val="auto"/>
              </w:rPr>
            </w:pPr>
            <w:r>
              <w:rPr>
                <w:rFonts w:ascii="Arial" w:cs="Arial" w:eastAsia="Arial" w:hAnsi="Arial"/>
                <w:sz w:val="13"/>
                <w:szCs w:val="13"/>
                <w:color w:val="auto"/>
                <w:w w:val="85"/>
              </w:rPr>
              <w:t>45,000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w w:val="91"/>
              </w:rPr>
              <w:t>Acme Markets</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Michaels / L.A.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Ellisburg</w:t>
            </w:r>
          </w:p>
        </w:tc>
        <w:tc>
          <w:tcPr>
            <w:tcW w:w="42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35,625</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260,000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87 %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47,000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9"/>
              </w:rPr>
              <w:t>Whole Foods</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Buy Buy Baby</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Flourtown</w:t>
            </w:r>
          </w:p>
        </w:tc>
        <w:tc>
          <w:tcPr>
            <w:tcW w:w="420" w:type="dxa"/>
            <w:vAlign w:val="bottom"/>
          </w:tcPr>
          <w:p>
            <w:pPr>
              <w:spacing w:after="0"/>
              <w:rPr>
                <w:sz w:val="10"/>
                <w:szCs w:val="10"/>
                <w:color w:val="auto"/>
              </w:rPr>
            </w:pP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17,087</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24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156,000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95 %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3"/>
                <w:szCs w:val="13"/>
                <w:color w:val="auto"/>
                <w:w w:val="85"/>
              </w:rPr>
              <w:t>75,000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Giant Food</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Movie Tavern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w w:val="94"/>
              </w:rPr>
              <w:t>Langhorne Square</w:t>
            </w:r>
          </w:p>
        </w:tc>
        <w:tc>
          <w:tcPr>
            <w:tcW w:w="42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23,434</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223,000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99 %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55,000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Redner's</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Marshalls / Planet Fitness</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40"/>
              <w:spacing w:after="0" w:line="122" w:lineRule="exact"/>
              <w:rPr>
                <w:sz w:val="20"/>
                <w:szCs w:val="20"/>
                <w:color w:val="auto"/>
              </w:rPr>
            </w:pPr>
            <w:r>
              <w:rPr>
                <w:rFonts w:ascii="Arial" w:cs="Arial" w:eastAsia="Arial" w:hAnsi="Arial"/>
                <w:sz w:val="13"/>
                <w:szCs w:val="13"/>
                <w:color w:val="auto"/>
              </w:rPr>
              <w:t>DE-MD</w:t>
            </w: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rPr>
              <w:t>Warehouse</w:t>
            </w:r>
          </w:p>
        </w:tc>
        <w:tc>
          <w:tcPr>
            <w:tcW w:w="2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Markets</w:t>
            </w: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Lawrence Park</w:t>
            </w:r>
          </w:p>
        </w:tc>
        <w:tc>
          <w:tcPr>
            <w:tcW w:w="420" w:type="dxa"/>
            <w:vAlign w:val="bottom"/>
          </w:tcPr>
          <w:p>
            <w:pPr>
              <w:spacing w:after="0"/>
              <w:rPr>
                <w:sz w:val="10"/>
                <w:szCs w:val="10"/>
                <w:color w:val="auto"/>
              </w:rPr>
            </w:pP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48,357</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29</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359,000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90 %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3"/>
                <w:szCs w:val="13"/>
                <w:color w:val="auto"/>
                <w:w w:val="85"/>
              </w:rPr>
              <w:t>53,000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w w:val="91"/>
              </w:rPr>
              <w:t>Acme Markets</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w w:val="99"/>
              </w:rPr>
              <w:t>TJ Maxx / HomeGoods / Barnes &amp;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Noble</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Northeast</w:t>
            </w:r>
          </w:p>
        </w:tc>
        <w:tc>
          <w:tcPr>
            <w:tcW w:w="42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34,289</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227,000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82 %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4"/>
              </w:rPr>
              <w:t>Marshalls / Ulta / Skechers / Crunch</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Fitness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Town Center of</w:t>
            </w:r>
          </w:p>
        </w:tc>
        <w:tc>
          <w:tcPr>
            <w:tcW w:w="420" w:type="dxa"/>
            <w:vAlign w:val="bottom"/>
          </w:tcPr>
          <w:p>
            <w:pPr>
              <w:spacing w:after="0"/>
              <w:rPr>
                <w:sz w:val="10"/>
                <w:szCs w:val="10"/>
                <w:color w:val="auto"/>
              </w:rPr>
            </w:pP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16,701</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17</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124,000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87 %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3"/>
                <w:szCs w:val="13"/>
                <w:color w:val="auto"/>
                <w:w w:val="85"/>
              </w:rPr>
              <w:t>36,000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Giant Food</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Rite Aid / Dollar Tree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New Britain</w:t>
            </w:r>
          </w:p>
        </w:tc>
        <w:tc>
          <w:tcPr>
            <w:tcW w:w="420" w:type="dxa"/>
            <w:vAlign w:val="bottom"/>
          </w:tcPr>
          <w:p>
            <w:pPr>
              <w:spacing w:after="0"/>
              <w:rPr>
                <w:sz w:val="14"/>
                <w:szCs w:val="14"/>
                <w:color w:val="auto"/>
              </w:rPr>
            </w:pPr>
          </w:p>
        </w:tc>
        <w:tc>
          <w:tcPr>
            <w:tcW w:w="222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Willow Grove</w:t>
            </w:r>
          </w:p>
        </w:tc>
        <w:tc>
          <w:tcPr>
            <w:tcW w:w="42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32,305</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183,000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58 %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Wynnewood</w:t>
            </w:r>
          </w:p>
        </w:tc>
        <w:tc>
          <w:tcPr>
            <w:tcW w:w="420" w:type="dxa"/>
            <w:vAlign w:val="bottom"/>
          </w:tcPr>
          <w:p>
            <w:pPr>
              <w:spacing w:after="0"/>
              <w:rPr>
                <w:sz w:val="10"/>
                <w:szCs w:val="10"/>
                <w:color w:val="auto"/>
              </w:rPr>
            </w:pP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w w:val="89"/>
              </w:rPr>
              <w:t>Philadelphia-Camden-Wilmington, PA-NJ-</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42,597</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14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249,000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660" w:type="dxa"/>
            <w:vAlign w:val="bottom"/>
          </w:tcPr>
          <w:p>
            <w:pPr>
              <w:jc w:val="center"/>
              <w:spacing w:after="0" w:line="122" w:lineRule="exact"/>
              <w:rPr>
                <w:sz w:val="20"/>
                <w:szCs w:val="20"/>
                <w:color w:val="auto"/>
              </w:rPr>
            </w:pPr>
            <w:r>
              <w:rPr>
                <w:rFonts w:ascii="Arial" w:cs="Arial" w:eastAsia="Arial" w:hAnsi="Arial"/>
                <w:sz w:val="13"/>
                <w:szCs w:val="13"/>
                <w:color w:val="auto"/>
                <w:w w:val="82"/>
              </w:rPr>
              <w:t>9</w:t>
            </w:r>
          </w:p>
        </w:tc>
        <w:tc>
          <w:tcPr>
            <w:tcW w:w="560" w:type="dxa"/>
            <w:vAlign w:val="bottom"/>
          </w:tcPr>
          <w:p>
            <w:pPr>
              <w:jc w:val="center"/>
              <w:spacing w:after="0" w:line="122" w:lineRule="exact"/>
              <w:rPr>
                <w:sz w:val="20"/>
                <w:szCs w:val="20"/>
                <w:color w:val="auto"/>
              </w:rPr>
            </w:pPr>
            <w:r>
              <w:rPr>
                <w:rFonts w:ascii="Arial" w:cs="Arial" w:eastAsia="Arial" w:hAnsi="Arial"/>
                <w:sz w:val="13"/>
                <w:szCs w:val="13"/>
                <w:color w:val="auto"/>
                <w:w w:val="85"/>
              </w:rPr>
              <w:t>98,000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Giant Food</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Bed, Bath &amp; Beyond / Old Navy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DE-MD</w:t>
            </w:r>
          </w:p>
        </w:tc>
        <w:tc>
          <w:tcPr>
            <w:tcW w:w="640" w:type="dxa"/>
            <w:vAlign w:val="bottom"/>
            <w:tcBorders>
              <w:bottom w:val="single" w:sz="8" w:color="auto"/>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DSW</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w w:val="95"/>
              </w:rPr>
              <w:t>Total Philadelphia Metropolitan Area</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348,667</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2,225,000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gridSpan w:val="2"/>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w w:val="88"/>
              </w:rPr>
              <w:t>New England</w:t>
            </w:r>
          </w:p>
        </w:tc>
        <w:tc>
          <w:tcPr>
            <w:tcW w:w="24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9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2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Assembly Row /</w:t>
            </w:r>
          </w:p>
        </w:tc>
        <w:tc>
          <w:tcPr>
            <w:tcW w:w="420" w:type="dxa"/>
            <w:vAlign w:val="bottom"/>
          </w:tcPr>
          <w:p>
            <w:pPr>
              <w:jc w:val="center"/>
              <w:spacing w:after="0" w:line="122" w:lineRule="exact"/>
              <w:rPr>
                <w:sz w:val="20"/>
                <w:szCs w:val="20"/>
                <w:color w:val="auto"/>
              </w:rPr>
            </w:pPr>
            <w:r>
              <w:rPr>
                <w:rFonts w:ascii="Arial" w:cs="Arial" w:eastAsia="Arial" w:hAnsi="Arial"/>
                <w:sz w:val="13"/>
                <w:szCs w:val="13"/>
                <w:color w:val="auto"/>
              </w:rPr>
              <w:t>(5)</w:t>
            </w: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rPr>
              <w:t>Boston-Cambridge-Newton, MA-NH</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w w:val="96"/>
              </w:rPr>
              <w:t>1,059,709</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65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w w:val="96"/>
              </w:rPr>
              <w:t>1,057,000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95 %</w:t>
            </w:r>
          </w:p>
        </w:tc>
        <w:tc>
          <w:tcPr>
            <w:tcW w:w="660" w:type="dxa"/>
            <w:vAlign w:val="bottom"/>
          </w:tcPr>
          <w:p>
            <w:pPr>
              <w:jc w:val="center"/>
              <w:spacing w:after="0" w:line="122" w:lineRule="exact"/>
              <w:rPr>
                <w:sz w:val="20"/>
                <w:szCs w:val="20"/>
                <w:color w:val="auto"/>
              </w:rPr>
            </w:pPr>
            <w:r>
              <w:rPr>
                <w:rFonts w:ascii="Arial" w:cs="Arial" w:eastAsia="Arial" w:hAnsi="Arial"/>
                <w:sz w:val="13"/>
                <w:szCs w:val="13"/>
                <w:color w:val="auto"/>
                <w:w w:val="82"/>
              </w:rPr>
              <w:t>814</w:t>
            </w:r>
          </w:p>
        </w:tc>
        <w:tc>
          <w:tcPr>
            <w:tcW w:w="560" w:type="dxa"/>
            <w:vAlign w:val="bottom"/>
          </w:tcPr>
          <w:p>
            <w:pPr>
              <w:jc w:val="center"/>
              <w:spacing w:after="0" w:line="122" w:lineRule="exact"/>
              <w:rPr>
                <w:sz w:val="20"/>
                <w:szCs w:val="20"/>
                <w:color w:val="auto"/>
              </w:rPr>
            </w:pPr>
            <w:r>
              <w:rPr>
                <w:rFonts w:ascii="Arial" w:cs="Arial" w:eastAsia="Arial" w:hAnsi="Arial"/>
                <w:sz w:val="13"/>
                <w:szCs w:val="13"/>
                <w:color w:val="auto"/>
                <w:w w:val="85"/>
              </w:rPr>
              <w:t>18,000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Trader Joe's</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TJ Maxx / AMC / LEGOLAND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Assembly Square</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Discovery Center / Multiple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Marketplace</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Restaurants</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Campus Plaza</w:t>
            </w: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30,529</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Roche Bros.</w:t>
            </w: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Burlington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w w:val="92"/>
              </w:rPr>
              <w:t>Chelsea Commons</w:t>
            </w:r>
          </w:p>
        </w:tc>
        <w:tc>
          <w:tcPr>
            <w:tcW w:w="420" w:type="dxa"/>
            <w:vAlign w:val="bottom"/>
          </w:tcPr>
          <w:p>
            <w:pPr>
              <w:spacing w:after="0"/>
              <w:rPr>
                <w:sz w:val="14"/>
                <w:szCs w:val="14"/>
                <w:color w:val="auto"/>
              </w:rPr>
            </w:pPr>
          </w:p>
        </w:tc>
        <w:tc>
          <w:tcPr>
            <w:tcW w:w="2220" w:type="dxa"/>
            <w:vAlign w:val="bottom"/>
            <w:gridSpan w:val="2"/>
          </w:tcPr>
          <w:p>
            <w:pPr>
              <w:ind w:left="40"/>
              <w:spacing w:after="0"/>
              <w:rPr>
                <w:sz w:val="20"/>
                <w:szCs w:val="20"/>
                <w:color w:val="auto"/>
              </w:rPr>
            </w:pPr>
            <w:r>
              <w:rPr>
                <w:rFonts w:ascii="Arial" w:cs="Arial" w:eastAsia="Arial" w:hAnsi="Arial"/>
                <w:sz w:val="13"/>
                <w:szCs w:val="13"/>
                <w:color w:val="auto"/>
              </w:rPr>
              <w:t>Boston-Cambridge-Newton, MA-NH</w:t>
            </w:r>
          </w:p>
        </w:tc>
        <w:tc>
          <w:tcPr>
            <w:tcW w:w="640" w:type="dxa"/>
            <w:vAlign w:val="bottom"/>
          </w:tcPr>
          <w:p>
            <w:pPr>
              <w:jc w:val="right"/>
              <w:spacing w:after="0"/>
              <w:rPr>
                <w:sz w:val="20"/>
                <w:szCs w:val="20"/>
                <w:color w:val="auto"/>
              </w:rPr>
            </w:pPr>
            <w:r>
              <w:rPr>
                <w:rFonts w:ascii="Arial" w:cs="Arial" w:eastAsia="Arial" w:hAnsi="Arial"/>
                <w:sz w:val="13"/>
                <w:szCs w:val="13"/>
                <w:color w:val="auto"/>
              </w:rPr>
              <w:t>30,498</w:t>
            </w:r>
          </w:p>
        </w:tc>
        <w:tc>
          <w:tcPr>
            <w:tcW w:w="1020" w:type="dxa"/>
            <w:vAlign w:val="bottom"/>
          </w:tcPr>
          <w:p>
            <w:pPr>
              <w:jc w:val="right"/>
              <w:spacing w:after="0"/>
              <w:rPr>
                <w:sz w:val="20"/>
                <w:szCs w:val="20"/>
                <w:color w:val="auto"/>
              </w:rPr>
            </w:pPr>
            <w:r>
              <w:rPr>
                <w:rFonts w:ascii="Arial" w:cs="Arial" w:eastAsia="Arial" w:hAnsi="Arial"/>
                <w:sz w:val="13"/>
                <w:szCs w:val="13"/>
                <w:color w:val="auto"/>
              </w:rPr>
              <w:t>4,948</w:t>
            </w:r>
          </w:p>
        </w:tc>
        <w:tc>
          <w:tcPr>
            <w:tcW w:w="460" w:type="dxa"/>
            <w:vAlign w:val="bottom"/>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222,000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Home Depot / Planet Fitness</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Dedham Plaza</w:t>
            </w: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47,444</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80,000</w:t>
            </w:r>
          </w:p>
        </w:tc>
        <w:tc>
          <w:tcPr>
            <w:tcW w:w="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Star Market</w:t>
            </w: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Planet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Linden Square</w:t>
            </w:r>
          </w:p>
        </w:tc>
        <w:tc>
          <w:tcPr>
            <w:tcW w:w="420" w:type="dxa"/>
            <w:vAlign w:val="bottom"/>
          </w:tcPr>
          <w:p>
            <w:pPr>
              <w:spacing w:after="0"/>
              <w:rPr>
                <w:sz w:val="14"/>
                <w:szCs w:val="14"/>
                <w:color w:val="auto"/>
              </w:rPr>
            </w:pPr>
          </w:p>
        </w:tc>
        <w:tc>
          <w:tcPr>
            <w:tcW w:w="2220" w:type="dxa"/>
            <w:vAlign w:val="bottom"/>
            <w:gridSpan w:val="2"/>
          </w:tcPr>
          <w:p>
            <w:pPr>
              <w:ind w:left="40"/>
              <w:spacing w:after="0"/>
              <w:rPr>
                <w:sz w:val="20"/>
                <w:szCs w:val="20"/>
                <w:color w:val="auto"/>
              </w:rPr>
            </w:pPr>
            <w:r>
              <w:rPr>
                <w:rFonts w:ascii="Arial" w:cs="Arial" w:eastAsia="Arial" w:hAnsi="Arial"/>
                <w:sz w:val="13"/>
                <w:szCs w:val="13"/>
                <w:color w:val="auto"/>
              </w:rPr>
              <w:t>Boston-Cambridge-Newton, MA-NH</w:t>
            </w:r>
          </w:p>
        </w:tc>
        <w:tc>
          <w:tcPr>
            <w:tcW w:w="640" w:type="dxa"/>
            <w:vAlign w:val="bottom"/>
          </w:tcPr>
          <w:p>
            <w:pPr>
              <w:jc w:val="right"/>
              <w:spacing w:after="0"/>
              <w:rPr>
                <w:sz w:val="20"/>
                <w:szCs w:val="20"/>
                <w:color w:val="auto"/>
              </w:rPr>
            </w:pPr>
            <w:r>
              <w:rPr>
                <w:rFonts w:ascii="Arial" w:cs="Arial" w:eastAsia="Arial" w:hAnsi="Arial"/>
                <w:sz w:val="13"/>
                <w:szCs w:val="13"/>
                <w:color w:val="auto"/>
              </w:rPr>
              <w:t>151,240</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220,000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92 %</w:t>
            </w:r>
          </w:p>
        </w:tc>
        <w:tc>
          <w:tcPr>
            <w:tcW w:w="660" w:type="dxa"/>
            <w:vAlign w:val="bottom"/>
          </w:tcPr>
          <w:p>
            <w:pPr>
              <w:jc w:val="center"/>
              <w:spacing w:after="0"/>
              <w:rPr>
                <w:sz w:val="20"/>
                <w:szCs w:val="20"/>
                <w:color w:val="auto"/>
              </w:rPr>
            </w:pPr>
            <w:r>
              <w:rPr>
                <w:rFonts w:ascii="Arial" w:cs="Arial" w:eastAsia="Arial" w:hAnsi="Arial"/>
                <w:sz w:val="13"/>
                <w:szCs w:val="13"/>
                <w:color w:val="auto"/>
                <w:w w:val="82"/>
              </w:rPr>
              <w:t>7</w:t>
            </w: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50,000</w:t>
            </w:r>
          </w:p>
        </w:tc>
        <w:tc>
          <w:tcPr>
            <w:tcW w:w="840" w:type="dxa"/>
            <w:vAlign w:val="bottom"/>
          </w:tcPr>
          <w:p>
            <w:pPr>
              <w:ind w:left="60"/>
              <w:spacing w:after="0"/>
              <w:rPr>
                <w:sz w:val="20"/>
                <w:szCs w:val="20"/>
                <w:color w:val="auto"/>
              </w:rPr>
            </w:pPr>
            <w:r>
              <w:rPr>
                <w:rFonts w:ascii="Arial" w:cs="Arial" w:eastAsia="Arial" w:hAnsi="Arial"/>
                <w:sz w:val="13"/>
                <w:szCs w:val="13"/>
                <w:color w:val="auto"/>
              </w:rPr>
              <w:t>Roche Bros.</w:t>
            </w:r>
          </w:p>
        </w:tc>
        <w:tc>
          <w:tcPr>
            <w:tcW w:w="2020" w:type="dxa"/>
            <w:vAlign w:val="bottom"/>
          </w:tcPr>
          <w:p>
            <w:pPr>
              <w:ind w:left="4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North Dartmouth</w:t>
            </w: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Providence-Warwick, RI-MA</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9,369</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48,000</w:t>
            </w:r>
          </w:p>
        </w:tc>
        <w:tc>
          <w:tcPr>
            <w:tcW w:w="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Stop &amp; Shop</w:t>
            </w: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w w:val="93"/>
              </w:rPr>
              <w:t>Queen Anne Plaza</w:t>
            </w:r>
          </w:p>
        </w:tc>
        <w:tc>
          <w:tcPr>
            <w:tcW w:w="420" w:type="dxa"/>
            <w:vAlign w:val="bottom"/>
          </w:tcPr>
          <w:p>
            <w:pPr>
              <w:spacing w:after="0"/>
              <w:rPr>
                <w:sz w:val="14"/>
                <w:szCs w:val="14"/>
                <w:color w:val="auto"/>
              </w:rPr>
            </w:pPr>
          </w:p>
        </w:tc>
        <w:tc>
          <w:tcPr>
            <w:tcW w:w="2220" w:type="dxa"/>
            <w:vAlign w:val="bottom"/>
            <w:gridSpan w:val="2"/>
          </w:tcPr>
          <w:p>
            <w:pPr>
              <w:ind w:left="40"/>
              <w:spacing w:after="0"/>
              <w:rPr>
                <w:sz w:val="20"/>
                <w:szCs w:val="20"/>
                <w:color w:val="auto"/>
              </w:rPr>
            </w:pPr>
            <w:r>
              <w:rPr>
                <w:rFonts w:ascii="Arial" w:cs="Arial" w:eastAsia="Arial" w:hAnsi="Arial"/>
                <w:sz w:val="13"/>
                <w:szCs w:val="13"/>
                <w:color w:val="auto"/>
              </w:rPr>
              <w:t>Boston-Cambridge-Newton, MA-NH</w:t>
            </w:r>
          </w:p>
        </w:tc>
        <w:tc>
          <w:tcPr>
            <w:tcW w:w="640" w:type="dxa"/>
            <w:vAlign w:val="bottom"/>
          </w:tcPr>
          <w:p>
            <w:pPr>
              <w:jc w:val="right"/>
              <w:spacing w:after="0"/>
              <w:rPr>
                <w:sz w:val="20"/>
                <w:szCs w:val="20"/>
                <w:color w:val="auto"/>
              </w:rPr>
            </w:pPr>
            <w:r>
              <w:rPr>
                <w:rFonts w:ascii="Arial" w:cs="Arial" w:eastAsia="Arial" w:hAnsi="Arial"/>
                <w:sz w:val="13"/>
                <w:szCs w:val="13"/>
                <w:color w:val="auto"/>
              </w:rPr>
              <w:t>18,584</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149,000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99 %</w:t>
            </w: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50,000</w:t>
            </w:r>
          </w:p>
        </w:tc>
        <w:tc>
          <w:tcPr>
            <w:tcW w:w="840" w:type="dxa"/>
            <w:vAlign w:val="bottom"/>
          </w:tcPr>
          <w:p>
            <w:pPr>
              <w:ind w:left="60"/>
              <w:spacing w:after="0"/>
              <w:rPr>
                <w:sz w:val="20"/>
                <w:szCs w:val="20"/>
                <w:color w:val="auto"/>
              </w:rPr>
            </w:pPr>
            <w:r>
              <w:rPr>
                <w:rFonts w:ascii="Arial" w:cs="Arial" w:eastAsia="Arial" w:hAnsi="Arial"/>
                <w:sz w:val="13"/>
                <w:szCs w:val="13"/>
                <w:color w:val="auto"/>
              </w:rPr>
              <w:t>Big Y Foods</w:t>
            </w:r>
          </w:p>
        </w:tc>
        <w:tc>
          <w:tcPr>
            <w:tcW w:w="2020" w:type="dxa"/>
            <w:vAlign w:val="bottom"/>
          </w:tcPr>
          <w:p>
            <w:pPr>
              <w:ind w:left="40"/>
              <w:spacing w:after="0"/>
              <w:rPr>
                <w:sz w:val="20"/>
                <w:szCs w:val="20"/>
                <w:color w:val="auto"/>
              </w:rPr>
            </w:pPr>
            <w:r>
              <w:rPr>
                <w:rFonts w:ascii="Arial" w:cs="Arial" w:eastAsia="Arial" w:hAnsi="Arial"/>
                <w:sz w:val="13"/>
                <w:szCs w:val="13"/>
                <w:color w:val="auto"/>
              </w:rPr>
              <w:t>TJ Maxx / HomeGoods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Saugus Plaza</w:t>
            </w:r>
          </w:p>
        </w:tc>
        <w:tc>
          <w:tcPr>
            <w:tcW w:w="42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rPr>
              <w:t>Boston-Cambridge-Newton, MA-NH</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17,082</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166,000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97 %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55,000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8"/>
              </w:rPr>
              <w:t>Super Stop &amp;</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Floor &amp; Décor</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Shop</w:t>
            </w: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Total New England</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1,364,455</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215</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2,221,000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95 %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Baltimore</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Governor Plaza</w:t>
            </w:r>
          </w:p>
        </w:tc>
        <w:tc>
          <w:tcPr>
            <w:tcW w:w="420" w:type="dxa"/>
            <w:vAlign w:val="bottom"/>
            <w:shd w:val="clear" w:color="auto" w:fill="CCEEFF"/>
          </w:tcPr>
          <w:p>
            <w:pPr>
              <w:spacing w:after="0"/>
              <w:rPr>
                <w:sz w:val="15"/>
                <w:szCs w:val="15"/>
                <w:color w:val="auto"/>
              </w:rPr>
            </w:pPr>
          </w:p>
        </w:tc>
        <w:tc>
          <w:tcPr>
            <w:tcW w:w="22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Baltimore-Columbia-Towson, MD</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26,346</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16,500</w:t>
            </w:r>
          </w:p>
        </w:tc>
        <w:tc>
          <w:tcPr>
            <w:tcW w:w="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Aldi</w:t>
            </w: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Dick's Sporting Goods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Perring Plaza</w:t>
            </w:r>
          </w:p>
        </w:tc>
        <w:tc>
          <w:tcPr>
            <w:tcW w:w="420" w:type="dxa"/>
            <w:vAlign w:val="bottom"/>
          </w:tcPr>
          <w:p>
            <w:pPr>
              <w:spacing w:after="0"/>
              <w:rPr>
                <w:sz w:val="10"/>
                <w:szCs w:val="10"/>
                <w:color w:val="auto"/>
              </w:rPr>
            </w:pP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rPr>
              <w:t>Baltimore-Columbia-Towson, MD</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34,611</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29</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397,000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88 %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3"/>
                <w:szCs w:val="13"/>
                <w:color w:val="auto"/>
                <w:w w:val="85"/>
              </w:rPr>
              <w:t>58,000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w w:val="85"/>
              </w:rPr>
              <w:t>Shoppers Food</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Home Depot / Micro Center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auto"/>
              </w:rPr>
              <w:t>Warehouse</w:t>
            </w:r>
          </w:p>
        </w:tc>
        <w:tc>
          <w:tcPr>
            <w:tcW w:w="2020" w:type="dxa"/>
            <w:vAlign w:val="bottom"/>
          </w:tcPr>
          <w:p>
            <w:pPr>
              <w:ind w:left="40"/>
              <w:spacing w:after="0"/>
              <w:rPr>
                <w:sz w:val="20"/>
                <w:szCs w:val="20"/>
                <w:color w:val="auto"/>
              </w:rPr>
            </w:pPr>
            <w:r>
              <w:rPr>
                <w:rFonts w:ascii="Arial" w:cs="Arial" w:eastAsia="Arial" w:hAnsi="Arial"/>
                <w:sz w:val="13"/>
                <w:szCs w:val="13"/>
                <w:color w:val="auto"/>
              </w:rPr>
              <w:t>Burlington</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THE AVENUE at</w:t>
            </w:r>
          </w:p>
        </w:tc>
        <w:tc>
          <w:tcPr>
            <w:tcW w:w="4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rPr>
              <w:t>(6)</w:t>
            </w:r>
          </w:p>
        </w:tc>
        <w:tc>
          <w:tcPr>
            <w:tcW w:w="22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rPr>
              <w:t>Baltimore-Columbia-Towson, MD</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122,951</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52,705</w:t>
            </w: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315,000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87 %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AMC / Ulta / Old Navy / Barnes &amp;</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White Marsh</w:t>
            </w: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The Shoppes at</w:t>
            </w:r>
          </w:p>
        </w:tc>
        <w:tc>
          <w:tcPr>
            <w:tcW w:w="420" w:type="dxa"/>
            <w:vAlign w:val="bottom"/>
          </w:tcPr>
          <w:p>
            <w:pPr>
              <w:spacing w:after="0"/>
              <w:rPr>
                <w:sz w:val="10"/>
                <w:szCs w:val="10"/>
                <w:color w:val="auto"/>
              </w:rPr>
            </w:pPr>
          </w:p>
        </w:tc>
        <w:tc>
          <w:tcPr>
            <w:tcW w:w="2220" w:type="dxa"/>
            <w:vAlign w:val="bottom"/>
            <w:gridSpan w:val="2"/>
          </w:tcPr>
          <w:p>
            <w:pPr>
              <w:ind w:left="40"/>
              <w:spacing w:after="0" w:line="122" w:lineRule="exact"/>
              <w:rPr>
                <w:sz w:val="20"/>
                <w:szCs w:val="20"/>
                <w:color w:val="auto"/>
              </w:rPr>
            </w:pPr>
            <w:r>
              <w:rPr>
                <w:rFonts w:ascii="Arial" w:cs="Arial" w:eastAsia="Arial" w:hAnsi="Arial"/>
                <w:sz w:val="13"/>
                <w:szCs w:val="13"/>
                <w:color w:val="auto"/>
              </w:rPr>
              <w:t>Baltimore-Columbia-Towson, MD</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18,467</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32,000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w w:val="91"/>
              </w:rPr>
              <w:t>Nottingham Square</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w w:val="89"/>
              </w:rPr>
              <w:t>Towson Residential</w:t>
            </w:r>
          </w:p>
        </w:tc>
        <w:tc>
          <w:tcPr>
            <w:tcW w:w="420" w:type="dxa"/>
            <w:vAlign w:val="bottom"/>
            <w:shd w:val="clear" w:color="auto" w:fill="CCEEFF"/>
          </w:tcPr>
          <w:p>
            <w:pPr>
              <w:spacing w:after="0"/>
              <w:rPr>
                <w:sz w:val="11"/>
                <w:szCs w:val="11"/>
                <w:color w:val="auto"/>
              </w:rPr>
            </w:pPr>
          </w:p>
        </w:tc>
        <w:tc>
          <w:tcPr>
            <w:tcW w:w="222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rPr>
              <w:t>Baltimore-Columbia-Towson, MD</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22,402</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105</w:t>
            </w: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(Flats @ 703)</w:t>
            </w: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w w:val="93"/>
              </w:rPr>
              <w:t>White Marsh Plaza</w:t>
            </w:r>
          </w:p>
        </w:tc>
        <w:tc>
          <w:tcPr>
            <w:tcW w:w="420" w:type="dxa"/>
            <w:vAlign w:val="bottom"/>
          </w:tcPr>
          <w:p>
            <w:pPr>
              <w:spacing w:after="0"/>
              <w:rPr>
                <w:sz w:val="13"/>
                <w:szCs w:val="13"/>
                <w:color w:val="auto"/>
              </w:rPr>
            </w:pPr>
          </w:p>
        </w:tc>
        <w:tc>
          <w:tcPr>
            <w:tcW w:w="2220" w:type="dxa"/>
            <w:vAlign w:val="bottom"/>
            <w:gridSpan w:val="2"/>
          </w:tcPr>
          <w:p>
            <w:pPr>
              <w:ind w:left="40"/>
              <w:spacing w:after="0"/>
              <w:rPr>
                <w:sz w:val="20"/>
                <w:szCs w:val="20"/>
                <w:color w:val="auto"/>
              </w:rPr>
            </w:pPr>
            <w:r>
              <w:rPr>
                <w:rFonts w:ascii="Arial" w:cs="Arial" w:eastAsia="Arial" w:hAnsi="Arial"/>
                <w:sz w:val="13"/>
                <w:szCs w:val="13"/>
                <w:color w:val="auto"/>
              </w:rPr>
              <w:t>Baltimore-Columbia-Towson, MD</w:t>
            </w:r>
          </w:p>
        </w:tc>
        <w:tc>
          <w:tcPr>
            <w:tcW w:w="640" w:type="dxa"/>
            <w:vAlign w:val="bottom"/>
          </w:tcPr>
          <w:p>
            <w:pPr>
              <w:jc w:val="right"/>
              <w:spacing w:after="0"/>
              <w:rPr>
                <w:sz w:val="20"/>
                <w:szCs w:val="20"/>
                <w:color w:val="auto"/>
              </w:rPr>
            </w:pPr>
            <w:r>
              <w:rPr>
                <w:rFonts w:ascii="Arial" w:cs="Arial" w:eastAsia="Arial" w:hAnsi="Arial"/>
                <w:sz w:val="13"/>
                <w:szCs w:val="13"/>
                <w:color w:val="auto"/>
              </w:rPr>
              <w:t>26,506</w:t>
            </w:r>
          </w:p>
        </w:tc>
        <w:tc>
          <w:tcPr>
            <w:tcW w:w="10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80,000</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96 %</w:t>
            </w:r>
          </w:p>
        </w:tc>
        <w:tc>
          <w:tcPr>
            <w:tcW w:w="66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54,000</w:t>
            </w:r>
          </w:p>
        </w:tc>
        <w:tc>
          <w:tcPr>
            <w:tcW w:w="840" w:type="dxa"/>
            <w:vAlign w:val="bottom"/>
          </w:tcPr>
          <w:p>
            <w:pPr>
              <w:ind w:left="60"/>
              <w:spacing w:after="0"/>
              <w:rPr>
                <w:sz w:val="20"/>
                <w:szCs w:val="20"/>
                <w:color w:val="auto"/>
              </w:rPr>
            </w:pPr>
            <w:r>
              <w:rPr>
                <w:rFonts w:ascii="Arial" w:cs="Arial" w:eastAsia="Arial" w:hAnsi="Arial"/>
                <w:sz w:val="13"/>
                <w:szCs w:val="13"/>
                <w:color w:val="auto"/>
              </w:rPr>
              <w:t>Giant Food</w:t>
            </w: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030"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Real Estate</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8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Grocery</w:t>
            </w: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vMerge w:val="restart"/>
          </w:tcPr>
          <w:p>
            <w:pPr>
              <w:ind w:left="100"/>
              <w:spacing w:after="0"/>
              <w:rPr>
                <w:sz w:val="20"/>
                <w:szCs w:val="20"/>
                <w:color w:val="auto"/>
              </w:rPr>
            </w:pPr>
            <w:r>
              <w:rPr>
                <w:rFonts w:ascii="Arial" w:cs="Arial" w:eastAsia="Arial" w:hAnsi="Arial"/>
                <w:sz w:val="13"/>
                <w:szCs w:val="13"/>
                <w:b w:val="1"/>
                <w:bCs w:val="1"/>
                <w:color w:val="auto"/>
                <w:w w:val="99"/>
              </w:rPr>
              <w:t>Property Name</w:t>
            </w:r>
          </w:p>
        </w:tc>
        <w:tc>
          <w:tcPr>
            <w:tcW w:w="400" w:type="dxa"/>
            <w:vAlign w:val="bottom"/>
          </w:tcPr>
          <w:p>
            <w:pPr>
              <w:spacing w:after="0"/>
              <w:rPr>
                <w:sz w:val="10"/>
                <w:szCs w:val="10"/>
                <w:color w:val="auto"/>
              </w:rPr>
            </w:pPr>
          </w:p>
        </w:tc>
        <w:tc>
          <w:tcPr>
            <w:tcW w:w="2240" w:type="dxa"/>
            <w:vAlign w:val="bottom"/>
            <w:vMerge w:val="restart"/>
          </w:tcPr>
          <w:p>
            <w:pPr>
              <w:ind w:left="66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vMerge w:val="continue"/>
          </w:tcPr>
          <w:p>
            <w:pPr>
              <w:spacing w:after="0"/>
              <w:rPr>
                <w:sz w:val="10"/>
                <w:szCs w:val="10"/>
                <w:color w:val="auto"/>
              </w:rPr>
            </w:pPr>
          </w:p>
        </w:tc>
        <w:tc>
          <w:tcPr>
            <w:tcW w:w="10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Acreage</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GLA (3)</w:t>
            </w:r>
          </w:p>
        </w:tc>
        <w:tc>
          <w:tcPr>
            <w:tcW w:w="580" w:type="dxa"/>
            <w:vAlign w:val="bottom"/>
            <w:gridSpan w:val="2"/>
          </w:tcPr>
          <w:p>
            <w:pPr>
              <w:jc w:val="right"/>
              <w:ind w:right="37"/>
              <w:spacing w:after="0" w:line="122" w:lineRule="exact"/>
              <w:rPr>
                <w:sz w:val="20"/>
                <w:szCs w:val="20"/>
                <w:color w:val="auto"/>
              </w:rPr>
            </w:pPr>
            <w:r>
              <w:rPr>
                <w:rFonts w:ascii="Arial" w:cs="Arial" w:eastAsia="Arial" w:hAnsi="Arial"/>
                <w:sz w:val="13"/>
                <w:szCs w:val="13"/>
                <w:b w:val="1"/>
                <w:bCs w:val="1"/>
                <w:color w:val="auto"/>
              </w:rPr>
              <w:t>Leased</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Anchor</w:t>
            </w:r>
          </w:p>
        </w:tc>
        <w:tc>
          <w:tcPr>
            <w:tcW w:w="840" w:type="dxa"/>
            <w:vAlign w:val="bottom"/>
            <w:vMerge w:val="continue"/>
          </w:tcPr>
          <w:p>
            <w:pPr>
              <w:spacing w:after="0"/>
              <w:rPr>
                <w:sz w:val="10"/>
                <w:szCs w:val="10"/>
                <w:color w:val="auto"/>
              </w:rPr>
            </w:pPr>
          </w:p>
        </w:tc>
        <w:tc>
          <w:tcPr>
            <w:tcW w:w="19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at Cost (1)</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87"/>
              </w:rPr>
              <w:t>(2)</w:t>
            </w:r>
          </w:p>
        </w:tc>
        <w:tc>
          <w:tcPr>
            <w:tcW w:w="54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1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160" w:type="dxa"/>
            <w:vAlign w:val="bottom"/>
          </w:tcPr>
          <w:p>
            <w:pPr>
              <w:spacing w:after="0"/>
              <w:rPr>
                <w:sz w:val="12"/>
                <w:szCs w:val="12"/>
                <w:color w:val="auto"/>
              </w:rPr>
            </w:pPr>
          </w:p>
        </w:tc>
        <w:tc>
          <w:tcPr>
            <w:tcW w:w="860" w:type="dxa"/>
            <w:vAlign w:val="bottom"/>
          </w:tcPr>
          <w:p>
            <w:pPr>
              <w:jc w:val="center"/>
              <w:ind w:right="59"/>
              <w:spacing w:after="0"/>
              <w:rPr>
                <w:sz w:val="20"/>
                <w:szCs w:val="20"/>
                <w:color w:val="auto"/>
              </w:rPr>
            </w:pPr>
            <w:r>
              <w:rPr>
                <w:rFonts w:ascii="Arial" w:cs="Arial" w:eastAsia="Arial" w:hAnsi="Arial"/>
                <w:sz w:val="11"/>
                <w:szCs w:val="11"/>
                <w:color w:val="auto"/>
                <w:w w:val="88"/>
              </w:rPr>
              <w:t>(in thousands)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3"/>
                <w:szCs w:val="13"/>
                <w:color w:val="auto"/>
                <w:w w:val="93"/>
              </w:rPr>
              <w:t>White Marsh Other</w:t>
            </w: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Baltimore-Columbia-Towson, MD</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31,729</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70,000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tcPr>
          <w:p>
            <w:pPr>
              <w:ind w:left="40"/>
              <w:spacing w:after="0" w:line="144" w:lineRule="exact"/>
              <w:rPr>
                <w:sz w:val="20"/>
                <w:szCs w:val="20"/>
                <w:color w:val="auto"/>
              </w:rPr>
            </w:pPr>
            <w:r>
              <w:rPr>
                <w:rFonts w:ascii="Arial" w:cs="Arial" w:eastAsia="Arial" w:hAnsi="Arial"/>
                <w:sz w:val="13"/>
                <w:szCs w:val="13"/>
                <w:b w:val="1"/>
                <w:bCs w:val="1"/>
                <w:color w:val="auto"/>
              </w:rPr>
              <w:t>Total Baltimore</w:t>
            </w:r>
          </w:p>
        </w:tc>
        <w:tc>
          <w:tcPr>
            <w:tcW w:w="680" w:type="dxa"/>
            <w:vAlign w:val="bottom"/>
          </w:tcPr>
          <w:p>
            <w:pPr>
              <w:jc w:val="right"/>
              <w:spacing w:after="0"/>
              <w:rPr>
                <w:sz w:val="20"/>
                <w:szCs w:val="20"/>
                <w:color w:val="auto"/>
              </w:rPr>
            </w:pPr>
            <w:r>
              <w:rPr>
                <w:rFonts w:ascii="Arial" w:cs="Arial" w:eastAsia="Arial" w:hAnsi="Arial"/>
                <w:sz w:val="13"/>
                <w:szCs w:val="13"/>
                <w:color w:val="auto"/>
              </w:rPr>
              <w:t>283,012</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118</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1,140,000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gridSpan w:val="4"/>
          </w:tcPr>
          <w:p>
            <w:pPr>
              <w:ind w:left="60"/>
              <w:spacing w:after="0" w:line="135" w:lineRule="exact"/>
              <w:rPr>
                <w:sz w:val="20"/>
                <w:szCs w:val="20"/>
                <w:color w:val="auto"/>
              </w:rPr>
            </w:pPr>
            <w:r>
              <w:rPr>
                <w:rFonts w:ascii="Arial" w:cs="Arial" w:eastAsia="Arial" w:hAnsi="Arial"/>
                <w:sz w:val="13"/>
                <w:szCs w:val="13"/>
                <w:b w:val="1"/>
                <w:bCs w:val="1"/>
                <w:color w:val="auto"/>
              </w:rPr>
              <w:t>South Florida</w:t>
            </w:r>
          </w:p>
        </w:tc>
        <w:tc>
          <w:tcPr>
            <w:tcW w:w="4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gridSpan w:val="4"/>
            <w:shd w:val="clear" w:color="auto" w:fill="CCEEFF"/>
          </w:tcPr>
          <w:p>
            <w:pPr>
              <w:spacing w:after="0" w:line="122" w:lineRule="exact"/>
              <w:rPr>
                <w:sz w:val="20"/>
                <w:szCs w:val="20"/>
                <w:color w:val="auto"/>
              </w:rPr>
            </w:pPr>
            <w:r>
              <w:rPr>
                <w:rFonts w:ascii="Arial" w:cs="Arial" w:eastAsia="Arial" w:hAnsi="Arial"/>
                <w:sz w:val="13"/>
                <w:szCs w:val="13"/>
                <w:color w:val="auto"/>
              </w:rPr>
              <w:t>Cocowalk</w:t>
            </w:r>
          </w:p>
        </w:tc>
        <w:tc>
          <w:tcPr>
            <w:tcW w:w="4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95"/>
              </w:rPr>
              <w:t>(4) (9)</w:t>
            </w:r>
          </w:p>
        </w:tc>
        <w:tc>
          <w:tcPr>
            <w:tcW w:w="224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w w:val="90"/>
              </w:rPr>
              <w:t>Miami-Fort Lauderdale-West Palm Beach,</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192,762</w:t>
            </w: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246,000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98</w:t>
            </w: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Cinepolis Theaters / Youfit Health</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FL</w:t>
            </w: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Club / Planta Restaurant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Arial" w:cs="Arial" w:eastAsia="Arial" w:hAnsi="Arial"/>
                <w:sz w:val="13"/>
                <w:szCs w:val="13"/>
                <w:color w:val="auto"/>
              </w:rPr>
              <w:t>Del Mar Village</w:t>
            </w:r>
          </w:p>
        </w:tc>
        <w:tc>
          <w:tcPr>
            <w:tcW w:w="400" w:type="dxa"/>
            <w:vAlign w:val="bottom"/>
          </w:tcPr>
          <w:p>
            <w:pPr>
              <w:spacing w:after="0"/>
              <w:rPr>
                <w:sz w:val="10"/>
                <w:szCs w:val="10"/>
                <w:color w:val="auto"/>
              </w:rPr>
            </w:pPr>
          </w:p>
        </w:tc>
        <w:tc>
          <w:tcPr>
            <w:tcW w:w="2240" w:type="dxa"/>
            <w:vAlign w:val="bottom"/>
          </w:tcPr>
          <w:p>
            <w:pPr>
              <w:ind w:left="40"/>
              <w:spacing w:after="0" w:line="122" w:lineRule="exact"/>
              <w:rPr>
                <w:sz w:val="20"/>
                <w:szCs w:val="20"/>
                <w:color w:val="auto"/>
              </w:rPr>
            </w:pPr>
            <w:r>
              <w:rPr>
                <w:rFonts w:ascii="Arial" w:cs="Arial" w:eastAsia="Arial" w:hAnsi="Arial"/>
                <w:sz w:val="13"/>
                <w:szCs w:val="13"/>
                <w:color w:val="auto"/>
                <w:w w:val="90"/>
              </w:rPr>
              <w:t>Miami-Fort Lauderdale-West Palm Beach,</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73,929</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17</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187,000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color w:val="auto"/>
              </w:rPr>
              <w:t>95</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44,000</w:t>
            </w:r>
          </w:p>
        </w:tc>
        <w:tc>
          <w:tcPr>
            <w:tcW w:w="840" w:type="dxa"/>
            <w:vAlign w:val="bottom"/>
          </w:tcPr>
          <w:p>
            <w:pPr>
              <w:ind w:left="80"/>
              <w:spacing w:after="0" w:line="122" w:lineRule="exact"/>
              <w:rPr>
                <w:sz w:val="20"/>
                <w:szCs w:val="20"/>
                <w:color w:val="auto"/>
              </w:rPr>
            </w:pPr>
            <w:r>
              <w:rPr>
                <w:rFonts w:ascii="Arial" w:cs="Arial" w:eastAsia="Arial" w:hAnsi="Arial"/>
                <w:sz w:val="13"/>
                <w:szCs w:val="13"/>
                <w:color w:val="auto"/>
              </w:rPr>
              <w:t>Winn Dixie</w:t>
            </w:r>
          </w:p>
        </w:tc>
        <w:tc>
          <w:tcPr>
            <w:tcW w:w="1980" w:type="dxa"/>
            <w:vAlign w:val="bottom"/>
          </w:tcPr>
          <w:p>
            <w:pPr>
              <w:ind w:left="20"/>
              <w:spacing w:after="0" w:line="122" w:lineRule="exact"/>
              <w:rPr>
                <w:sz w:val="20"/>
                <w:szCs w:val="20"/>
                <w:color w:val="auto"/>
              </w:rPr>
            </w:pPr>
            <w:r>
              <w:rPr>
                <w:rFonts w:ascii="Arial" w:cs="Arial" w:eastAsia="Arial" w:hAnsi="Arial"/>
                <w:sz w:val="13"/>
                <w:szCs w:val="13"/>
                <w:color w:val="auto"/>
              </w:rPr>
              <w:t>CVS / L.A.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tcPr>
          <w:p>
            <w:pPr>
              <w:ind w:left="40"/>
              <w:spacing w:after="0"/>
              <w:rPr>
                <w:sz w:val="20"/>
                <w:szCs w:val="20"/>
                <w:color w:val="auto"/>
              </w:rPr>
            </w:pPr>
            <w:r>
              <w:rPr>
                <w:rFonts w:ascii="Arial" w:cs="Arial" w:eastAsia="Arial" w:hAnsi="Arial"/>
                <w:sz w:val="13"/>
                <w:szCs w:val="13"/>
                <w:color w:val="auto"/>
              </w:rPr>
              <w:t>FL</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Tower Shops</w:t>
            </w:r>
          </w:p>
        </w:tc>
        <w:tc>
          <w:tcPr>
            <w:tcW w:w="400" w:type="dxa"/>
            <w:vAlign w:val="bottom"/>
            <w:shd w:val="clear" w:color="auto" w:fill="CCEEFF"/>
          </w:tcPr>
          <w:p>
            <w:pPr>
              <w:spacing w:after="0"/>
              <w:rPr>
                <w:sz w:val="11"/>
                <w:szCs w:val="11"/>
                <w:color w:val="auto"/>
              </w:rPr>
            </w:pPr>
          </w:p>
        </w:tc>
        <w:tc>
          <w:tcPr>
            <w:tcW w:w="22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0"/>
              </w:rPr>
              <w:t>Miami-Fort Lauderdale-West Palm Beach,</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100,849</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430,000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12,000</w:t>
            </w:r>
          </w:p>
        </w:tc>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Trader Joe's</w:t>
            </w:r>
          </w:p>
        </w:tc>
        <w:tc>
          <w:tcPr>
            <w:tcW w:w="1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8"/>
              </w:rPr>
              <w:t>TJ Maxx / Ross Dress For Less / Best</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FL</w:t>
            </w:r>
          </w:p>
        </w:tc>
        <w:tc>
          <w:tcPr>
            <w:tcW w:w="68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Buy / Ulta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tcPr>
          <w:p>
            <w:pPr>
              <w:ind w:left="40"/>
              <w:spacing w:after="0" w:line="144" w:lineRule="exact"/>
              <w:rPr>
                <w:sz w:val="20"/>
                <w:szCs w:val="20"/>
                <w:color w:val="auto"/>
              </w:rPr>
            </w:pPr>
            <w:r>
              <w:rPr>
                <w:rFonts w:ascii="Arial" w:cs="Arial" w:eastAsia="Arial" w:hAnsi="Arial"/>
                <w:sz w:val="13"/>
                <w:szCs w:val="13"/>
                <w:b w:val="1"/>
                <w:bCs w:val="1"/>
                <w:color w:val="auto"/>
              </w:rPr>
              <w:t>Total South Florida</w:t>
            </w:r>
          </w:p>
        </w:tc>
        <w:tc>
          <w:tcPr>
            <w:tcW w:w="680" w:type="dxa"/>
            <w:vAlign w:val="bottom"/>
          </w:tcPr>
          <w:p>
            <w:pPr>
              <w:jc w:val="right"/>
              <w:spacing w:after="0"/>
              <w:rPr>
                <w:sz w:val="20"/>
                <w:szCs w:val="20"/>
                <w:color w:val="auto"/>
              </w:rPr>
            </w:pPr>
            <w:r>
              <w:rPr>
                <w:rFonts w:ascii="Arial" w:cs="Arial" w:eastAsia="Arial" w:hAnsi="Arial"/>
                <w:sz w:val="13"/>
                <w:szCs w:val="13"/>
                <w:color w:val="auto"/>
              </w:rPr>
              <w:t>367,540</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863,000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gridSpan w:val="4"/>
          </w:tcPr>
          <w:p>
            <w:pPr>
              <w:ind w:left="60"/>
              <w:spacing w:after="0" w:line="135" w:lineRule="exact"/>
              <w:rPr>
                <w:sz w:val="20"/>
                <w:szCs w:val="20"/>
                <w:color w:val="auto"/>
              </w:rPr>
            </w:pPr>
            <w:r>
              <w:rPr>
                <w:rFonts w:ascii="Arial" w:cs="Arial" w:eastAsia="Arial" w:hAnsi="Arial"/>
                <w:sz w:val="13"/>
                <w:szCs w:val="13"/>
                <w:b w:val="1"/>
                <w:bCs w:val="1"/>
                <w:color w:val="auto"/>
              </w:rPr>
              <w:t>Chicago</w:t>
            </w:r>
          </w:p>
        </w:tc>
        <w:tc>
          <w:tcPr>
            <w:tcW w:w="4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gridSpan w:val="4"/>
            <w:shd w:val="clear" w:color="auto" w:fill="CCEEFF"/>
          </w:tcPr>
          <w:p>
            <w:pPr>
              <w:spacing w:after="0" w:line="122" w:lineRule="exact"/>
              <w:rPr>
                <w:sz w:val="20"/>
                <w:szCs w:val="20"/>
                <w:color w:val="auto"/>
              </w:rPr>
            </w:pPr>
            <w:r>
              <w:rPr>
                <w:rFonts w:ascii="Arial" w:cs="Arial" w:eastAsia="Arial" w:hAnsi="Arial"/>
                <w:sz w:val="13"/>
                <w:szCs w:val="13"/>
                <w:color w:val="auto"/>
              </w:rPr>
              <w:t>Crossroads</w:t>
            </w:r>
          </w:p>
        </w:tc>
        <w:tc>
          <w:tcPr>
            <w:tcW w:w="400" w:type="dxa"/>
            <w:vAlign w:val="bottom"/>
            <w:shd w:val="clear" w:color="auto" w:fill="CCEEFF"/>
          </w:tcPr>
          <w:p>
            <w:pPr>
              <w:spacing w:after="0"/>
              <w:rPr>
                <w:sz w:val="10"/>
                <w:szCs w:val="10"/>
                <w:color w:val="auto"/>
              </w:rPr>
            </w:pPr>
          </w:p>
        </w:tc>
        <w:tc>
          <w:tcPr>
            <w:tcW w:w="224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Chicago-Naperville-Elgin, IL-IN-WI</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35,987</w:t>
            </w: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168,000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92</w:t>
            </w: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L.A. Fitness / Ulta / Binny's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w w:val="94"/>
              </w:rPr>
              <w:t>Ferguson's Bath, Kitchen &amp; Lighting</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Gallery</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Arial" w:cs="Arial" w:eastAsia="Arial" w:hAnsi="Arial"/>
                <w:sz w:val="13"/>
                <w:szCs w:val="13"/>
                <w:color w:val="auto"/>
              </w:rPr>
              <w:t>Finley Square</w:t>
            </w:r>
          </w:p>
        </w:tc>
        <w:tc>
          <w:tcPr>
            <w:tcW w:w="400" w:type="dxa"/>
            <w:vAlign w:val="bottom"/>
          </w:tcPr>
          <w:p>
            <w:pPr>
              <w:spacing w:after="0"/>
              <w:rPr>
                <w:sz w:val="10"/>
                <w:szCs w:val="10"/>
                <w:color w:val="auto"/>
              </w:rPr>
            </w:pPr>
          </w:p>
        </w:tc>
        <w:tc>
          <w:tcPr>
            <w:tcW w:w="2240" w:type="dxa"/>
            <w:vAlign w:val="bottom"/>
          </w:tcPr>
          <w:p>
            <w:pPr>
              <w:ind w:left="40"/>
              <w:spacing w:after="0" w:line="122" w:lineRule="exact"/>
              <w:rPr>
                <w:sz w:val="20"/>
                <w:szCs w:val="20"/>
                <w:color w:val="auto"/>
              </w:rPr>
            </w:pPr>
            <w:r>
              <w:rPr>
                <w:rFonts w:ascii="Arial" w:cs="Arial" w:eastAsia="Arial" w:hAnsi="Arial"/>
                <w:sz w:val="13"/>
                <w:szCs w:val="13"/>
                <w:color w:val="auto"/>
              </w:rPr>
              <w:t>Chicago-Naperville-Elgin, IL-IN-WI</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41,426</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280,000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color w:val="auto"/>
              </w:rPr>
              <w:t>90</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80" w:type="dxa"/>
            <w:vAlign w:val="bottom"/>
          </w:tcPr>
          <w:p>
            <w:pPr>
              <w:ind w:left="20"/>
              <w:spacing w:after="0" w:line="122" w:lineRule="exact"/>
              <w:rPr>
                <w:sz w:val="20"/>
                <w:szCs w:val="20"/>
                <w:color w:val="auto"/>
              </w:rPr>
            </w:pPr>
            <w:r>
              <w:rPr>
                <w:rFonts w:ascii="Arial" w:cs="Arial" w:eastAsia="Arial" w:hAnsi="Arial"/>
                <w:sz w:val="13"/>
                <w:szCs w:val="13"/>
                <w:color w:val="auto"/>
                <w:w w:val="92"/>
              </w:rPr>
              <w:t>Bed, Bath &amp; Beyond / Buy Buy Baby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20"/>
              <w:spacing w:after="0"/>
              <w:rPr>
                <w:sz w:val="20"/>
                <w:szCs w:val="20"/>
                <w:color w:val="auto"/>
              </w:rPr>
            </w:pPr>
            <w:r>
              <w:rPr>
                <w:rFonts w:ascii="Arial" w:cs="Arial" w:eastAsia="Arial" w:hAnsi="Arial"/>
                <w:sz w:val="13"/>
                <w:szCs w:val="13"/>
                <w:color w:val="auto"/>
              </w:rPr>
              <w:t>/ Michaels / Portillo's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Garden Market</w:t>
            </w:r>
          </w:p>
        </w:tc>
        <w:tc>
          <w:tcPr>
            <w:tcW w:w="400" w:type="dxa"/>
            <w:vAlign w:val="bottom"/>
            <w:shd w:val="clear" w:color="auto" w:fill="CCEEFF"/>
          </w:tcPr>
          <w:p>
            <w:pPr>
              <w:spacing w:after="0"/>
              <w:rPr>
                <w:sz w:val="11"/>
                <w:szCs w:val="11"/>
                <w:color w:val="auto"/>
              </w:rPr>
            </w:pPr>
          </w:p>
        </w:tc>
        <w:tc>
          <w:tcPr>
            <w:tcW w:w="22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Chicago-Naperville-Elgin, IL-IN-WI</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14,722</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139,000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99</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63,000</w:t>
            </w:r>
          </w:p>
        </w:tc>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Mariano's</w:t>
            </w:r>
          </w:p>
        </w:tc>
        <w:tc>
          <w:tcPr>
            <w:tcW w:w="1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Fresh Market</w:t>
            </w: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Riverpoint Center</w:t>
            </w:r>
          </w:p>
        </w:tc>
        <w:tc>
          <w:tcPr>
            <w:tcW w:w="40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Chicago-Naperville-Elgin, IL-IN-WI</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121,558</w:t>
            </w: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211,000</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85"/>
              </w:rPr>
              <w:t>86,000</w:t>
            </w:r>
          </w:p>
        </w:tc>
        <w:tc>
          <w:tcPr>
            <w:tcW w:w="8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Jewel Osco</w:t>
            </w:r>
          </w:p>
        </w:tc>
        <w:tc>
          <w:tcPr>
            <w:tcW w:w="19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Marshalls / Old Navy</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Chicago</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213,693</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w w:val="92"/>
              </w:rPr>
              <w:t>Other</w:t>
            </w:r>
          </w:p>
        </w:tc>
        <w:tc>
          <w:tcPr>
            <w:tcW w:w="640" w:type="dxa"/>
            <w:vAlign w:val="bottom"/>
            <w:tcBorders>
              <w:bottom w:val="single" w:sz="8" w:color="CCEEFF"/>
            </w:tcBorders>
            <w:gridSpan w:val="3"/>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2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9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Arial" w:cs="Arial" w:eastAsia="Arial" w:hAnsi="Arial"/>
                <w:sz w:val="13"/>
                <w:szCs w:val="13"/>
                <w:color w:val="auto"/>
              </w:rPr>
              <w:t>Barracks Road</w:t>
            </w:r>
          </w:p>
        </w:tc>
        <w:tc>
          <w:tcPr>
            <w:tcW w:w="400" w:type="dxa"/>
            <w:vAlign w:val="bottom"/>
          </w:tcPr>
          <w:p>
            <w:pPr>
              <w:spacing w:after="0"/>
              <w:rPr>
                <w:sz w:val="10"/>
                <w:szCs w:val="10"/>
                <w:color w:val="auto"/>
              </w:rPr>
            </w:pPr>
          </w:p>
        </w:tc>
        <w:tc>
          <w:tcPr>
            <w:tcW w:w="2240" w:type="dxa"/>
            <w:vAlign w:val="bottom"/>
          </w:tcPr>
          <w:p>
            <w:pPr>
              <w:ind w:left="40"/>
              <w:spacing w:after="0" w:line="122" w:lineRule="exact"/>
              <w:rPr>
                <w:sz w:val="20"/>
                <w:szCs w:val="20"/>
                <w:color w:val="auto"/>
              </w:rPr>
            </w:pPr>
            <w:r>
              <w:rPr>
                <w:rFonts w:ascii="Arial" w:cs="Arial" w:eastAsia="Arial" w:hAnsi="Arial"/>
                <w:sz w:val="13"/>
                <w:szCs w:val="13"/>
                <w:color w:val="auto"/>
              </w:rPr>
              <w:t>Charlottesville, VA</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69,875</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40</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498,000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color w:val="auto"/>
              </w:rPr>
              <w:t>92</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99,000</w:t>
            </w:r>
          </w:p>
        </w:tc>
        <w:tc>
          <w:tcPr>
            <w:tcW w:w="840" w:type="dxa"/>
            <w:vAlign w:val="bottom"/>
          </w:tcPr>
          <w:p>
            <w:pPr>
              <w:ind w:left="80"/>
              <w:spacing w:after="0" w:line="122" w:lineRule="exact"/>
              <w:rPr>
                <w:sz w:val="20"/>
                <w:szCs w:val="20"/>
                <w:color w:val="auto"/>
              </w:rPr>
            </w:pPr>
            <w:r>
              <w:rPr>
                <w:rFonts w:ascii="Arial" w:cs="Arial" w:eastAsia="Arial" w:hAnsi="Arial"/>
                <w:sz w:val="13"/>
                <w:szCs w:val="13"/>
                <w:color w:val="auto"/>
                <w:w w:val="89"/>
              </w:rPr>
              <w:t>Harris Teeter /</w:t>
            </w:r>
          </w:p>
        </w:tc>
        <w:tc>
          <w:tcPr>
            <w:tcW w:w="1980" w:type="dxa"/>
            <w:vAlign w:val="bottom"/>
          </w:tcPr>
          <w:p>
            <w:pPr>
              <w:ind w:left="20"/>
              <w:spacing w:after="0" w:line="122" w:lineRule="exact"/>
              <w:rPr>
                <w:sz w:val="20"/>
                <w:szCs w:val="20"/>
                <w:color w:val="auto"/>
              </w:rPr>
            </w:pPr>
            <w:r>
              <w:rPr>
                <w:rFonts w:ascii="Arial" w:cs="Arial" w:eastAsia="Arial" w:hAnsi="Arial"/>
                <w:sz w:val="13"/>
                <w:szCs w:val="13"/>
                <w:color w:val="auto"/>
                <w:w w:val="98"/>
              </w:rPr>
              <w:t>Anthropologie / Nike / Bed, Bath &amp;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rPr>
              <w:t>Kroger</w:t>
            </w:r>
          </w:p>
        </w:tc>
        <w:tc>
          <w:tcPr>
            <w:tcW w:w="1980" w:type="dxa"/>
            <w:vAlign w:val="bottom"/>
          </w:tcPr>
          <w:p>
            <w:pPr>
              <w:ind w:left="20"/>
              <w:spacing w:after="0"/>
              <w:rPr>
                <w:sz w:val="20"/>
                <w:szCs w:val="20"/>
                <w:color w:val="auto"/>
              </w:rPr>
            </w:pPr>
            <w:r>
              <w:rPr>
                <w:rFonts w:ascii="Arial" w:cs="Arial" w:eastAsia="Arial" w:hAnsi="Arial"/>
                <w:sz w:val="13"/>
                <w:szCs w:val="13"/>
                <w:color w:val="auto"/>
              </w:rPr>
              <w:t>Beyond / Old Navy</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Bristol Plaza</w:t>
            </w: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Hartford-West Hartford-East Hartford, CT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35,053</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74,000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TJ Maxx / Burlington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Arial" w:cs="Arial" w:eastAsia="Arial" w:hAnsi="Arial"/>
                <w:sz w:val="13"/>
                <w:szCs w:val="13"/>
                <w:color w:val="auto"/>
              </w:rPr>
              <w:t>Camelback</w:t>
            </w:r>
          </w:p>
        </w:tc>
        <w:tc>
          <w:tcPr>
            <w:tcW w:w="400" w:type="dxa"/>
            <w:vAlign w:val="bottom"/>
          </w:tcPr>
          <w:p>
            <w:pPr>
              <w:jc w:val="center"/>
              <w:spacing w:after="0" w:line="122" w:lineRule="exact"/>
              <w:rPr>
                <w:sz w:val="20"/>
                <w:szCs w:val="20"/>
                <w:color w:val="auto"/>
              </w:rPr>
            </w:pPr>
            <w:r>
              <w:rPr>
                <w:rFonts w:ascii="Arial" w:cs="Arial" w:eastAsia="Arial" w:hAnsi="Arial"/>
                <w:sz w:val="13"/>
                <w:szCs w:val="13"/>
                <w:color w:val="auto"/>
                <w:w w:val="87"/>
              </w:rPr>
              <w:t>(4)</w:t>
            </w:r>
          </w:p>
        </w:tc>
        <w:tc>
          <w:tcPr>
            <w:tcW w:w="2240" w:type="dxa"/>
            <w:vAlign w:val="bottom"/>
          </w:tcPr>
          <w:p>
            <w:pPr>
              <w:ind w:left="40"/>
              <w:spacing w:after="0" w:line="122" w:lineRule="exact"/>
              <w:rPr>
                <w:sz w:val="20"/>
                <w:szCs w:val="20"/>
                <w:color w:val="auto"/>
              </w:rPr>
            </w:pPr>
            <w:r>
              <w:rPr>
                <w:rFonts w:ascii="Arial" w:cs="Arial" w:eastAsia="Arial" w:hAnsi="Arial"/>
                <w:sz w:val="13"/>
                <w:szCs w:val="13"/>
                <w:color w:val="auto"/>
              </w:rPr>
              <w:t>Phoenix-Mesa-Chandler, AZ</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179,326</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41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643,000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color w:val="auto"/>
              </w:rPr>
              <w:t>88</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82,000</w:t>
            </w:r>
          </w:p>
        </w:tc>
        <w:tc>
          <w:tcPr>
            <w:tcW w:w="840" w:type="dxa"/>
            <w:vAlign w:val="bottom"/>
          </w:tcPr>
          <w:p>
            <w:pPr>
              <w:ind w:left="80"/>
              <w:spacing w:after="0" w:line="122" w:lineRule="exact"/>
              <w:rPr>
                <w:sz w:val="20"/>
                <w:szCs w:val="20"/>
                <w:color w:val="auto"/>
              </w:rPr>
            </w:pPr>
            <w:r>
              <w:rPr>
                <w:rFonts w:ascii="Arial" w:cs="Arial" w:eastAsia="Arial" w:hAnsi="Arial"/>
                <w:sz w:val="13"/>
                <w:szCs w:val="13"/>
                <w:color w:val="auto"/>
              </w:rPr>
              <w:t>Fry's Food &amp;</w:t>
            </w:r>
          </w:p>
        </w:tc>
        <w:tc>
          <w:tcPr>
            <w:tcW w:w="1980" w:type="dxa"/>
            <w:vAlign w:val="bottom"/>
          </w:tcPr>
          <w:p>
            <w:pPr>
              <w:ind w:left="20"/>
              <w:spacing w:after="0" w:line="122" w:lineRule="exact"/>
              <w:rPr>
                <w:sz w:val="20"/>
                <w:szCs w:val="20"/>
                <w:color w:val="auto"/>
              </w:rPr>
            </w:pPr>
            <w:r>
              <w:rPr>
                <w:rFonts w:ascii="Arial" w:cs="Arial" w:eastAsia="Arial" w:hAnsi="Arial"/>
                <w:sz w:val="13"/>
                <w:szCs w:val="13"/>
                <w:color w:val="auto"/>
              </w:rPr>
              <w:t>Floor &amp; Décor / Marshalls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Colonnade</w:t>
            </w:r>
          </w:p>
        </w:tc>
        <w:tc>
          <w:tcPr>
            <w:tcW w:w="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rPr>
              <w:t>Drug</w:t>
            </w:r>
          </w:p>
        </w:tc>
        <w:tc>
          <w:tcPr>
            <w:tcW w:w="1980" w:type="dxa"/>
            <w:vAlign w:val="bottom"/>
          </w:tcPr>
          <w:p>
            <w:pPr>
              <w:ind w:left="20"/>
              <w:spacing w:after="0"/>
              <w:rPr>
                <w:sz w:val="20"/>
                <w:szCs w:val="20"/>
                <w:color w:val="auto"/>
              </w:rPr>
            </w:pPr>
            <w:r>
              <w:rPr>
                <w:rFonts w:ascii="Arial" w:cs="Arial" w:eastAsia="Arial" w:hAnsi="Arial"/>
                <w:sz w:val="13"/>
                <w:szCs w:val="13"/>
                <w:color w:val="auto"/>
                <w:w w:val="96"/>
              </w:rPr>
              <w:t>Nordstrom Last Chance / Best Buy</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Gratiot Plaza</w:t>
            </w:r>
          </w:p>
        </w:tc>
        <w:tc>
          <w:tcPr>
            <w:tcW w:w="400" w:type="dxa"/>
            <w:vAlign w:val="bottom"/>
            <w:shd w:val="clear" w:color="auto" w:fill="CCEEFF"/>
          </w:tcPr>
          <w:p>
            <w:pPr>
              <w:spacing w:after="0"/>
              <w:rPr>
                <w:sz w:val="11"/>
                <w:szCs w:val="11"/>
                <w:color w:val="auto"/>
              </w:rPr>
            </w:pPr>
          </w:p>
        </w:tc>
        <w:tc>
          <w:tcPr>
            <w:tcW w:w="22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Detroit-Warren-Dearborn, MI</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20,102</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215,000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69,000</w:t>
            </w:r>
          </w:p>
        </w:tc>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Kroger</w:t>
            </w:r>
          </w:p>
        </w:tc>
        <w:tc>
          <w:tcPr>
            <w:tcW w:w="1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Bed, Bath &amp; Beyond / Best Buy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DSW</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Hilton Village</w:t>
            </w:r>
          </w:p>
        </w:tc>
        <w:tc>
          <w:tcPr>
            <w:tcW w:w="400" w:type="dxa"/>
            <w:vAlign w:val="bottom"/>
          </w:tcPr>
          <w:p>
            <w:pPr>
              <w:jc w:val="center"/>
              <w:spacing w:after="0"/>
              <w:rPr>
                <w:sz w:val="20"/>
                <w:szCs w:val="20"/>
                <w:color w:val="auto"/>
              </w:rPr>
            </w:pPr>
            <w:r>
              <w:rPr>
                <w:rFonts w:ascii="Arial" w:cs="Arial" w:eastAsia="Arial" w:hAnsi="Arial"/>
                <w:sz w:val="13"/>
                <w:szCs w:val="13"/>
                <w:color w:val="auto"/>
                <w:w w:val="87"/>
              </w:rPr>
              <w:t>(4)</w:t>
            </w:r>
          </w:p>
        </w:tc>
        <w:tc>
          <w:tcPr>
            <w:tcW w:w="2240" w:type="dxa"/>
            <w:vAlign w:val="bottom"/>
          </w:tcPr>
          <w:p>
            <w:pPr>
              <w:ind w:left="40"/>
              <w:spacing w:after="0"/>
              <w:rPr>
                <w:sz w:val="20"/>
                <w:szCs w:val="20"/>
                <w:color w:val="auto"/>
              </w:rPr>
            </w:pPr>
            <w:r>
              <w:rPr>
                <w:rFonts w:ascii="Arial" w:cs="Arial" w:eastAsia="Arial" w:hAnsi="Arial"/>
                <w:sz w:val="13"/>
                <w:szCs w:val="13"/>
                <w:color w:val="auto"/>
              </w:rPr>
              <w:t>Phoenix-Mesa-Chandler, AZ</w:t>
            </w:r>
          </w:p>
        </w:tc>
        <w:tc>
          <w:tcPr>
            <w:tcW w:w="680" w:type="dxa"/>
            <w:vAlign w:val="bottom"/>
          </w:tcPr>
          <w:p>
            <w:pPr>
              <w:jc w:val="right"/>
              <w:spacing w:after="0"/>
              <w:rPr>
                <w:sz w:val="20"/>
                <w:szCs w:val="20"/>
                <w:color w:val="auto"/>
              </w:rPr>
            </w:pPr>
            <w:r>
              <w:rPr>
                <w:rFonts w:ascii="Arial" w:cs="Arial" w:eastAsia="Arial" w:hAnsi="Arial"/>
                <w:sz w:val="13"/>
                <w:szCs w:val="13"/>
                <w:color w:val="auto"/>
              </w:rPr>
              <w:t>40,028</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20"/>
              <w:spacing w:after="0"/>
              <w:rPr>
                <w:sz w:val="20"/>
                <w:szCs w:val="20"/>
                <w:color w:val="auto"/>
              </w:rPr>
            </w:pPr>
            <w:r>
              <w:rPr>
                <w:rFonts w:ascii="Arial" w:cs="Arial" w:eastAsia="Arial" w:hAnsi="Arial"/>
                <w:sz w:val="13"/>
                <w:szCs w:val="13"/>
                <w:color w:val="auto"/>
              </w:rPr>
              <w:t>CVS / Houston's</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Lancaster</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(7)</w:t>
            </w: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Lancaster, PA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13,296</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5,549</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75,000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29th Place</w:t>
            </w:r>
          </w:p>
        </w:tc>
        <w:tc>
          <w:tcPr>
            <w:tcW w:w="400" w:type="dxa"/>
            <w:vAlign w:val="bottom"/>
          </w:tcPr>
          <w:p>
            <w:pPr>
              <w:spacing w:after="0"/>
              <w:rPr>
                <w:sz w:val="14"/>
                <w:szCs w:val="14"/>
                <w:color w:val="auto"/>
              </w:rPr>
            </w:pPr>
          </w:p>
        </w:tc>
        <w:tc>
          <w:tcPr>
            <w:tcW w:w="2240" w:type="dxa"/>
            <w:vAlign w:val="bottom"/>
          </w:tcPr>
          <w:p>
            <w:pPr>
              <w:ind w:left="40"/>
              <w:spacing w:after="0"/>
              <w:rPr>
                <w:sz w:val="20"/>
                <w:szCs w:val="20"/>
                <w:color w:val="auto"/>
              </w:rPr>
            </w:pPr>
            <w:r>
              <w:rPr>
                <w:rFonts w:ascii="Arial" w:cs="Arial" w:eastAsia="Arial" w:hAnsi="Arial"/>
                <w:sz w:val="13"/>
                <w:szCs w:val="13"/>
                <w:color w:val="auto"/>
              </w:rPr>
              <w:t>Charlottesville, VA</w:t>
            </w:r>
          </w:p>
        </w:tc>
        <w:tc>
          <w:tcPr>
            <w:tcW w:w="680" w:type="dxa"/>
            <w:vAlign w:val="bottom"/>
          </w:tcPr>
          <w:p>
            <w:pPr>
              <w:jc w:val="right"/>
              <w:spacing w:after="0"/>
              <w:rPr>
                <w:sz w:val="20"/>
                <w:szCs w:val="20"/>
                <w:color w:val="auto"/>
              </w:rPr>
            </w:pPr>
            <w:r>
              <w:rPr>
                <w:rFonts w:ascii="Arial" w:cs="Arial" w:eastAsia="Arial" w:hAnsi="Arial"/>
                <w:sz w:val="13"/>
                <w:szCs w:val="13"/>
                <w:color w:val="auto"/>
              </w:rPr>
              <w:t>39,865</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168,000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32,000</w:t>
            </w:r>
          </w:p>
        </w:tc>
        <w:tc>
          <w:tcPr>
            <w:tcW w:w="840" w:type="dxa"/>
            <w:vAlign w:val="bottom"/>
          </w:tcPr>
          <w:p>
            <w:pPr>
              <w:ind w:left="80"/>
              <w:spacing w:after="0"/>
              <w:rPr>
                <w:sz w:val="20"/>
                <w:szCs w:val="20"/>
                <w:color w:val="auto"/>
              </w:rPr>
            </w:pPr>
            <w:r>
              <w:rPr>
                <w:rFonts w:ascii="Arial" w:cs="Arial" w:eastAsia="Arial" w:hAnsi="Arial"/>
                <w:sz w:val="13"/>
                <w:szCs w:val="13"/>
                <w:color w:val="auto"/>
              </w:rPr>
              <w:t>Lidl</w:t>
            </w:r>
          </w:p>
        </w:tc>
        <w:tc>
          <w:tcPr>
            <w:tcW w:w="1980" w:type="dxa"/>
            <w:vAlign w:val="bottom"/>
          </w:tcPr>
          <w:p>
            <w:pPr>
              <w:ind w:left="20"/>
              <w:spacing w:after="0"/>
              <w:rPr>
                <w:sz w:val="20"/>
                <w:szCs w:val="20"/>
                <w:color w:val="auto"/>
              </w:rPr>
            </w:pPr>
            <w:r>
              <w:rPr>
                <w:rFonts w:ascii="Arial" w:cs="Arial" w:eastAsia="Arial" w:hAnsi="Arial"/>
                <w:sz w:val="13"/>
                <w:szCs w:val="13"/>
                <w:color w:val="auto"/>
              </w:rPr>
              <w:t>HomeGoods / DSW / Staples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Willow Lawn</w:t>
            </w:r>
          </w:p>
        </w:tc>
        <w:tc>
          <w:tcPr>
            <w:tcW w:w="400" w:type="dxa"/>
            <w:vAlign w:val="bottom"/>
            <w:shd w:val="clear" w:color="auto" w:fill="CCEEFF"/>
          </w:tcPr>
          <w:p>
            <w:pPr>
              <w:spacing w:after="0"/>
              <w:rPr>
                <w:sz w:val="11"/>
                <w:szCs w:val="11"/>
                <w:color w:val="auto"/>
              </w:rPr>
            </w:pPr>
          </w:p>
        </w:tc>
        <w:tc>
          <w:tcPr>
            <w:tcW w:w="22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Richmond, VA</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105,625</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464,000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66,000</w:t>
            </w:r>
          </w:p>
        </w:tc>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Kroger</w:t>
            </w:r>
          </w:p>
        </w:tc>
        <w:tc>
          <w:tcPr>
            <w:tcW w:w="19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Old Navy / Ross Dress For Less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Gold's Gym / Dick's Sporting Goods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tcPr>
          <w:p>
            <w:pPr>
              <w:ind w:left="40"/>
              <w:spacing w:after="0" w:line="144" w:lineRule="exact"/>
              <w:rPr>
                <w:sz w:val="20"/>
                <w:szCs w:val="20"/>
                <w:color w:val="auto"/>
              </w:rPr>
            </w:pPr>
            <w:r>
              <w:rPr>
                <w:rFonts w:ascii="Arial" w:cs="Arial" w:eastAsia="Arial" w:hAnsi="Arial"/>
                <w:sz w:val="13"/>
                <w:szCs w:val="13"/>
                <w:b w:val="1"/>
                <w:bCs w:val="1"/>
                <w:color w:val="auto"/>
              </w:rPr>
              <w:t>Total Other</w:t>
            </w:r>
          </w:p>
        </w:tc>
        <w:tc>
          <w:tcPr>
            <w:tcW w:w="680" w:type="dxa"/>
            <w:vAlign w:val="bottom"/>
          </w:tcPr>
          <w:p>
            <w:pPr>
              <w:jc w:val="right"/>
              <w:spacing w:after="0"/>
              <w:rPr>
                <w:sz w:val="20"/>
                <w:szCs w:val="20"/>
                <w:color w:val="auto"/>
              </w:rPr>
            </w:pPr>
            <w:r>
              <w:rPr>
                <w:rFonts w:ascii="Arial" w:cs="Arial" w:eastAsia="Arial" w:hAnsi="Arial"/>
                <w:sz w:val="13"/>
                <w:szCs w:val="13"/>
                <w:color w:val="auto"/>
              </w:rPr>
              <w:t>503,170</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2,471,000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224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86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19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Grand Total</w:t>
            </w: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$ 9,464,581</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530,920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2,030</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25,434,000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93 %</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3,236</w:t>
            </w: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auto"/>
        </w:rPr>
        <w:t>Notes:</w:t>
      </w:r>
    </w:p>
    <w:p>
      <w:pPr>
        <w:spacing w:after="0" w:line="36" w:lineRule="exact"/>
        <w:rPr>
          <w:sz w:val="20"/>
          <w:szCs w:val="20"/>
          <w:color w:val="auto"/>
        </w:rPr>
      </w:pPr>
    </w:p>
    <w:p>
      <w:pPr>
        <w:ind w:left="600" w:hanging="561"/>
        <w:spacing w:after="0"/>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Includes "Finance lease right of use assets."</w:t>
      </w:r>
    </w:p>
    <w:p>
      <w:pPr>
        <w:spacing w:after="0" w:line="28" w:lineRule="exact"/>
        <w:rPr>
          <w:rFonts w:ascii="Arial" w:cs="Arial" w:eastAsia="Arial" w:hAnsi="Arial"/>
          <w:sz w:val="14"/>
          <w:szCs w:val="14"/>
          <w:color w:val="auto"/>
        </w:rPr>
      </w:pPr>
    </w:p>
    <w:p>
      <w:pPr>
        <w:ind w:left="600" w:right="80" w:hanging="561"/>
        <w:spacing w:after="0" w:line="237" w:lineRule="auto"/>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The mortgage or finance lease liabilities differ from the total reported on the consolidated balance sheet due to the unamortized discount, premium, and/or debt issuance costs on certain mortgages payable.</w:t>
      </w:r>
    </w:p>
    <w:p>
      <w:pPr>
        <w:spacing w:after="0" w:line="17" w:lineRule="exact"/>
        <w:rPr>
          <w:rFonts w:ascii="Arial" w:cs="Arial" w:eastAsia="Arial" w:hAnsi="Arial"/>
          <w:sz w:val="14"/>
          <w:szCs w:val="14"/>
          <w:color w:val="auto"/>
        </w:rPr>
      </w:pPr>
    </w:p>
    <w:p>
      <w:pPr>
        <w:ind w:left="600" w:right="320" w:hanging="561"/>
        <w:spacing w:after="0" w:line="237" w:lineRule="auto"/>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17" w:lineRule="exact"/>
        <w:rPr>
          <w:rFonts w:ascii="Arial" w:cs="Arial" w:eastAsia="Arial" w:hAnsi="Arial"/>
          <w:sz w:val="14"/>
          <w:szCs w:val="14"/>
          <w:color w:val="auto"/>
        </w:rPr>
      </w:pPr>
    </w:p>
    <w:p>
      <w:pPr>
        <w:ind w:left="600" w:hanging="561"/>
        <w:spacing w:after="0"/>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The Trust has a controlling financial interest in this property.</w:t>
      </w:r>
    </w:p>
    <w:p>
      <w:pPr>
        <w:spacing w:after="0" w:line="28" w:lineRule="exact"/>
        <w:rPr>
          <w:rFonts w:ascii="Arial" w:cs="Arial" w:eastAsia="Arial" w:hAnsi="Arial"/>
          <w:sz w:val="14"/>
          <w:szCs w:val="14"/>
          <w:color w:val="auto"/>
        </w:rPr>
      </w:pPr>
    </w:p>
    <w:p>
      <w:pPr>
        <w:ind w:left="600" w:hanging="561"/>
        <w:spacing w:after="0"/>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Portion of property is currently under development. See further discussion in the Assembly Row and Pike &amp; Rose schedules.</w:t>
      </w:r>
    </w:p>
    <w:p>
      <w:pPr>
        <w:spacing w:after="0" w:line="28" w:lineRule="exact"/>
        <w:rPr>
          <w:rFonts w:ascii="Arial" w:cs="Arial" w:eastAsia="Arial" w:hAnsi="Arial"/>
          <w:sz w:val="14"/>
          <w:szCs w:val="14"/>
          <w:color w:val="auto"/>
        </w:rPr>
      </w:pPr>
    </w:p>
    <w:p>
      <w:pPr>
        <w:ind w:left="600" w:right="360" w:hanging="561"/>
        <w:spacing w:after="0" w:line="237" w:lineRule="auto"/>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17" w:lineRule="exact"/>
        <w:rPr>
          <w:rFonts w:ascii="Arial" w:cs="Arial" w:eastAsia="Arial" w:hAnsi="Arial"/>
          <w:sz w:val="14"/>
          <w:szCs w:val="14"/>
          <w:color w:val="auto"/>
        </w:rPr>
      </w:pPr>
    </w:p>
    <w:p>
      <w:pPr>
        <w:ind w:left="600" w:hanging="561"/>
        <w:spacing w:after="0"/>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All or a portion of the property is subject to finance lease liabilities.</w:t>
      </w:r>
    </w:p>
    <w:p>
      <w:pPr>
        <w:spacing w:after="0" w:line="28" w:lineRule="exact"/>
        <w:rPr>
          <w:rFonts w:ascii="Arial" w:cs="Arial" w:eastAsia="Arial" w:hAnsi="Arial"/>
          <w:sz w:val="14"/>
          <w:szCs w:val="14"/>
          <w:color w:val="auto"/>
        </w:rPr>
      </w:pPr>
    </w:p>
    <w:p>
      <w:pPr>
        <w:ind w:left="600" w:hanging="561"/>
        <w:spacing w:after="0"/>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This property includes 39 buildings primarily along Washington Street and 14th Street in Hoboken, New Jersey.</w:t>
      </w:r>
    </w:p>
    <w:p>
      <w:pPr>
        <w:spacing w:after="0" w:line="28" w:lineRule="exact"/>
        <w:rPr>
          <w:rFonts w:ascii="Arial" w:cs="Arial" w:eastAsia="Arial" w:hAnsi="Arial"/>
          <w:sz w:val="14"/>
          <w:szCs w:val="14"/>
          <w:color w:val="auto"/>
        </w:rPr>
      </w:pPr>
    </w:p>
    <w:p>
      <w:pPr>
        <w:ind w:left="600" w:hanging="561"/>
        <w:spacing w:after="0"/>
        <w:tabs>
          <w:tab w:leader="none" w:pos="600" w:val="left"/>
        </w:tabs>
        <w:numPr>
          <w:ilvl w:val="0"/>
          <w:numId w:val="20"/>
        </w:numPr>
        <w:rPr>
          <w:rFonts w:ascii="Arial" w:cs="Arial" w:eastAsia="Arial" w:hAnsi="Arial"/>
          <w:sz w:val="14"/>
          <w:szCs w:val="14"/>
          <w:color w:val="auto"/>
        </w:rPr>
      </w:pPr>
      <w:r>
        <w:rPr>
          <w:rFonts w:ascii="Arial" w:cs="Arial" w:eastAsia="Arial" w:hAnsi="Arial"/>
          <w:sz w:val="13"/>
          <w:szCs w:val="13"/>
          <w:color w:val="auto"/>
        </w:rPr>
        <w:t>This property includes interests in five buildings in addition to our initial acquisition.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030"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2021</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0"/>
              </w:rPr>
              <w:t>Number of</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Contractual</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Annual Increase</w:t>
            </w: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Cash Basis %</w:t>
            </w:r>
          </w:p>
        </w:tc>
        <w:tc>
          <w:tcPr>
            <w:tcW w:w="100" w:type="dxa"/>
            <w:vAlign w:val="bottom"/>
          </w:tcPr>
          <w:p>
            <w:pPr>
              <w:spacing w:after="0"/>
              <w:rPr>
                <w:sz w:val="10"/>
                <w:szCs w:val="10"/>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0"/>
              </w:rPr>
              <w:t>Straight-lined</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760" w:type="dxa"/>
            <w:vAlign w:val="bottom"/>
            <w:vMerge w:val="restart"/>
          </w:tcPr>
          <w:p>
            <w:pPr>
              <w:jc w:val="center"/>
              <w:ind w:right="13"/>
              <w:spacing w:after="0"/>
              <w:rPr>
                <w:sz w:val="20"/>
                <w:szCs w:val="20"/>
                <w:color w:val="auto"/>
              </w:rPr>
            </w:pPr>
            <w:r>
              <w:rPr>
                <w:rFonts w:ascii="Arial" w:cs="Arial" w:eastAsia="Arial" w:hAnsi="Arial"/>
                <w:sz w:val="11"/>
                <w:szCs w:val="11"/>
                <w:b w:val="1"/>
                <w:bCs w:val="1"/>
                <w:color w:val="auto"/>
                <w:w w:val="88"/>
              </w:rPr>
              <w:t>Tenant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2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91"/>
              </w:rPr>
              <w:t>% of Comparable</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70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960" w:type="dxa"/>
            <w:vAlign w:val="bottom"/>
            <w:gridSpan w:val="3"/>
            <w:vMerge w:val="continue"/>
          </w:tcPr>
          <w:p>
            <w:pPr>
              <w:spacing w:after="0"/>
              <w:rPr>
                <w:sz w:val="9"/>
                <w:szCs w:val="9"/>
                <w:color w:val="auto"/>
              </w:rPr>
            </w:pPr>
          </w:p>
        </w:tc>
        <w:tc>
          <w:tcPr>
            <w:tcW w:w="10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9"/>
              </w:rPr>
              <w:t>Increase</w:t>
            </w: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vMerge w:val="restart"/>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100" w:type="dxa"/>
            <w:vAlign w:val="bottom"/>
          </w:tcPr>
          <w:p>
            <w:pPr>
              <w:spacing w:after="0"/>
              <w:rPr>
                <w:sz w:val="9"/>
                <w:szCs w:val="9"/>
                <w:color w:val="auto"/>
              </w:rPr>
            </w:pPr>
          </w:p>
        </w:tc>
        <w:tc>
          <w:tcPr>
            <w:tcW w:w="66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0"/>
              </w:rPr>
              <w:t>Leases</w:t>
            </w:r>
          </w:p>
        </w:tc>
        <w:tc>
          <w:tcPr>
            <w:tcW w:w="1020" w:type="dxa"/>
            <w:vAlign w:val="bottom"/>
            <w:gridSpan w:val="4"/>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GLA Signed</w:t>
            </w:r>
          </w:p>
        </w:tc>
        <w:tc>
          <w:tcPr>
            <w:tcW w:w="80" w:type="dxa"/>
            <w:vAlign w:val="bottom"/>
          </w:tcPr>
          <w:p>
            <w:pPr>
              <w:spacing w:after="0"/>
              <w:rPr>
                <w:sz w:val="9"/>
                <w:szCs w:val="9"/>
                <w:color w:val="auto"/>
              </w:rPr>
            </w:pPr>
          </w:p>
        </w:tc>
        <w:tc>
          <w:tcPr>
            <w:tcW w:w="760" w:type="dxa"/>
            <w:vAlign w:val="bottom"/>
            <w:gridSpan w:val="3"/>
          </w:tcPr>
          <w:p>
            <w:pPr>
              <w:spacing w:after="0" w:line="108" w:lineRule="exact"/>
              <w:rPr>
                <w:sz w:val="20"/>
                <w:szCs w:val="20"/>
                <w:color w:val="auto"/>
              </w:rPr>
            </w:pPr>
            <w:r>
              <w:rPr>
                <w:rFonts w:ascii="Arial" w:cs="Arial" w:eastAsia="Arial" w:hAnsi="Arial"/>
                <w:sz w:val="11"/>
                <w:szCs w:val="11"/>
                <w:b w:val="1"/>
                <w:bCs w:val="1"/>
                <w:color w:val="auto"/>
              </w:rPr>
              <w:t>Rent (3) Per</w:t>
            </w:r>
          </w:p>
        </w:tc>
        <w:tc>
          <w:tcPr>
            <w:tcW w:w="7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6"/>
              </w:rPr>
              <w:t>(Decrease) in</w:t>
            </w:r>
          </w:p>
        </w:tc>
        <w:tc>
          <w:tcPr>
            <w:tcW w:w="10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(Decrease)Over</w:t>
            </w:r>
          </w:p>
        </w:tc>
        <w:tc>
          <w:tcPr>
            <w:tcW w:w="94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Basis % Increase</w:t>
            </w:r>
          </w:p>
        </w:tc>
        <w:tc>
          <w:tcPr>
            <w:tcW w:w="7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Lease Term</w:t>
            </w:r>
          </w:p>
        </w:tc>
        <w:tc>
          <w:tcPr>
            <w:tcW w:w="104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86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02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5"/>
              </w:rPr>
              <w:t>Leases Signed</w:t>
            </w:r>
          </w:p>
        </w:tc>
        <w:tc>
          <w:tcPr>
            <w:tcW w:w="900" w:type="dxa"/>
            <w:vAlign w:val="bottom"/>
            <w:gridSpan w:val="2"/>
            <w:vMerge w:val="continue"/>
          </w:tcPr>
          <w:p>
            <w:pPr>
              <w:spacing w:after="0"/>
              <w:rPr>
                <w:sz w:val="12"/>
                <w:szCs w:val="12"/>
                <w:color w:val="auto"/>
              </w:rPr>
            </w:pP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Sq. Ft. (PSF)</w:t>
            </w:r>
          </w:p>
        </w:tc>
        <w:tc>
          <w:tcPr>
            <w:tcW w:w="100" w:type="dxa"/>
            <w:vAlign w:val="bottom"/>
          </w:tcPr>
          <w:p>
            <w:pPr>
              <w:spacing w:after="0"/>
              <w:rPr>
                <w:sz w:val="12"/>
                <w:szCs w:val="12"/>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(4) PSF</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Rent</w:t>
            </w: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Prior Rent</w:t>
            </w:r>
          </w:p>
        </w:tc>
        <w:tc>
          <w:tcPr>
            <w:tcW w:w="940" w:type="dxa"/>
            <w:vAlign w:val="bottom"/>
            <w:gridSpan w:val="3"/>
          </w:tcPr>
          <w:p>
            <w:pPr>
              <w:ind w:left="40"/>
              <w:spacing w:after="0"/>
              <w:rPr>
                <w:sz w:val="20"/>
                <w:szCs w:val="20"/>
                <w:color w:val="auto"/>
              </w:rPr>
            </w:pPr>
            <w:r>
              <w:rPr>
                <w:rFonts w:ascii="Arial" w:cs="Arial" w:eastAsia="Arial" w:hAnsi="Arial"/>
                <w:sz w:val="11"/>
                <w:szCs w:val="11"/>
                <w:b w:val="1"/>
                <w:bCs w:val="1"/>
                <w:color w:val="auto"/>
              </w:rPr>
              <w:t>Over Prior Rent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760" w:type="dxa"/>
            <w:vAlign w:val="bottom"/>
          </w:tcPr>
          <w:p>
            <w:pPr>
              <w:jc w:val="center"/>
              <w:ind w:right="13"/>
              <w:spacing w:after="0"/>
              <w:rPr>
                <w:sz w:val="20"/>
                <w:szCs w:val="20"/>
                <w:color w:val="auto"/>
              </w:rPr>
            </w:pPr>
            <w:r>
              <w:rPr>
                <w:rFonts w:ascii="Arial" w:cs="Arial" w:eastAsia="Arial" w:hAnsi="Arial"/>
                <w:sz w:val="11"/>
                <w:szCs w:val="11"/>
                <w:b w:val="1"/>
                <w:bCs w:val="1"/>
                <w:color w:val="auto"/>
                <w:w w:val="86"/>
              </w:rPr>
              <w:t>Incentives PSF</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2021</w:t>
            </w: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430,234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1,119,874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15,214,700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35.36</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w w:val="98"/>
              </w:rPr>
              <w:t>2nd Quarter 2021</w:t>
            </w:r>
          </w:p>
        </w:tc>
        <w:tc>
          <w:tcPr>
            <w:tcW w:w="640" w:type="dxa"/>
            <w:vAlign w:val="bottom"/>
            <w:gridSpan w:val="2"/>
          </w:tcPr>
          <w:p>
            <w:pPr>
              <w:jc w:val="right"/>
              <w:ind w:right="2"/>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558,490</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37.34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34.72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1,460,996</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28,679,057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51.35</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2021</w:t>
            </w: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506,307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36.58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1,488,763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16,231,682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4th Quarter 2020</w:t>
            </w:r>
          </w:p>
        </w:tc>
        <w:tc>
          <w:tcPr>
            <w:tcW w:w="640" w:type="dxa"/>
            <w:vAlign w:val="bottom"/>
            <w:gridSpan w:val="2"/>
          </w:tcPr>
          <w:p>
            <w:pPr>
              <w:jc w:val="right"/>
              <w:ind w:right="2"/>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449,783</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32.16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31.95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93,635</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12,945,573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28.78</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1"/>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4"/>
                <w:szCs w:val="14"/>
                <w:color w:val="auto"/>
              </w:rPr>
              <w:t>442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1,944,814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4,163,268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73,071,012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37.57</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900" w:type="dxa"/>
            <w:vAlign w:val="bottom"/>
            <w:gridSpan w:val="8"/>
          </w:tcPr>
          <w:p>
            <w:pPr>
              <w:spacing w:after="0"/>
              <w:rPr>
                <w:sz w:val="20"/>
                <w:szCs w:val="20"/>
                <w:color w:val="auto"/>
              </w:rPr>
            </w:pPr>
            <w:r>
              <w:rPr>
                <w:rFonts w:ascii="Arial" w:cs="Arial" w:eastAsia="Arial" w:hAnsi="Arial"/>
                <w:sz w:val="14"/>
                <w:szCs w:val="14"/>
                <w:b w:val="1"/>
                <w:bCs w:val="1"/>
                <w:color w:val="auto"/>
              </w:rPr>
              <w:t>New Lease Summary - Comparable (2)</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0"/>
              </w:rPr>
              <w:t>Number of</w:t>
            </w:r>
          </w:p>
        </w:tc>
        <w:tc>
          <w:tcPr>
            <w:tcW w:w="5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89"/>
              </w:rPr>
              <w:t>Annual Increase</w:t>
            </w: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Cash Basis %</w:t>
            </w:r>
          </w:p>
        </w:tc>
        <w:tc>
          <w:tcPr>
            <w:tcW w:w="10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0"/>
              </w:rPr>
              <w:t>Straight-lined</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1"/>
                <w:szCs w:val="11"/>
                <w:color w:val="auto"/>
              </w:rPr>
            </w:pPr>
          </w:p>
        </w:tc>
        <w:tc>
          <w:tcPr>
            <w:tcW w:w="760" w:type="dxa"/>
            <w:vAlign w:val="bottom"/>
            <w:vMerge w:val="restart"/>
          </w:tcPr>
          <w:p>
            <w:pPr>
              <w:jc w:val="center"/>
              <w:ind w:right="13"/>
              <w:spacing w:after="0"/>
              <w:rPr>
                <w:sz w:val="20"/>
                <w:szCs w:val="20"/>
                <w:color w:val="auto"/>
              </w:rPr>
            </w:pPr>
            <w:r>
              <w:rPr>
                <w:rFonts w:ascii="Arial" w:cs="Arial" w:eastAsia="Arial" w:hAnsi="Arial"/>
                <w:sz w:val="11"/>
                <w:szCs w:val="11"/>
                <w:b w:val="1"/>
                <w:bCs w:val="1"/>
                <w:color w:val="auto"/>
                <w:w w:val="88"/>
              </w:rPr>
              <w:t>Tenant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2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91"/>
              </w:rPr>
              <w:t>% of Comparable</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Contractual</w:t>
            </w:r>
          </w:p>
        </w:tc>
        <w:tc>
          <w:tcPr>
            <w:tcW w:w="70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960" w:type="dxa"/>
            <w:vAlign w:val="bottom"/>
            <w:gridSpan w:val="3"/>
            <w:vMerge w:val="continue"/>
          </w:tcPr>
          <w:p>
            <w:pPr>
              <w:spacing w:after="0"/>
              <w:rPr>
                <w:sz w:val="9"/>
                <w:szCs w:val="9"/>
                <w:color w:val="auto"/>
              </w:rPr>
            </w:pPr>
          </w:p>
        </w:tc>
        <w:tc>
          <w:tcPr>
            <w:tcW w:w="10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9"/>
              </w:rPr>
              <w:t>Increase</w:t>
            </w: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vMerge w:val="restart"/>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100" w:type="dxa"/>
            <w:vAlign w:val="bottom"/>
          </w:tcPr>
          <w:p>
            <w:pPr>
              <w:spacing w:after="0"/>
              <w:rPr>
                <w:sz w:val="9"/>
                <w:szCs w:val="9"/>
                <w:color w:val="auto"/>
              </w:rPr>
            </w:pPr>
          </w:p>
        </w:tc>
        <w:tc>
          <w:tcPr>
            <w:tcW w:w="66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0"/>
              </w:rPr>
              <w:t>Leases</w:t>
            </w:r>
          </w:p>
        </w:tc>
        <w:tc>
          <w:tcPr>
            <w:tcW w:w="1020" w:type="dxa"/>
            <w:vAlign w:val="bottom"/>
            <w:gridSpan w:val="4"/>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GLA Signed</w:t>
            </w:r>
          </w:p>
        </w:tc>
        <w:tc>
          <w:tcPr>
            <w:tcW w:w="8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6"/>
              </w:rPr>
              <w:t>(Decrease) in</w:t>
            </w:r>
          </w:p>
        </w:tc>
        <w:tc>
          <w:tcPr>
            <w:tcW w:w="10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(Decrease)Over</w:t>
            </w:r>
          </w:p>
        </w:tc>
        <w:tc>
          <w:tcPr>
            <w:tcW w:w="94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Basis % Increase</w:t>
            </w:r>
          </w:p>
        </w:tc>
        <w:tc>
          <w:tcPr>
            <w:tcW w:w="7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Lease Term</w:t>
            </w:r>
          </w:p>
        </w:tc>
        <w:tc>
          <w:tcPr>
            <w:tcW w:w="104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86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02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5"/>
              </w:rPr>
              <w:t>Leases Signed</w:t>
            </w:r>
          </w:p>
        </w:tc>
        <w:tc>
          <w:tcPr>
            <w:tcW w:w="900" w:type="dxa"/>
            <w:vAlign w:val="bottom"/>
            <w:gridSpan w:val="2"/>
            <w:vMerge w:val="continue"/>
          </w:tcPr>
          <w:p>
            <w:pPr>
              <w:spacing w:after="0"/>
              <w:rPr>
                <w:sz w:val="12"/>
                <w:szCs w:val="12"/>
                <w:color w:val="auto"/>
              </w:rPr>
            </w:pP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Rent (3) PSF</w:t>
            </w:r>
          </w:p>
        </w:tc>
        <w:tc>
          <w:tcPr>
            <w:tcW w:w="100" w:type="dxa"/>
            <w:vAlign w:val="bottom"/>
          </w:tcPr>
          <w:p>
            <w:pPr>
              <w:spacing w:after="0"/>
              <w:rPr>
                <w:sz w:val="12"/>
                <w:szCs w:val="12"/>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(4) PSF</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Rent</w:t>
            </w: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Prior Rent</w:t>
            </w:r>
          </w:p>
        </w:tc>
        <w:tc>
          <w:tcPr>
            <w:tcW w:w="940" w:type="dxa"/>
            <w:vAlign w:val="bottom"/>
            <w:gridSpan w:val="3"/>
          </w:tcPr>
          <w:p>
            <w:pPr>
              <w:ind w:left="40"/>
              <w:spacing w:after="0"/>
              <w:rPr>
                <w:sz w:val="20"/>
                <w:szCs w:val="20"/>
                <w:color w:val="auto"/>
              </w:rPr>
            </w:pPr>
            <w:r>
              <w:rPr>
                <w:rFonts w:ascii="Arial" w:cs="Arial" w:eastAsia="Arial" w:hAnsi="Arial"/>
                <w:sz w:val="11"/>
                <w:szCs w:val="11"/>
                <w:b w:val="1"/>
                <w:bCs w:val="1"/>
                <w:color w:val="auto"/>
              </w:rPr>
              <w:t>Over Prior Rent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760" w:type="dxa"/>
            <w:vAlign w:val="bottom"/>
          </w:tcPr>
          <w:p>
            <w:pPr>
              <w:jc w:val="center"/>
              <w:ind w:right="13"/>
              <w:spacing w:after="0"/>
              <w:rPr>
                <w:sz w:val="20"/>
                <w:szCs w:val="20"/>
                <w:color w:val="auto"/>
              </w:rPr>
            </w:pPr>
            <w:r>
              <w:rPr>
                <w:rFonts w:ascii="Arial" w:cs="Arial" w:eastAsia="Arial" w:hAnsi="Arial"/>
                <w:sz w:val="11"/>
                <w:szCs w:val="11"/>
                <w:b w:val="1"/>
                <w:bCs w:val="1"/>
                <w:color w:val="auto"/>
                <w:w w:val="86"/>
              </w:rPr>
              <w:t>Incentives PSF</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2021</w:t>
            </w: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47 %</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219,614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592,684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14,322,727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65.22</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w w:val="98"/>
              </w:rPr>
              <w:t>2nd Quarter 2021</w:t>
            </w:r>
          </w:p>
        </w:tc>
        <w:tc>
          <w:tcPr>
            <w:tcW w:w="640" w:type="dxa"/>
            <w:vAlign w:val="bottom"/>
            <w:gridSpan w:val="2"/>
          </w:tcPr>
          <w:p>
            <w:pPr>
              <w:jc w:val="right"/>
              <w:ind w:right="2"/>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60 %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414,602</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36.09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32.60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1,447,345</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28,140,419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67.87</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2021</w:t>
            </w: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52 %</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220,014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1,337,437</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14,773,582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67.15</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4th Quarter 2020</w:t>
            </w:r>
          </w:p>
        </w:tc>
        <w:tc>
          <w:tcPr>
            <w:tcW w:w="640" w:type="dxa"/>
            <w:vAlign w:val="bottom"/>
            <w:gridSpan w:val="2"/>
          </w:tcPr>
          <w:p>
            <w:pPr>
              <w:jc w:val="right"/>
              <w:ind w:right="2"/>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41 %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156,262</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35.65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37.27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(253,720)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12,731,293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81.47</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1"/>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4"/>
                <w:szCs w:val="14"/>
                <w:color w:val="auto"/>
              </w:rPr>
              <w:t>224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51 %</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1,010,492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3,123,746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69,968,021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69.24</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900" w:type="dxa"/>
            <w:vAlign w:val="bottom"/>
            <w:gridSpan w:val="8"/>
          </w:tcPr>
          <w:p>
            <w:pPr>
              <w:spacing w:after="0"/>
              <w:rPr>
                <w:sz w:val="20"/>
                <w:szCs w:val="20"/>
                <w:color w:val="auto"/>
              </w:rPr>
            </w:pPr>
            <w:r>
              <w:rPr>
                <w:rFonts w:ascii="Arial" w:cs="Arial" w:eastAsia="Arial" w:hAnsi="Arial"/>
                <w:sz w:val="14"/>
                <w:szCs w:val="14"/>
                <w:b w:val="1"/>
                <w:bCs w:val="1"/>
                <w:color w:val="auto"/>
                <w:w w:val="94"/>
              </w:rPr>
              <w:t>Renewal Lease Summary - Comparable (2) (8)</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0"/>
              </w:rPr>
              <w:t>Number of</w:t>
            </w:r>
          </w:p>
        </w:tc>
        <w:tc>
          <w:tcPr>
            <w:tcW w:w="5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89"/>
              </w:rPr>
              <w:t>Annual Increase</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8"/>
              </w:rPr>
              <w:t>Cash Basis %</w:t>
            </w:r>
          </w:p>
        </w:tc>
        <w:tc>
          <w:tcPr>
            <w:tcW w:w="10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0"/>
              </w:rPr>
              <w:t>Straight-lined</w:t>
            </w: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1"/>
                <w:szCs w:val="11"/>
                <w:color w:val="auto"/>
              </w:rPr>
            </w:pPr>
          </w:p>
        </w:tc>
        <w:tc>
          <w:tcPr>
            <w:tcW w:w="760" w:type="dxa"/>
            <w:vAlign w:val="bottom"/>
            <w:vMerge w:val="restart"/>
          </w:tcPr>
          <w:p>
            <w:pPr>
              <w:jc w:val="center"/>
              <w:ind w:right="13"/>
              <w:spacing w:after="0"/>
              <w:rPr>
                <w:sz w:val="20"/>
                <w:szCs w:val="20"/>
                <w:color w:val="auto"/>
              </w:rPr>
            </w:pPr>
            <w:r>
              <w:rPr>
                <w:rFonts w:ascii="Arial" w:cs="Arial" w:eastAsia="Arial" w:hAnsi="Arial"/>
                <w:sz w:val="11"/>
                <w:szCs w:val="11"/>
                <w:b w:val="1"/>
                <w:bCs w:val="1"/>
                <w:color w:val="auto"/>
                <w:w w:val="88"/>
              </w:rPr>
              <w:t>Tenant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2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91"/>
              </w:rPr>
              <w:t>% of Comparable</w:t>
            </w: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Contractual</w:t>
            </w:r>
          </w:p>
        </w:tc>
        <w:tc>
          <w:tcPr>
            <w:tcW w:w="70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960" w:type="dxa"/>
            <w:vAlign w:val="bottom"/>
            <w:gridSpan w:val="3"/>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vMerge w:val="restart"/>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100" w:type="dxa"/>
            <w:vAlign w:val="bottom"/>
          </w:tcPr>
          <w:p>
            <w:pPr>
              <w:spacing w:after="0"/>
              <w:rPr>
                <w:sz w:val="9"/>
                <w:szCs w:val="9"/>
                <w:color w:val="auto"/>
              </w:rPr>
            </w:pPr>
          </w:p>
        </w:tc>
        <w:tc>
          <w:tcPr>
            <w:tcW w:w="66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0"/>
              </w:rPr>
              <w:t>Leases</w:t>
            </w:r>
          </w:p>
        </w:tc>
        <w:tc>
          <w:tcPr>
            <w:tcW w:w="1020" w:type="dxa"/>
            <w:vAlign w:val="bottom"/>
            <w:gridSpan w:val="4"/>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GLA Signed</w:t>
            </w:r>
          </w:p>
        </w:tc>
        <w:tc>
          <w:tcPr>
            <w:tcW w:w="8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6"/>
              </w:rPr>
              <w:t>(Decrease) in</w:t>
            </w:r>
          </w:p>
        </w:tc>
        <w:tc>
          <w:tcPr>
            <w:tcW w:w="10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7"/>
              </w:rPr>
              <w:t>Increase Over</w:t>
            </w:r>
          </w:p>
        </w:tc>
        <w:tc>
          <w:tcPr>
            <w:tcW w:w="94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Basis % Increase</w:t>
            </w:r>
          </w:p>
        </w:tc>
        <w:tc>
          <w:tcPr>
            <w:tcW w:w="7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Lease Term</w:t>
            </w:r>
          </w:p>
        </w:tc>
        <w:tc>
          <w:tcPr>
            <w:tcW w:w="104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86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02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5"/>
              </w:rPr>
              <w:t>Leases Signed</w:t>
            </w:r>
          </w:p>
        </w:tc>
        <w:tc>
          <w:tcPr>
            <w:tcW w:w="900" w:type="dxa"/>
            <w:vAlign w:val="bottom"/>
            <w:gridSpan w:val="2"/>
            <w:vMerge w:val="continue"/>
          </w:tcPr>
          <w:p>
            <w:pPr>
              <w:spacing w:after="0"/>
              <w:rPr>
                <w:sz w:val="12"/>
                <w:szCs w:val="12"/>
                <w:color w:val="auto"/>
              </w:rPr>
            </w:pP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Rent (3) PSF</w:t>
            </w:r>
          </w:p>
        </w:tc>
        <w:tc>
          <w:tcPr>
            <w:tcW w:w="100" w:type="dxa"/>
            <w:vAlign w:val="bottom"/>
          </w:tcPr>
          <w:p>
            <w:pPr>
              <w:spacing w:after="0"/>
              <w:rPr>
                <w:sz w:val="12"/>
                <w:szCs w:val="12"/>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(4) PSF</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Rent</w:t>
            </w:r>
          </w:p>
        </w:tc>
        <w:tc>
          <w:tcPr>
            <w:tcW w:w="10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Prior Rent</w:t>
            </w:r>
          </w:p>
        </w:tc>
        <w:tc>
          <w:tcPr>
            <w:tcW w:w="940" w:type="dxa"/>
            <w:vAlign w:val="bottom"/>
            <w:gridSpan w:val="3"/>
          </w:tcPr>
          <w:p>
            <w:pPr>
              <w:ind w:left="40"/>
              <w:spacing w:after="0"/>
              <w:rPr>
                <w:sz w:val="20"/>
                <w:szCs w:val="20"/>
                <w:color w:val="auto"/>
              </w:rPr>
            </w:pPr>
            <w:r>
              <w:rPr>
                <w:rFonts w:ascii="Arial" w:cs="Arial" w:eastAsia="Arial" w:hAnsi="Arial"/>
                <w:sz w:val="11"/>
                <w:szCs w:val="11"/>
                <w:b w:val="1"/>
                <w:bCs w:val="1"/>
                <w:color w:val="auto"/>
              </w:rPr>
              <w:t>Over Prior Rent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760" w:type="dxa"/>
            <w:vAlign w:val="bottom"/>
          </w:tcPr>
          <w:p>
            <w:pPr>
              <w:jc w:val="center"/>
              <w:ind w:right="13"/>
              <w:spacing w:after="0"/>
              <w:rPr>
                <w:sz w:val="20"/>
                <w:szCs w:val="20"/>
                <w:color w:val="auto"/>
              </w:rPr>
            </w:pPr>
            <w:r>
              <w:rPr>
                <w:rFonts w:ascii="Arial" w:cs="Arial" w:eastAsia="Arial" w:hAnsi="Arial"/>
                <w:sz w:val="11"/>
                <w:szCs w:val="11"/>
                <w:b w:val="1"/>
                <w:bCs w:val="1"/>
                <w:color w:val="auto"/>
                <w:w w:val="86"/>
              </w:rPr>
              <w:t>Incentives PSF</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2021</w:t>
            </w: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53 %</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527,190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891,973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w w:val="98"/>
              </w:rPr>
              <w:t>2nd Quarter 2021</w:t>
            </w:r>
          </w:p>
        </w:tc>
        <w:tc>
          <w:tcPr>
            <w:tcW w:w="640" w:type="dxa"/>
            <w:vAlign w:val="bottom"/>
            <w:gridSpan w:val="2"/>
          </w:tcPr>
          <w:p>
            <w:pPr>
              <w:jc w:val="right"/>
              <w:ind w:right="2"/>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40 %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143,888</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40.92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40.82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13,651</w:t>
            </w:r>
          </w:p>
        </w:tc>
        <w:tc>
          <w:tcPr>
            <w:tcW w:w="1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538,638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2021</w:t>
            </w: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48 %</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286,293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151,326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1,458,100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4th Quarter 2020</w:t>
            </w:r>
          </w:p>
        </w:tc>
        <w:tc>
          <w:tcPr>
            <w:tcW w:w="640" w:type="dxa"/>
            <w:vAlign w:val="bottom"/>
            <w:gridSpan w:val="2"/>
          </w:tcPr>
          <w:p>
            <w:pPr>
              <w:jc w:val="right"/>
              <w:ind w:right="2"/>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59 %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293,521</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30.30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29.12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347,355</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214,280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0.73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4"/>
                <w:szCs w:val="14"/>
                <w:color w:val="auto"/>
              </w:rPr>
              <w:t>218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49 %</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934,322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1,039,522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3,102,991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gridSpan w:val="2"/>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800" w:type="dxa"/>
            <w:vAlign w:val="bottom"/>
            <w:gridSpan w:val="10"/>
          </w:tcPr>
          <w:p>
            <w:pPr>
              <w:spacing w:after="0"/>
              <w:rPr>
                <w:sz w:val="20"/>
                <w:szCs w:val="20"/>
                <w:color w:val="auto"/>
              </w:rPr>
            </w:pPr>
            <w:r>
              <w:rPr>
                <w:rFonts w:ascii="Arial" w:cs="Arial" w:eastAsia="Arial" w:hAnsi="Arial"/>
                <w:sz w:val="14"/>
                <w:szCs w:val="14"/>
                <w:b w:val="1"/>
                <w:bCs w:val="1"/>
                <w:color w:val="auto"/>
                <w:w w:val="93"/>
              </w:rPr>
              <w:t>Total Lease Summary - Comparable and Non-comparable (2)</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Number of</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1"/>
                <w:szCs w:val="11"/>
                <w:color w:val="auto"/>
              </w:rPr>
            </w:pPr>
          </w:p>
        </w:tc>
        <w:tc>
          <w:tcPr>
            <w:tcW w:w="760" w:type="dxa"/>
            <w:vAlign w:val="bottom"/>
            <w:vMerge w:val="restart"/>
          </w:tcPr>
          <w:p>
            <w:pPr>
              <w:jc w:val="center"/>
              <w:ind w:right="13"/>
              <w:spacing w:after="0"/>
              <w:rPr>
                <w:sz w:val="20"/>
                <w:szCs w:val="20"/>
                <w:color w:val="auto"/>
              </w:rPr>
            </w:pPr>
            <w:r>
              <w:rPr>
                <w:rFonts w:ascii="Arial" w:cs="Arial" w:eastAsia="Arial" w:hAnsi="Arial"/>
                <w:sz w:val="11"/>
                <w:szCs w:val="11"/>
                <w:b w:val="1"/>
                <w:bCs w:val="1"/>
                <w:color w:val="auto"/>
                <w:w w:val="88"/>
              </w:rPr>
              <w:t>Tenant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1"/>
              </w:rPr>
              <w:t>Contractual</w:t>
            </w:r>
          </w:p>
        </w:tc>
        <w:tc>
          <w:tcPr>
            <w:tcW w:w="7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Average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vMerge w:val="restart"/>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0"/>
              </w:rPr>
              <w:t>Leases</w:t>
            </w:r>
          </w:p>
        </w:tc>
        <w:tc>
          <w:tcPr>
            <w:tcW w:w="100" w:type="dxa"/>
            <w:vAlign w:val="bottom"/>
          </w:tcPr>
          <w:p>
            <w:pPr>
              <w:spacing w:after="0"/>
              <w:rPr>
                <w:sz w:val="9"/>
                <w:szCs w:val="9"/>
                <w:color w:val="auto"/>
              </w:rPr>
            </w:pPr>
          </w:p>
        </w:tc>
        <w:tc>
          <w:tcPr>
            <w:tcW w:w="1860" w:type="dxa"/>
            <w:vAlign w:val="bottom"/>
            <w:gridSpan w:val="4"/>
            <w:vMerge w:val="restart"/>
          </w:tcPr>
          <w:p>
            <w:pPr>
              <w:ind w:left="54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Lease Term</w:t>
            </w:r>
          </w:p>
        </w:tc>
        <w:tc>
          <w:tcPr>
            <w:tcW w:w="104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86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Signed</w:t>
            </w:r>
          </w:p>
        </w:tc>
        <w:tc>
          <w:tcPr>
            <w:tcW w:w="10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Rent (3) PSF</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760" w:type="dxa"/>
            <w:vAlign w:val="bottom"/>
          </w:tcPr>
          <w:p>
            <w:pPr>
              <w:jc w:val="center"/>
              <w:ind w:right="13"/>
              <w:spacing w:after="0"/>
              <w:rPr>
                <w:sz w:val="20"/>
                <w:szCs w:val="20"/>
                <w:color w:val="auto"/>
              </w:rPr>
            </w:pPr>
            <w:r>
              <w:rPr>
                <w:rFonts w:ascii="Arial" w:cs="Arial" w:eastAsia="Arial" w:hAnsi="Arial"/>
                <w:sz w:val="11"/>
                <w:szCs w:val="11"/>
                <w:b w:val="1"/>
                <w:bCs w:val="1"/>
                <w:color w:val="auto"/>
                <w:w w:val="86"/>
              </w:rPr>
              <w:t>Incentives PSF</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2021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481,607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39.87</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24,145,403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50.14</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w w:val="98"/>
              </w:rPr>
              <w:t>2nd Quarter 2021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34"/>
              <w:spacing w:after="0"/>
              <w:rPr>
                <w:sz w:val="20"/>
                <w:szCs w:val="20"/>
                <w:color w:val="auto"/>
              </w:rPr>
            </w:pPr>
            <w:r>
              <w:rPr>
                <w:rFonts w:ascii="Arial" w:cs="Arial" w:eastAsia="Arial" w:hAnsi="Arial"/>
                <w:sz w:val="14"/>
                <w:szCs w:val="14"/>
                <w:color w:val="auto"/>
              </w:rPr>
              <w:t>576,782</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37.57</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29,473,951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51.10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2021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514,636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36.94</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17,005,312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33.04</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2020</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468,901</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32.67</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13,430,989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28.64</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4"/>
                <w:szCs w:val="14"/>
                <w:color w:val="auto"/>
              </w:rPr>
              <w:t>2,041,926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36.83</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84,055,655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41.16</w:t>
            </w:r>
          </w:p>
        </w:tc>
        <w:tc>
          <w:tcPr>
            <w:tcW w:w="3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3"/>
          <w:szCs w:val="13"/>
          <w:u w:val="single" w:color="auto"/>
          <w:color w:val="auto"/>
        </w:rPr>
        <w:t>Notes:</w:t>
      </w:r>
    </w:p>
    <w:p>
      <w:pPr>
        <w:spacing w:after="0" w:line="26" w:lineRule="exact"/>
        <w:rPr>
          <w:sz w:val="20"/>
          <w:szCs w:val="20"/>
          <w:color w:val="auto"/>
        </w:rPr>
      </w:pPr>
    </w:p>
    <w:p>
      <w:pPr>
        <w:ind w:left="620" w:hanging="567"/>
        <w:spacing w:after="0"/>
        <w:tabs>
          <w:tab w:leader="none" w:pos="6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Information reflects activity in retail spaces only; office and residential spaces are not included. See Glossary of Terms for further discussion of information included above.</w:t>
      </w:r>
    </w:p>
    <w:p>
      <w:pPr>
        <w:spacing w:after="0" w:line="26" w:lineRule="exact"/>
        <w:rPr>
          <w:rFonts w:ascii="Arial" w:cs="Arial" w:eastAsia="Arial" w:hAnsi="Arial"/>
          <w:sz w:val="13"/>
          <w:szCs w:val="13"/>
          <w:color w:val="auto"/>
        </w:rPr>
      </w:pPr>
    </w:p>
    <w:p>
      <w:pPr>
        <w:ind w:left="620" w:hanging="567"/>
        <w:spacing w:after="0"/>
        <w:tabs>
          <w:tab w:leader="none" w:pos="6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26" w:lineRule="exact"/>
        <w:rPr>
          <w:rFonts w:ascii="Arial" w:cs="Arial" w:eastAsia="Arial" w:hAnsi="Arial"/>
          <w:sz w:val="13"/>
          <w:szCs w:val="13"/>
          <w:color w:val="auto"/>
        </w:rPr>
      </w:pPr>
    </w:p>
    <w:p>
      <w:pPr>
        <w:ind w:left="620" w:hanging="567"/>
        <w:spacing w:after="0"/>
        <w:tabs>
          <w:tab w:leader="none" w:pos="6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Contractual rent represents annual market rent under the new lease.</w:t>
      </w:r>
    </w:p>
    <w:p>
      <w:pPr>
        <w:spacing w:after="0" w:line="26" w:lineRule="exact"/>
        <w:rPr>
          <w:rFonts w:ascii="Arial" w:cs="Arial" w:eastAsia="Arial" w:hAnsi="Arial"/>
          <w:sz w:val="13"/>
          <w:szCs w:val="13"/>
          <w:color w:val="auto"/>
        </w:rPr>
      </w:pPr>
    </w:p>
    <w:p>
      <w:pPr>
        <w:ind w:left="620" w:hanging="567"/>
        <w:spacing w:after="0"/>
        <w:tabs>
          <w:tab w:leader="none" w:pos="6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Prior rent represents contractual rent from the prior tenant in the final 12 months of the term.</w:t>
      </w:r>
    </w:p>
    <w:p>
      <w:pPr>
        <w:spacing w:after="0" w:line="26" w:lineRule="exact"/>
        <w:rPr>
          <w:rFonts w:ascii="Arial" w:cs="Arial" w:eastAsia="Arial" w:hAnsi="Arial"/>
          <w:sz w:val="13"/>
          <w:szCs w:val="13"/>
          <w:color w:val="auto"/>
        </w:rPr>
      </w:pPr>
    </w:p>
    <w:p>
      <w:pPr>
        <w:ind w:left="620" w:hanging="567"/>
        <w:spacing w:after="0"/>
        <w:tabs>
          <w:tab w:leader="none" w:pos="6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lease.</w:t>
      </w:r>
    </w:p>
    <w:p>
      <w:pPr>
        <w:spacing w:after="0" w:line="26" w:lineRule="exact"/>
        <w:rPr>
          <w:rFonts w:ascii="Arial" w:cs="Arial" w:eastAsia="Arial" w:hAnsi="Arial"/>
          <w:sz w:val="13"/>
          <w:szCs w:val="13"/>
          <w:color w:val="auto"/>
        </w:rPr>
      </w:pPr>
    </w:p>
    <w:p>
      <w:pPr>
        <w:ind w:left="620" w:hanging="567"/>
        <w:spacing w:after="0"/>
        <w:tabs>
          <w:tab w:leader="none" w:pos="6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26" w:lineRule="exact"/>
        <w:rPr>
          <w:rFonts w:ascii="Arial" w:cs="Arial" w:eastAsia="Arial" w:hAnsi="Arial"/>
          <w:sz w:val="13"/>
          <w:szCs w:val="13"/>
          <w:color w:val="auto"/>
        </w:rPr>
      </w:pPr>
    </w:p>
    <w:p>
      <w:pPr>
        <w:ind w:left="620" w:right="300" w:hanging="567"/>
        <w:spacing w:after="0" w:line="249" w:lineRule="auto"/>
        <w:tabs>
          <w:tab w:leader="none" w:pos="6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Approximately $2.3 million ($3.42 per square foot) in 3rd Quarter 2021, $2.9 million ($1.75 per square foot) in 2nd Quarter 2021, and $0.1 million ($0.03 per square foot) in 4th Quarter 2020 of the Tenant Improvements &amp; Incentives are for properties under active redevelopment and are included in the Projected Cost for those properties on the Summary of Redevelopment Opportunities.</w:t>
      </w:r>
    </w:p>
    <w:p>
      <w:pPr>
        <w:spacing w:after="0" w:line="10" w:lineRule="exact"/>
        <w:rPr>
          <w:rFonts w:ascii="Arial" w:cs="Arial" w:eastAsia="Arial" w:hAnsi="Arial"/>
          <w:sz w:val="12"/>
          <w:szCs w:val="12"/>
          <w:color w:val="auto"/>
        </w:rPr>
      </w:pPr>
    </w:p>
    <w:p>
      <w:pPr>
        <w:ind w:left="620" w:hanging="567"/>
        <w:spacing w:after="0"/>
        <w:tabs>
          <w:tab w:leader="none" w:pos="6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26" w:lineRule="exact"/>
        <w:rPr>
          <w:rFonts w:ascii="Arial" w:cs="Arial" w:eastAsia="Arial" w:hAnsi="Arial"/>
          <w:sz w:val="13"/>
          <w:szCs w:val="13"/>
          <w:color w:val="auto"/>
        </w:rPr>
      </w:pPr>
    </w:p>
    <w:p>
      <w:pPr>
        <w:ind w:left="620" w:right="80" w:hanging="567"/>
        <w:spacing w:after="0" w:line="300" w:lineRule="auto"/>
        <w:tabs>
          <w:tab w:leader="none" w:pos="620" w:val="left"/>
        </w:tabs>
        <w:numPr>
          <w:ilvl w:val="0"/>
          <w:numId w:val="21"/>
        </w:numPr>
        <w:rPr>
          <w:rFonts w:ascii="Arial" w:cs="Arial" w:eastAsia="Arial" w:hAnsi="Arial"/>
          <w:sz w:val="10"/>
          <w:szCs w:val="10"/>
          <w:color w:val="auto"/>
        </w:rPr>
      </w:pPr>
      <w:r>
        <w:rPr>
          <w:rFonts w:ascii="Arial" w:cs="Arial" w:eastAsia="Arial" w:hAnsi="Arial"/>
          <w:sz w:val="10"/>
          <w:szCs w:val="10"/>
          <w:color w:val="auto"/>
        </w:rPr>
        <w:t>The Number of Leases Signed, GLA Signed, Contractual Rent Per Sq. Ft. and Weighted Average Lease Term columns include information for leases signed at Phase 3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3 of Assembly Row and Pike &amp; Rose are included in the Projected Cost column for those projects shown on the Assembly Row and Pike &amp; Rose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030" w:right="339" w:bottom="1440" w:gutter="0" w:footer="0" w:header="0"/>
        </w:sectPr>
      </w:pPr>
    </w:p>
    <w:bookmarkStart w:id="28" w:name="page29"/>
    <w:bookmarkEnd w:id="28"/>
    <w:p>
      <w:pPr>
        <w:ind w:left="1"/>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Lease Expirations</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68287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82875" cy="154305"/>
                    </a:xfrm>
                    <a:prstGeom prst="rect">
                      <a:avLst/>
                    </a:prstGeom>
                    <a:noFill/>
                  </pic:spPr>
                </pic:pic>
              </a:graphicData>
            </a:graphic>
          </wp:anchor>
        </w:drawing>
      </w:r>
    </w:p>
    <w:p>
      <w:pPr>
        <w:spacing w:after="0" w:line="232" w:lineRule="exact"/>
        <w:rPr>
          <w:sz w:val="20"/>
          <w:szCs w:val="20"/>
          <w:color w:val="auto"/>
        </w:rPr>
      </w:pPr>
    </w:p>
    <w:p>
      <w:pPr>
        <w:ind w:left="21"/>
        <w:spacing w:after="0"/>
        <w:rPr>
          <w:sz w:val="20"/>
          <w:szCs w:val="20"/>
          <w:color w:val="auto"/>
        </w:rPr>
      </w:pPr>
      <w:r>
        <w:rPr>
          <w:rFonts w:ascii="Arial" w:cs="Arial" w:eastAsia="Arial" w:hAnsi="Arial"/>
          <w:sz w:val="16"/>
          <w:szCs w:val="16"/>
          <w:b w:val="1"/>
          <w:bCs w:val="1"/>
          <w:color w:val="auto"/>
        </w:rPr>
        <w:t>Assumes no exercise of lease options</w:t>
      </w:r>
    </w:p>
    <w:p>
      <w:pPr>
        <w:spacing w:after="0" w:line="118" w:lineRule="exact"/>
        <w:rPr>
          <w:sz w:val="20"/>
          <w:szCs w:val="20"/>
          <w:color w:val="auto"/>
        </w:rPr>
      </w:pPr>
    </w:p>
    <w:tbl>
      <w:tblPr>
        <w:tblLayout w:type="fixed"/>
        <w:tblInd w:w="11"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222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92"/>
              </w:rPr>
              <w:t>Anchor Tenants (1)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89"/>
              </w:rPr>
              <w:t>Small Shop Tenants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12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 of Anchor</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9"/>
              </w:rPr>
              <w:t>Minimum Rent</w:t>
            </w:r>
          </w:p>
        </w:tc>
        <w:tc>
          <w:tcPr>
            <w:tcW w:w="220" w:type="dxa"/>
            <w:vAlign w:val="bottom"/>
          </w:tcPr>
          <w:p>
            <w:pPr>
              <w:spacing w:after="0"/>
              <w:rPr>
                <w:sz w:val="11"/>
                <w:szCs w:val="11"/>
                <w:color w:val="auto"/>
              </w:rPr>
            </w:pPr>
          </w:p>
        </w:tc>
        <w:tc>
          <w:tcPr>
            <w:tcW w:w="12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of Small</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240" w:type="dxa"/>
            <w:vAlign w:val="bottom"/>
          </w:tcPr>
          <w:p>
            <w:pPr>
              <w:spacing w:after="0"/>
              <w:rPr>
                <w:sz w:val="11"/>
                <w:szCs w:val="11"/>
                <w:color w:val="auto"/>
              </w:rPr>
            </w:pPr>
          </w:p>
        </w:tc>
        <w:tc>
          <w:tcPr>
            <w:tcW w:w="13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920" w:type="dxa"/>
            <w:vAlign w:val="bottom"/>
          </w:tcPr>
          <w:p>
            <w:pPr>
              <w:jc w:val="right"/>
              <w:ind w:right="101"/>
              <w:spacing w:after="0" w:line="135" w:lineRule="exact"/>
              <w:rPr>
                <w:sz w:val="20"/>
                <w:szCs w:val="20"/>
                <w:color w:val="auto"/>
              </w:rPr>
            </w:pPr>
            <w:r>
              <w:rPr>
                <w:rFonts w:ascii="Arial" w:cs="Arial" w:eastAsia="Arial" w:hAnsi="Arial"/>
                <w:sz w:val="14"/>
                <w:szCs w:val="14"/>
                <w:b w:val="1"/>
                <w:bCs w:val="1"/>
                <w:color w:val="auto"/>
              </w:rPr>
              <w:t>% of Total</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0" w:type="dxa"/>
            <w:vAlign w:val="bottom"/>
          </w:tcPr>
          <w:p>
            <w:pPr>
              <w:spacing w:after="0"/>
              <w:rPr>
                <w:sz w:val="1"/>
                <w:szCs w:val="1"/>
                <w:color w:val="auto"/>
              </w:rPr>
            </w:pPr>
          </w:p>
        </w:tc>
      </w:tr>
      <w:tr>
        <w:trPr>
          <w:trHeight w:val="188"/>
        </w:trPr>
        <w:tc>
          <w:tcPr>
            <w:tcW w:w="9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SF</w:t>
            </w:r>
          </w:p>
        </w:tc>
        <w:tc>
          <w:tcPr>
            <w:tcW w:w="1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40" w:type="dxa"/>
            <w:vAlign w:val="bottom"/>
            <w:vMerge w:val="continue"/>
          </w:tcPr>
          <w:p>
            <w:pPr>
              <w:spacing w:after="0"/>
              <w:rPr>
                <w:sz w:val="16"/>
                <w:szCs w:val="16"/>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Shop SF</w:t>
            </w:r>
          </w:p>
        </w:tc>
        <w:tc>
          <w:tcPr>
            <w:tcW w:w="1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300" w:type="dxa"/>
            <w:vAlign w:val="bottom"/>
            <w:vMerge w:val="continue"/>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Arial" w:cs="Arial" w:eastAsia="Arial" w:hAnsi="Arial"/>
                <w:sz w:val="14"/>
                <w:szCs w:val="14"/>
                <w:b w:val="1"/>
                <w:bCs w:val="1"/>
                <w:color w:val="auto"/>
              </w:rPr>
              <w:t>SF</w:t>
            </w: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11"/>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226,000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3 % $</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31.51</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386,000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 $</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24.01</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00" w:type="dxa"/>
            <w:vAlign w:val="bottom"/>
          </w:tcPr>
          <w:p>
            <w:pPr>
              <w:jc w:val="right"/>
              <w:spacing w:after="0"/>
              <w:rPr>
                <w:sz w:val="20"/>
                <w:szCs w:val="20"/>
                <w:color w:val="auto"/>
              </w:rPr>
            </w:pPr>
            <w:r>
              <w:rPr>
                <w:rFonts w:ascii="Arial" w:cs="Arial" w:eastAsia="Arial" w:hAnsi="Arial"/>
                <w:sz w:val="16"/>
                <w:szCs w:val="16"/>
                <w:color w:val="auto"/>
              </w:rPr>
              <w:t>903,000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6 % $</w:t>
            </w:r>
          </w:p>
        </w:tc>
        <w:tc>
          <w:tcPr>
            <w:tcW w:w="900" w:type="dxa"/>
            <w:vAlign w:val="bottom"/>
          </w:tcPr>
          <w:p>
            <w:pPr>
              <w:jc w:val="right"/>
              <w:spacing w:after="0"/>
              <w:rPr>
                <w:sz w:val="20"/>
                <w:szCs w:val="20"/>
                <w:color w:val="auto"/>
              </w:rPr>
            </w:pPr>
            <w:r>
              <w:rPr>
                <w:rFonts w:ascii="Arial" w:cs="Arial" w:eastAsia="Arial" w:hAnsi="Arial"/>
                <w:sz w:val="16"/>
                <w:szCs w:val="16"/>
                <w:color w:val="auto"/>
              </w:rPr>
              <w:t>19.48</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805,000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11 % $</w:t>
            </w:r>
          </w:p>
        </w:tc>
        <w:tc>
          <w:tcPr>
            <w:tcW w:w="880" w:type="dxa"/>
            <w:vAlign w:val="bottom"/>
          </w:tcPr>
          <w:p>
            <w:pPr>
              <w:jc w:val="right"/>
              <w:spacing w:after="0"/>
              <w:rPr>
                <w:sz w:val="20"/>
                <w:szCs w:val="20"/>
                <w:color w:val="auto"/>
              </w:rPr>
            </w:pPr>
            <w:r>
              <w:rPr>
                <w:rFonts w:ascii="Arial" w:cs="Arial" w:eastAsia="Arial" w:hAnsi="Arial"/>
                <w:sz w:val="16"/>
                <w:szCs w:val="16"/>
                <w:color w:val="auto"/>
              </w:rPr>
              <w:t>42.96</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1,708,000</w:t>
            </w:r>
          </w:p>
        </w:tc>
        <w:tc>
          <w:tcPr>
            <w:tcW w:w="920" w:type="dxa"/>
            <w:vAlign w:val="bottom"/>
          </w:tcPr>
          <w:p>
            <w:pPr>
              <w:jc w:val="right"/>
              <w:spacing w:after="0"/>
              <w:rPr>
                <w:sz w:val="20"/>
                <w:szCs w:val="20"/>
                <w:color w:val="auto"/>
              </w:rPr>
            </w:pPr>
            <w:r>
              <w:rPr>
                <w:rFonts w:ascii="Arial" w:cs="Arial" w:eastAsia="Arial" w:hAnsi="Arial"/>
                <w:sz w:val="16"/>
                <w:szCs w:val="16"/>
                <w:color w:val="auto"/>
              </w:rPr>
              <w:t>7 % $</w:t>
            </w:r>
          </w:p>
        </w:tc>
        <w:tc>
          <w:tcPr>
            <w:tcW w:w="1020" w:type="dxa"/>
            <w:vAlign w:val="bottom"/>
          </w:tcPr>
          <w:p>
            <w:pPr>
              <w:jc w:val="right"/>
              <w:spacing w:after="0"/>
              <w:rPr>
                <w:sz w:val="20"/>
                <w:szCs w:val="20"/>
                <w:color w:val="auto"/>
              </w:rPr>
            </w:pPr>
            <w:r>
              <w:rPr>
                <w:rFonts w:ascii="Arial" w:cs="Arial" w:eastAsia="Arial" w:hAnsi="Arial"/>
                <w:sz w:val="16"/>
                <w:szCs w:val="16"/>
                <w:color w:val="auto"/>
              </w:rPr>
              <w:t>30.54</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10 %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1,044,000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14 %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43.30</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2,567,000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00" w:type="dxa"/>
            <w:vAlign w:val="bottom"/>
          </w:tcPr>
          <w:p>
            <w:pPr>
              <w:jc w:val="right"/>
              <w:spacing w:after="0"/>
              <w:rPr>
                <w:sz w:val="20"/>
                <w:szCs w:val="20"/>
                <w:color w:val="auto"/>
              </w:rPr>
            </w:pPr>
            <w:r>
              <w:rPr>
                <w:rFonts w:ascii="Arial" w:cs="Arial" w:eastAsia="Arial" w:hAnsi="Arial"/>
                <w:sz w:val="16"/>
                <w:szCs w:val="16"/>
                <w:color w:val="auto"/>
              </w:rPr>
              <w:t>2,600,000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17 % $</w:t>
            </w:r>
          </w:p>
        </w:tc>
        <w:tc>
          <w:tcPr>
            <w:tcW w:w="900" w:type="dxa"/>
            <w:vAlign w:val="bottom"/>
          </w:tcPr>
          <w:p>
            <w:pPr>
              <w:jc w:val="right"/>
              <w:spacing w:after="0"/>
              <w:rPr>
                <w:sz w:val="20"/>
                <w:szCs w:val="20"/>
                <w:color w:val="auto"/>
              </w:rPr>
            </w:pPr>
            <w:r>
              <w:rPr>
                <w:rFonts w:ascii="Arial" w:cs="Arial" w:eastAsia="Arial" w:hAnsi="Arial"/>
                <w:sz w:val="16"/>
                <w:szCs w:val="16"/>
                <w:color w:val="auto"/>
              </w:rPr>
              <w:t>18.06</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979,000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14 % $</w:t>
            </w:r>
          </w:p>
        </w:tc>
        <w:tc>
          <w:tcPr>
            <w:tcW w:w="880" w:type="dxa"/>
            <w:vAlign w:val="bottom"/>
          </w:tcPr>
          <w:p>
            <w:pPr>
              <w:jc w:val="right"/>
              <w:spacing w:after="0"/>
              <w:rPr>
                <w:sz w:val="20"/>
                <w:szCs w:val="20"/>
                <w:color w:val="auto"/>
              </w:rPr>
            </w:pPr>
            <w:r>
              <w:rPr>
                <w:rFonts w:ascii="Arial" w:cs="Arial" w:eastAsia="Arial" w:hAnsi="Arial"/>
                <w:sz w:val="16"/>
                <w:szCs w:val="16"/>
                <w:color w:val="auto"/>
              </w:rPr>
              <w:t>46.77</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3,579,000</w:t>
            </w:r>
          </w:p>
        </w:tc>
        <w:tc>
          <w:tcPr>
            <w:tcW w:w="920" w:type="dxa"/>
            <w:vAlign w:val="bottom"/>
          </w:tcPr>
          <w:p>
            <w:pPr>
              <w:jc w:val="right"/>
              <w:spacing w:after="0"/>
              <w:rPr>
                <w:sz w:val="20"/>
                <w:szCs w:val="20"/>
                <w:color w:val="auto"/>
              </w:rPr>
            </w:pPr>
            <w:r>
              <w:rPr>
                <w:rFonts w:ascii="Arial" w:cs="Arial" w:eastAsia="Arial" w:hAnsi="Arial"/>
                <w:sz w:val="16"/>
                <w:szCs w:val="16"/>
                <w:color w:val="auto"/>
              </w:rPr>
              <w:t>16 % $</w:t>
            </w:r>
          </w:p>
        </w:tc>
        <w:tc>
          <w:tcPr>
            <w:tcW w:w="1020" w:type="dxa"/>
            <w:vAlign w:val="bottom"/>
          </w:tcPr>
          <w:p>
            <w:pPr>
              <w:jc w:val="right"/>
              <w:spacing w:after="0"/>
              <w:rPr>
                <w:sz w:val="20"/>
                <w:szCs w:val="20"/>
                <w:color w:val="auto"/>
              </w:rPr>
            </w:pPr>
            <w:r>
              <w:rPr>
                <w:rFonts w:ascii="Arial" w:cs="Arial" w:eastAsia="Arial" w:hAnsi="Arial"/>
                <w:sz w:val="16"/>
                <w:szCs w:val="16"/>
                <w:color w:val="auto"/>
              </w:rPr>
              <w:t>25.91</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14 %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1,020,000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14 %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41.42</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3,145,000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00" w:type="dxa"/>
            <w:vAlign w:val="bottom"/>
          </w:tcPr>
          <w:p>
            <w:pPr>
              <w:jc w:val="right"/>
              <w:spacing w:after="0"/>
              <w:rPr>
                <w:sz w:val="20"/>
                <w:szCs w:val="20"/>
                <w:color w:val="auto"/>
              </w:rPr>
            </w:pPr>
            <w:r>
              <w:rPr>
                <w:rFonts w:ascii="Arial" w:cs="Arial" w:eastAsia="Arial" w:hAnsi="Arial"/>
                <w:sz w:val="16"/>
                <w:szCs w:val="16"/>
                <w:color w:val="auto"/>
              </w:rPr>
              <w:t>1,310,000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8 % $</w:t>
            </w:r>
          </w:p>
        </w:tc>
        <w:tc>
          <w:tcPr>
            <w:tcW w:w="900" w:type="dxa"/>
            <w:vAlign w:val="bottom"/>
          </w:tcPr>
          <w:p>
            <w:pPr>
              <w:jc w:val="right"/>
              <w:spacing w:after="0"/>
              <w:rPr>
                <w:sz w:val="20"/>
                <w:szCs w:val="20"/>
                <w:color w:val="auto"/>
              </w:rPr>
            </w:pPr>
            <w:r>
              <w:rPr>
                <w:rFonts w:ascii="Arial" w:cs="Arial" w:eastAsia="Arial" w:hAnsi="Arial"/>
                <w:sz w:val="16"/>
                <w:szCs w:val="16"/>
                <w:color w:val="auto"/>
              </w:rPr>
              <w:t>21.88</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793,000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11 % $</w:t>
            </w:r>
          </w:p>
        </w:tc>
        <w:tc>
          <w:tcPr>
            <w:tcW w:w="880" w:type="dxa"/>
            <w:vAlign w:val="bottom"/>
          </w:tcPr>
          <w:p>
            <w:pPr>
              <w:jc w:val="right"/>
              <w:spacing w:after="0"/>
              <w:rPr>
                <w:sz w:val="20"/>
                <w:szCs w:val="20"/>
                <w:color w:val="auto"/>
              </w:rPr>
            </w:pPr>
            <w:r>
              <w:rPr>
                <w:rFonts w:ascii="Arial" w:cs="Arial" w:eastAsia="Arial" w:hAnsi="Arial"/>
                <w:sz w:val="16"/>
                <w:szCs w:val="16"/>
                <w:color w:val="auto"/>
              </w:rPr>
              <w:t>48.60</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2,103,000</w:t>
            </w:r>
          </w:p>
        </w:tc>
        <w:tc>
          <w:tcPr>
            <w:tcW w:w="920" w:type="dxa"/>
            <w:vAlign w:val="bottom"/>
          </w:tcPr>
          <w:p>
            <w:pPr>
              <w:jc w:val="right"/>
              <w:spacing w:after="0"/>
              <w:rPr>
                <w:sz w:val="20"/>
                <w:szCs w:val="20"/>
                <w:color w:val="auto"/>
              </w:rPr>
            </w:pPr>
            <w:r>
              <w:rPr>
                <w:rFonts w:ascii="Arial" w:cs="Arial" w:eastAsia="Arial" w:hAnsi="Arial"/>
                <w:sz w:val="16"/>
                <w:szCs w:val="16"/>
                <w:color w:val="auto"/>
              </w:rPr>
              <w:t>9 % $</w:t>
            </w:r>
          </w:p>
        </w:tc>
        <w:tc>
          <w:tcPr>
            <w:tcW w:w="1020" w:type="dxa"/>
            <w:vAlign w:val="bottom"/>
          </w:tcPr>
          <w:p>
            <w:pPr>
              <w:jc w:val="right"/>
              <w:spacing w:after="0"/>
              <w:rPr>
                <w:sz w:val="20"/>
                <w:szCs w:val="20"/>
                <w:color w:val="auto"/>
              </w:rPr>
            </w:pPr>
            <w:r>
              <w:rPr>
                <w:rFonts w:ascii="Arial" w:cs="Arial" w:eastAsia="Arial" w:hAnsi="Arial"/>
                <w:sz w:val="16"/>
                <w:szCs w:val="16"/>
                <w:color w:val="auto"/>
              </w:rPr>
              <w:t>31.95</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9 %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632,000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9 %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50.77</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2,080,000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1200" w:type="dxa"/>
            <w:vAlign w:val="bottom"/>
          </w:tcPr>
          <w:p>
            <w:pPr>
              <w:jc w:val="right"/>
              <w:spacing w:after="0"/>
              <w:rPr>
                <w:sz w:val="20"/>
                <w:szCs w:val="20"/>
                <w:color w:val="auto"/>
              </w:rPr>
            </w:pPr>
            <w:r>
              <w:rPr>
                <w:rFonts w:ascii="Arial" w:cs="Arial" w:eastAsia="Arial" w:hAnsi="Arial"/>
                <w:sz w:val="16"/>
                <w:szCs w:val="16"/>
                <w:color w:val="auto"/>
              </w:rPr>
              <w:t>1,085,000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7 % $</w:t>
            </w:r>
          </w:p>
        </w:tc>
        <w:tc>
          <w:tcPr>
            <w:tcW w:w="900" w:type="dxa"/>
            <w:vAlign w:val="bottom"/>
          </w:tcPr>
          <w:p>
            <w:pPr>
              <w:jc w:val="right"/>
              <w:spacing w:after="0"/>
              <w:rPr>
                <w:sz w:val="20"/>
                <w:szCs w:val="20"/>
                <w:color w:val="auto"/>
              </w:rPr>
            </w:pPr>
            <w:r>
              <w:rPr>
                <w:rFonts w:ascii="Arial" w:cs="Arial" w:eastAsia="Arial" w:hAnsi="Arial"/>
                <w:sz w:val="16"/>
                <w:szCs w:val="16"/>
                <w:color w:val="auto"/>
              </w:rPr>
              <w:t>20.02</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436,000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tcPr>
          <w:p>
            <w:pPr>
              <w:jc w:val="right"/>
              <w:spacing w:after="0"/>
              <w:rPr>
                <w:sz w:val="20"/>
                <w:szCs w:val="20"/>
                <w:color w:val="auto"/>
              </w:rPr>
            </w:pPr>
            <w:r>
              <w:rPr>
                <w:rFonts w:ascii="Arial" w:cs="Arial" w:eastAsia="Arial" w:hAnsi="Arial"/>
                <w:sz w:val="16"/>
                <w:szCs w:val="16"/>
                <w:color w:val="auto"/>
              </w:rPr>
              <w:t>53.11</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1,521,000</w:t>
            </w:r>
          </w:p>
        </w:tc>
        <w:tc>
          <w:tcPr>
            <w:tcW w:w="920" w:type="dxa"/>
            <w:vAlign w:val="bottom"/>
          </w:tcPr>
          <w:p>
            <w:pPr>
              <w:jc w:val="right"/>
              <w:spacing w:after="0"/>
              <w:rPr>
                <w:sz w:val="20"/>
                <w:szCs w:val="20"/>
                <w:color w:val="auto"/>
              </w:rPr>
            </w:pPr>
            <w:r>
              <w:rPr>
                <w:rFonts w:ascii="Arial" w:cs="Arial" w:eastAsia="Arial" w:hAnsi="Arial"/>
                <w:sz w:val="16"/>
                <w:szCs w:val="16"/>
                <w:color w:val="auto"/>
              </w:rPr>
              <w:t>7 % $</w:t>
            </w:r>
          </w:p>
        </w:tc>
        <w:tc>
          <w:tcPr>
            <w:tcW w:w="1020" w:type="dxa"/>
            <w:vAlign w:val="bottom"/>
          </w:tcPr>
          <w:p>
            <w:pPr>
              <w:jc w:val="right"/>
              <w:spacing w:after="0"/>
              <w:rPr>
                <w:sz w:val="20"/>
                <w:szCs w:val="20"/>
                <w:color w:val="auto"/>
              </w:rPr>
            </w:pPr>
            <w:r>
              <w:rPr>
                <w:rFonts w:ascii="Arial" w:cs="Arial" w:eastAsia="Arial" w:hAnsi="Arial"/>
                <w:sz w:val="16"/>
                <w:szCs w:val="16"/>
                <w:color w:val="auto"/>
              </w:rPr>
              <w:t>29.50</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415,000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47.16</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1,431,000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2030</w:t>
            </w:r>
          </w:p>
        </w:tc>
        <w:tc>
          <w:tcPr>
            <w:tcW w:w="1200" w:type="dxa"/>
            <w:vAlign w:val="bottom"/>
          </w:tcPr>
          <w:p>
            <w:pPr>
              <w:jc w:val="right"/>
              <w:spacing w:after="0"/>
              <w:rPr>
                <w:sz w:val="20"/>
                <w:szCs w:val="20"/>
                <w:color w:val="auto"/>
              </w:rPr>
            </w:pPr>
            <w:r>
              <w:rPr>
                <w:rFonts w:ascii="Arial" w:cs="Arial" w:eastAsia="Arial" w:hAnsi="Arial"/>
                <w:sz w:val="16"/>
                <w:szCs w:val="16"/>
                <w:color w:val="auto"/>
              </w:rPr>
              <w:t>830,000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5 % $</w:t>
            </w:r>
          </w:p>
        </w:tc>
        <w:tc>
          <w:tcPr>
            <w:tcW w:w="900" w:type="dxa"/>
            <w:vAlign w:val="bottom"/>
          </w:tcPr>
          <w:p>
            <w:pPr>
              <w:jc w:val="right"/>
              <w:spacing w:after="0"/>
              <w:rPr>
                <w:sz w:val="20"/>
                <w:szCs w:val="20"/>
                <w:color w:val="auto"/>
              </w:rPr>
            </w:pPr>
            <w:r>
              <w:rPr>
                <w:rFonts w:ascii="Arial" w:cs="Arial" w:eastAsia="Arial" w:hAnsi="Arial"/>
                <w:sz w:val="16"/>
                <w:szCs w:val="16"/>
                <w:color w:val="auto"/>
              </w:rPr>
              <w:t>18.00</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272,000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4 % $</w:t>
            </w:r>
          </w:p>
        </w:tc>
        <w:tc>
          <w:tcPr>
            <w:tcW w:w="880" w:type="dxa"/>
            <w:vAlign w:val="bottom"/>
          </w:tcPr>
          <w:p>
            <w:pPr>
              <w:jc w:val="right"/>
              <w:spacing w:after="0"/>
              <w:rPr>
                <w:sz w:val="20"/>
                <w:szCs w:val="20"/>
                <w:color w:val="auto"/>
              </w:rPr>
            </w:pPr>
            <w:r>
              <w:rPr>
                <w:rFonts w:ascii="Arial" w:cs="Arial" w:eastAsia="Arial" w:hAnsi="Arial"/>
                <w:sz w:val="16"/>
                <w:szCs w:val="16"/>
                <w:color w:val="auto"/>
              </w:rPr>
              <w:t>50.30</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1,103,000</w:t>
            </w:r>
          </w:p>
        </w:tc>
        <w:tc>
          <w:tcPr>
            <w:tcW w:w="920" w:type="dxa"/>
            <w:vAlign w:val="bottom"/>
          </w:tcPr>
          <w:p>
            <w:pPr>
              <w:jc w:val="right"/>
              <w:spacing w:after="0"/>
              <w:rPr>
                <w:sz w:val="20"/>
                <w:szCs w:val="20"/>
                <w:color w:val="auto"/>
              </w:rPr>
            </w:pPr>
            <w:r>
              <w:rPr>
                <w:rFonts w:ascii="Arial" w:cs="Arial" w:eastAsia="Arial" w:hAnsi="Arial"/>
                <w:sz w:val="16"/>
                <w:szCs w:val="16"/>
                <w:color w:val="auto"/>
              </w:rPr>
              <w:t>5 % $</w:t>
            </w:r>
          </w:p>
        </w:tc>
        <w:tc>
          <w:tcPr>
            <w:tcW w:w="1020" w:type="dxa"/>
            <w:vAlign w:val="bottom"/>
          </w:tcPr>
          <w:p>
            <w:pPr>
              <w:jc w:val="right"/>
              <w:spacing w:after="0"/>
              <w:rPr>
                <w:sz w:val="20"/>
                <w:szCs w:val="20"/>
                <w:color w:val="auto"/>
              </w:rPr>
            </w:pPr>
            <w:r>
              <w:rPr>
                <w:rFonts w:ascii="Arial" w:cs="Arial" w:eastAsia="Arial" w:hAnsi="Arial"/>
                <w:sz w:val="16"/>
                <w:szCs w:val="16"/>
                <w:color w:val="auto"/>
              </w:rPr>
              <w:t>25.97</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2,744,000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17 % $</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28.03</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584,000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8 %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44.41</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3,329,000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30.91</w:t>
            </w:r>
          </w:p>
        </w:tc>
        <w:tc>
          <w:tcPr>
            <w:tcW w:w="0" w:type="dxa"/>
            <w:vAlign w:val="bottom"/>
          </w:tcPr>
          <w:p>
            <w:pPr>
              <w:spacing w:after="0"/>
              <w:rPr>
                <w:sz w:val="1"/>
                <w:szCs w:val="1"/>
                <w:color w:val="auto"/>
              </w:rPr>
            </w:pPr>
          </w:p>
        </w:tc>
      </w:tr>
      <w:tr>
        <w:trPr>
          <w:trHeight w:val="212"/>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15,745,000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100 %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7,206,000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100 %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45.51</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22,952,000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29.32</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20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Assumes all lease options are exercised</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980" w:type="dxa"/>
            <w:vAlign w:val="bottom"/>
          </w:tcPr>
          <w:p>
            <w:pPr>
              <w:spacing w:after="0"/>
              <w:rPr>
                <w:sz w:val="22"/>
                <w:szCs w:val="22"/>
                <w:color w:val="auto"/>
              </w:rPr>
            </w:pPr>
          </w:p>
        </w:tc>
        <w:tc>
          <w:tcPr>
            <w:tcW w:w="222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92"/>
              </w:rPr>
              <w:t>Anchor Tenants (1)</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89"/>
              </w:rPr>
              <w:t>Small Shop Tenants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9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12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 of Anchor</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9"/>
              </w:rPr>
              <w:t>Minimum Rent</w:t>
            </w:r>
          </w:p>
        </w:tc>
        <w:tc>
          <w:tcPr>
            <w:tcW w:w="220" w:type="dxa"/>
            <w:vAlign w:val="bottom"/>
          </w:tcPr>
          <w:p>
            <w:pPr>
              <w:spacing w:after="0"/>
              <w:rPr>
                <w:sz w:val="11"/>
                <w:szCs w:val="11"/>
                <w:color w:val="auto"/>
              </w:rPr>
            </w:pPr>
          </w:p>
        </w:tc>
        <w:tc>
          <w:tcPr>
            <w:tcW w:w="12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of Small</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240" w:type="dxa"/>
            <w:vAlign w:val="bottom"/>
          </w:tcPr>
          <w:p>
            <w:pPr>
              <w:spacing w:after="0"/>
              <w:rPr>
                <w:sz w:val="11"/>
                <w:szCs w:val="11"/>
                <w:color w:val="auto"/>
              </w:rPr>
            </w:pPr>
          </w:p>
        </w:tc>
        <w:tc>
          <w:tcPr>
            <w:tcW w:w="13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920" w:type="dxa"/>
            <w:vAlign w:val="bottom"/>
          </w:tcPr>
          <w:p>
            <w:pPr>
              <w:jc w:val="right"/>
              <w:ind w:right="101"/>
              <w:spacing w:after="0" w:line="135" w:lineRule="exact"/>
              <w:rPr>
                <w:sz w:val="20"/>
                <w:szCs w:val="20"/>
                <w:color w:val="auto"/>
              </w:rPr>
            </w:pPr>
            <w:r>
              <w:rPr>
                <w:rFonts w:ascii="Arial" w:cs="Arial" w:eastAsia="Arial" w:hAnsi="Arial"/>
                <w:sz w:val="14"/>
                <w:szCs w:val="14"/>
                <w:b w:val="1"/>
                <w:bCs w:val="1"/>
                <w:color w:val="auto"/>
              </w:rPr>
              <w:t>% of Total</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0" w:type="dxa"/>
            <w:vAlign w:val="bottom"/>
          </w:tcPr>
          <w:p>
            <w:pPr>
              <w:spacing w:after="0"/>
              <w:rPr>
                <w:sz w:val="1"/>
                <w:szCs w:val="1"/>
                <w:color w:val="auto"/>
              </w:rPr>
            </w:pPr>
          </w:p>
        </w:tc>
      </w:tr>
      <w:tr>
        <w:trPr>
          <w:trHeight w:val="188"/>
        </w:trPr>
        <w:tc>
          <w:tcPr>
            <w:tcW w:w="9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SF</w:t>
            </w:r>
          </w:p>
        </w:tc>
        <w:tc>
          <w:tcPr>
            <w:tcW w:w="1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40" w:type="dxa"/>
            <w:vAlign w:val="bottom"/>
            <w:vMerge w:val="continue"/>
          </w:tcPr>
          <w:p>
            <w:pPr>
              <w:spacing w:after="0"/>
              <w:rPr>
                <w:sz w:val="16"/>
                <w:szCs w:val="16"/>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Shop SF</w:t>
            </w:r>
          </w:p>
        </w:tc>
        <w:tc>
          <w:tcPr>
            <w:tcW w:w="1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300" w:type="dxa"/>
            <w:vAlign w:val="bottom"/>
            <w:vMerge w:val="continue"/>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Arial" w:cs="Arial" w:eastAsia="Arial" w:hAnsi="Arial"/>
                <w:sz w:val="14"/>
                <w:szCs w:val="14"/>
                <w:b w:val="1"/>
                <w:bCs w:val="1"/>
                <w:color w:val="auto"/>
              </w:rPr>
              <w:t>SF</w:t>
            </w: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11"/>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227,000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3 % $</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32.44</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387,000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 $</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00" w:type="dxa"/>
            <w:vAlign w:val="bottom"/>
          </w:tcPr>
          <w:p>
            <w:pPr>
              <w:jc w:val="right"/>
              <w:spacing w:after="0"/>
              <w:rPr>
                <w:sz w:val="20"/>
                <w:szCs w:val="20"/>
                <w:color w:val="auto"/>
              </w:rPr>
            </w:pPr>
            <w:r>
              <w:rPr>
                <w:rFonts w:ascii="Arial" w:cs="Arial" w:eastAsia="Arial" w:hAnsi="Arial"/>
                <w:sz w:val="16"/>
                <w:szCs w:val="16"/>
                <w:color w:val="auto"/>
              </w:rPr>
              <w:t>672,000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4 % $</w:t>
            </w:r>
          </w:p>
        </w:tc>
        <w:tc>
          <w:tcPr>
            <w:tcW w:w="900" w:type="dxa"/>
            <w:vAlign w:val="bottom"/>
          </w:tcPr>
          <w:p>
            <w:pPr>
              <w:jc w:val="right"/>
              <w:spacing w:after="0"/>
              <w:rPr>
                <w:sz w:val="20"/>
                <w:szCs w:val="20"/>
                <w:color w:val="auto"/>
              </w:rPr>
            </w:pPr>
            <w:r>
              <w:rPr>
                <w:rFonts w:ascii="Arial" w:cs="Arial" w:eastAsia="Arial" w:hAnsi="Arial"/>
                <w:sz w:val="16"/>
                <w:szCs w:val="16"/>
                <w:color w:val="auto"/>
              </w:rPr>
              <w:t>16.67</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695,000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10 % $</w:t>
            </w:r>
          </w:p>
        </w:tc>
        <w:tc>
          <w:tcPr>
            <w:tcW w:w="880" w:type="dxa"/>
            <w:vAlign w:val="bottom"/>
          </w:tcPr>
          <w:p>
            <w:pPr>
              <w:jc w:val="right"/>
              <w:spacing w:after="0"/>
              <w:rPr>
                <w:sz w:val="20"/>
                <w:szCs w:val="20"/>
                <w:color w:val="auto"/>
              </w:rPr>
            </w:pPr>
            <w:r>
              <w:rPr>
                <w:rFonts w:ascii="Arial" w:cs="Arial" w:eastAsia="Arial" w:hAnsi="Arial"/>
                <w:sz w:val="16"/>
                <w:szCs w:val="16"/>
                <w:color w:val="auto"/>
              </w:rPr>
              <w:t>40.72</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1,367,000</w:t>
            </w:r>
          </w:p>
        </w:tc>
        <w:tc>
          <w:tcPr>
            <w:tcW w:w="920" w:type="dxa"/>
            <w:vAlign w:val="bottom"/>
          </w:tcPr>
          <w:p>
            <w:pPr>
              <w:jc w:val="right"/>
              <w:spacing w:after="0"/>
              <w:rPr>
                <w:sz w:val="20"/>
                <w:szCs w:val="20"/>
                <w:color w:val="auto"/>
              </w:rPr>
            </w:pPr>
            <w:r>
              <w:rPr>
                <w:rFonts w:ascii="Arial" w:cs="Arial" w:eastAsia="Arial" w:hAnsi="Arial"/>
                <w:sz w:val="16"/>
                <w:szCs w:val="16"/>
                <w:color w:val="auto"/>
              </w:rPr>
              <w:t>6 % $</w:t>
            </w:r>
          </w:p>
        </w:tc>
        <w:tc>
          <w:tcPr>
            <w:tcW w:w="1020" w:type="dxa"/>
            <w:vAlign w:val="bottom"/>
          </w:tcPr>
          <w:p>
            <w:pPr>
              <w:jc w:val="right"/>
              <w:spacing w:after="0"/>
              <w:rPr>
                <w:sz w:val="20"/>
                <w:szCs w:val="20"/>
                <w:color w:val="auto"/>
              </w:rPr>
            </w:pPr>
            <w:r>
              <w:rPr>
                <w:rFonts w:ascii="Arial" w:cs="Arial" w:eastAsia="Arial" w:hAnsi="Arial"/>
                <w:sz w:val="16"/>
                <w:szCs w:val="16"/>
                <w:color w:val="auto"/>
              </w:rPr>
              <w:t>28.90</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678,000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9 %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1,082,000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00" w:type="dxa"/>
            <w:vAlign w:val="bottom"/>
          </w:tcPr>
          <w:p>
            <w:pPr>
              <w:jc w:val="right"/>
              <w:spacing w:after="0"/>
              <w:rPr>
                <w:sz w:val="20"/>
                <w:szCs w:val="20"/>
                <w:color w:val="auto"/>
              </w:rPr>
            </w:pPr>
            <w:r>
              <w:rPr>
                <w:rFonts w:ascii="Arial" w:cs="Arial" w:eastAsia="Arial" w:hAnsi="Arial"/>
                <w:sz w:val="16"/>
                <w:szCs w:val="16"/>
                <w:color w:val="auto"/>
              </w:rPr>
              <w:t>613,000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4 % $</w:t>
            </w:r>
          </w:p>
        </w:tc>
        <w:tc>
          <w:tcPr>
            <w:tcW w:w="900" w:type="dxa"/>
            <w:vAlign w:val="bottom"/>
          </w:tcPr>
          <w:p>
            <w:pPr>
              <w:jc w:val="right"/>
              <w:spacing w:after="0"/>
              <w:rPr>
                <w:sz w:val="20"/>
                <w:szCs w:val="20"/>
                <w:color w:val="auto"/>
              </w:rPr>
            </w:pPr>
            <w:r>
              <w:rPr>
                <w:rFonts w:ascii="Arial" w:cs="Arial" w:eastAsia="Arial" w:hAnsi="Arial"/>
                <w:sz w:val="16"/>
                <w:szCs w:val="16"/>
                <w:color w:val="auto"/>
              </w:rPr>
              <w:t>21.01</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535,000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7 % $</w:t>
            </w:r>
          </w:p>
        </w:tc>
        <w:tc>
          <w:tcPr>
            <w:tcW w:w="880" w:type="dxa"/>
            <w:vAlign w:val="bottom"/>
          </w:tcPr>
          <w:p>
            <w:pPr>
              <w:jc w:val="right"/>
              <w:spacing w:after="0"/>
              <w:rPr>
                <w:sz w:val="20"/>
                <w:szCs w:val="20"/>
                <w:color w:val="auto"/>
              </w:rPr>
            </w:pPr>
            <w:r>
              <w:rPr>
                <w:rFonts w:ascii="Arial" w:cs="Arial" w:eastAsia="Arial" w:hAnsi="Arial"/>
                <w:sz w:val="16"/>
                <w:szCs w:val="16"/>
                <w:color w:val="auto"/>
              </w:rPr>
              <w:t>45.46</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1,148,000</w:t>
            </w:r>
          </w:p>
        </w:tc>
        <w:tc>
          <w:tcPr>
            <w:tcW w:w="920" w:type="dxa"/>
            <w:vAlign w:val="bottom"/>
          </w:tcPr>
          <w:p>
            <w:pPr>
              <w:jc w:val="right"/>
              <w:spacing w:after="0"/>
              <w:rPr>
                <w:sz w:val="20"/>
                <w:szCs w:val="20"/>
                <w:color w:val="auto"/>
              </w:rPr>
            </w:pPr>
            <w:r>
              <w:rPr>
                <w:rFonts w:ascii="Arial" w:cs="Arial" w:eastAsia="Arial" w:hAnsi="Arial"/>
                <w:sz w:val="16"/>
                <w:szCs w:val="16"/>
                <w:color w:val="auto"/>
              </w:rPr>
              <w:t>5 % $</w:t>
            </w:r>
          </w:p>
        </w:tc>
        <w:tc>
          <w:tcPr>
            <w:tcW w:w="1020" w:type="dxa"/>
            <w:vAlign w:val="bottom"/>
          </w:tcPr>
          <w:p>
            <w:pPr>
              <w:jc w:val="right"/>
              <w:spacing w:after="0"/>
              <w:rPr>
                <w:sz w:val="20"/>
                <w:szCs w:val="20"/>
                <w:color w:val="auto"/>
              </w:rPr>
            </w:pPr>
            <w:r>
              <w:rPr>
                <w:rFonts w:ascii="Arial" w:cs="Arial" w:eastAsia="Arial" w:hAnsi="Arial"/>
                <w:sz w:val="16"/>
                <w:szCs w:val="16"/>
                <w:color w:val="auto"/>
              </w:rPr>
              <w:t>32.39</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16.49</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686,000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10 %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1,428,000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00" w:type="dxa"/>
            <w:vAlign w:val="bottom"/>
          </w:tcPr>
          <w:p>
            <w:pPr>
              <w:jc w:val="right"/>
              <w:spacing w:after="0"/>
              <w:rPr>
                <w:sz w:val="20"/>
                <w:szCs w:val="20"/>
                <w:color w:val="auto"/>
              </w:rPr>
            </w:pPr>
            <w:r>
              <w:rPr>
                <w:rFonts w:ascii="Arial" w:cs="Arial" w:eastAsia="Arial" w:hAnsi="Arial"/>
                <w:sz w:val="16"/>
                <w:szCs w:val="16"/>
                <w:color w:val="auto"/>
              </w:rPr>
              <w:t>382,000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2 % $</w:t>
            </w:r>
          </w:p>
        </w:tc>
        <w:tc>
          <w:tcPr>
            <w:tcW w:w="900" w:type="dxa"/>
            <w:vAlign w:val="bottom"/>
          </w:tcPr>
          <w:p>
            <w:pPr>
              <w:jc w:val="right"/>
              <w:spacing w:after="0"/>
              <w:rPr>
                <w:sz w:val="20"/>
                <w:szCs w:val="20"/>
                <w:color w:val="auto"/>
              </w:rPr>
            </w:pPr>
            <w:r>
              <w:rPr>
                <w:rFonts w:ascii="Arial" w:cs="Arial" w:eastAsia="Arial" w:hAnsi="Arial"/>
                <w:sz w:val="16"/>
                <w:szCs w:val="16"/>
                <w:color w:val="auto"/>
              </w:rPr>
              <w:t>23.61</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420,000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tcPr>
          <w:p>
            <w:pPr>
              <w:jc w:val="right"/>
              <w:spacing w:after="0"/>
              <w:rPr>
                <w:sz w:val="20"/>
                <w:szCs w:val="20"/>
                <w:color w:val="auto"/>
              </w:rPr>
            </w:pPr>
            <w:r>
              <w:rPr>
                <w:rFonts w:ascii="Arial" w:cs="Arial" w:eastAsia="Arial" w:hAnsi="Arial"/>
                <w:sz w:val="16"/>
                <w:szCs w:val="16"/>
                <w:color w:val="auto"/>
              </w:rPr>
              <w:t>49.29</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801,000</w:t>
            </w:r>
          </w:p>
        </w:tc>
        <w:tc>
          <w:tcPr>
            <w:tcW w:w="920" w:type="dxa"/>
            <w:vAlign w:val="bottom"/>
          </w:tcPr>
          <w:p>
            <w:pPr>
              <w:jc w:val="right"/>
              <w:spacing w:after="0"/>
              <w:rPr>
                <w:sz w:val="20"/>
                <w:szCs w:val="20"/>
                <w:color w:val="auto"/>
              </w:rPr>
            </w:pPr>
            <w:r>
              <w:rPr>
                <w:rFonts w:ascii="Arial" w:cs="Arial" w:eastAsia="Arial" w:hAnsi="Arial"/>
                <w:sz w:val="16"/>
                <w:szCs w:val="16"/>
                <w:color w:val="auto"/>
              </w:rPr>
              <w:t>4 % $</w:t>
            </w:r>
          </w:p>
        </w:tc>
        <w:tc>
          <w:tcPr>
            <w:tcW w:w="1020" w:type="dxa"/>
            <w:vAlign w:val="bottom"/>
          </w:tcPr>
          <w:p>
            <w:pPr>
              <w:jc w:val="right"/>
              <w:spacing w:after="0"/>
              <w:rPr>
                <w:sz w:val="20"/>
                <w:szCs w:val="20"/>
                <w:color w:val="auto"/>
              </w:rPr>
            </w:pPr>
            <w:r>
              <w:rPr>
                <w:rFonts w:ascii="Arial" w:cs="Arial" w:eastAsia="Arial" w:hAnsi="Arial"/>
                <w:sz w:val="16"/>
                <w:szCs w:val="16"/>
                <w:color w:val="auto"/>
              </w:rPr>
              <w:t>37.05</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407,000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52.13</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955,000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34.47</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1200" w:type="dxa"/>
            <w:vAlign w:val="bottom"/>
          </w:tcPr>
          <w:p>
            <w:pPr>
              <w:jc w:val="right"/>
              <w:spacing w:after="0"/>
              <w:rPr>
                <w:sz w:val="20"/>
                <w:szCs w:val="20"/>
                <w:color w:val="auto"/>
              </w:rPr>
            </w:pPr>
            <w:r>
              <w:rPr>
                <w:rFonts w:ascii="Arial" w:cs="Arial" w:eastAsia="Arial" w:hAnsi="Arial"/>
                <w:sz w:val="16"/>
                <w:szCs w:val="16"/>
                <w:color w:val="auto"/>
              </w:rPr>
              <w:t>828,000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5 % $</w:t>
            </w:r>
          </w:p>
        </w:tc>
        <w:tc>
          <w:tcPr>
            <w:tcW w:w="900" w:type="dxa"/>
            <w:vAlign w:val="bottom"/>
          </w:tcPr>
          <w:p>
            <w:pPr>
              <w:jc w:val="right"/>
              <w:spacing w:after="0"/>
              <w:rPr>
                <w:sz w:val="20"/>
                <w:szCs w:val="20"/>
                <w:color w:val="auto"/>
              </w:rPr>
            </w:pPr>
            <w:r>
              <w:rPr>
                <w:rFonts w:ascii="Arial" w:cs="Arial" w:eastAsia="Arial" w:hAnsi="Arial"/>
                <w:sz w:val="16"/>
                <w:szCs w:val="16"/>
                <w:color w:val="auto"/>
              </w:rPr>
              <w:t>16.74</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404,000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tcPr>
          <w:p>
            <w:pPr>
              <w:jc w:val="right"/>
              <w:spacing w:after="0"/>
              <w:rPr>
                <w:sz w:val="20"/>
                <w:szCs w:val="20"/>
                <w:color w:val="auto"/>
              </w:rPr>
            </w:pPr>
            <w:r>
              <w:rPr>
                <w:rFonts w:ascii="Arial" w:cs="Arial" w:eastAsia="Arial" w:hAnsi="Arial"/>
                <w:sz w:val="16"/>
                <w:szCs w:val="16"/>
                <w:color w:val="auto"/>
              </w:rPr>
              <w:t>48.25</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1,232,000</w:t>
            </w:r>
          </w:p>
        </w:tc>
        <w:tc>
          <w:tcPr>
            <w:tcW w:w="920" w:type="dxa"/>
            <w:vAlign w:val="bottom"/>
          </w:tcPr>
          <w:p>
            <w:pPr>
              <w:jc w:val="right"/>
              <w:spacing w:after="0"/>
              <w:rPr>
                <w:sz w:val="20"/>
                <w:szCs w:val="20"/>
                <w:color w:val="auto"/>
              </w:rPr>
            </w:pPr>
            <w:r>
              <w:rPr>
                <w:rFonts w:ascii="Arial" w:cs="Arial" w:eastAsia="Arial" w:hAnsi="Arial"/>
                <w:sz w:val="16"/>
                <w:szCs w:val="16"/>
                <w:color w:val="auto"/>
              </w:rPr>
              <w:t>5 % $</w:t>
            </w:r>
          </w:p>
        </w:tc>
        <w:tc>
          <w:tcPr>
            <w:tcW w:w="1020" w:type="dxa"/>
            <w:vAlign w:val="bottom"/>
          </w:tcPr>
          <w:p>
            <w:pPr>
              <w:jc w:val="right"/>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24.29</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398,000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44.23</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1,196,000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2030</w:t>
            </w:r>
          </w:p>
        </w:tc>
        <w:tc>
          <w:tcPr>
            <w:tcW w:w="1200" w:type="dxa"/>
            <w:vAlign w:val="bottom"/>
          </w:tcPr>
          <w:p>
            <w:pPr>
              <w:jc w:val="right"/>
              <w:spacing w:after="0"/>
              <w:rPr>
                <w:sz w:val="20"/>
                <w:szCs w:val="20"/>
                <w:color w:val="auto"/>
              </w:rPr>
            </w:pPr>
            <w:r>
              <w:rPr>
                <w:rFonts w:ascii="Arial" w:cs="Arial" w:eastAsia="Arial" w:hAnsi="Arial"/>
                <w:sz w:val="16"/>
                <w:szCs w:val="16"/>
                <w:color w:val="auto"/>
              </w:rPr>
              <w:t>552,000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4 % $</w:t>
            </w:r>
          </w:p>
        </w:tc>
        <w:tc>
          <w:tcPr>
            <w:tcW w:w="900" w:type="dxa"/>
            <w:vAlign w:val="bottom"/>
          </w:tcPr>
          <w:p>
            <w:pPr>
              <w:jc w:val="right"/>
              <w:spacing w:after="0"/>
              <w:rPr>
                <w:sz w:val="20"/>
                <w:szCs w:val="20"/>
                <w:color w:val="auto"/>
              </w:rPr>
            </w:pPr>
            <w:r>
              <w:rPr>
                <w:rFonts w:ascii="Arial" w:cs="Arial" w:eastAsia="Arial" w:hAnsi="Arial"/>
                <w:sz w:val="16"/>
                <w:szCs w:val="16"/>
                <w:color w:val="auto"/>
              </w:rPr>
              <w:t>19.30</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346,000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5 % $</w:t>
            </w:r>
          </w:p>
        </w:tc>
        <w:tc>
          <w:tcPr>
            <w:tcW w:w="880" w:type="dxa"/>
            <w:vAlign w:val="bottom"/>
          </w:tcPr>
          <w:p>
            <w:pPr>
              <w:jc w:val="right"/>
              <w:spacing w:after="0"/>
              <w:rPr>
                <w:sz w:val="20"/>
                <w:szCs w:val="20"/>
                <w:color w:val="auto"/>
              </w:rPr>
            </w:pPr>
            <w:r>
              <w:rPr>
                <w:rFonts w:ascii="Arial" w:cs="Arial" w:eastAsia="Arial" w:hAnsi="Arial"/>
                <w:sz w:val="16"/>
                <w:szCs w:val="16"/>
                <w:color w:val="auto"/>
              </w:rPr>
              <w:t>46.37</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898,000</w:t>
            </w:r>
          </w:p>
        </w:tc>
        <w:tc>
          <w:tcPr>
            <w:tcW w:w="920" w:type="dxa"/>
            <w:vAlign w:val="bottom"/>
          </w:tcPr>
          <w:p>
            <w:pPr>
              <w:jc w:val="right"/>
              <w:spacing w:after="0"/>
              <w:rPr>
                <w:sz w:val="20"/>
                <w:szCs w:val="20"/>
                <w:color w:val="auto"/>
              </w:rPr>
            </w:pPr>
            <w:r>
              <w:rPr>
                <w:rFonts w:ascii="Arial" w:cs="Arial" w:eastAsia="Arial" w:hAnsi="Arial"/>
                <w:sz w:val="16"/>
                <w:szCs w:val="16"/>
                <w:color w:val="auto"/>
              </w:rPr>
              <w:t>4 % $</w:t>
            </w:r>
          </w:p>
        </w:tc>
        <w:tc>
          <w:tcPr>
            <w:tcW w:w="1020" w:type="dxa"/>
            <w:vAlign w:val="bottom"/>
          </w:tcPr>
          <w:p>
            <w:pPr>
              <w:jc w:val="right"/>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10,047,000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64 % $</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23.29</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2,410,000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33 %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12,458,000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28.30</w:t>
            </w:r>
          </w:p>
        </w:tc>
        <w:tc>
          <w:tcPr>
            <w:tcW w:w="0" w:type="dxa"/>
            <w:vAlign w:val="bottom"/>
          </w:tcPr>
          <w:p>
            <w:pPr>
              <w:spacing w:after="0"/>
              <w:rPr>
                <w:sz w:val="1"/>
                <w:szCs w:val="1"/>
                <w:color w:val="auto"/>
              </w:rPr>
            </w:pPr>
          </w:p>
        </w:tc>
      </w:tr>
      <w:tr>
        <w:trPr>
          <w:trHeight w:val="212"/>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15,745,000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100 %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7,206,000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100 %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45.51</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22,952,000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Notes:</w:t>
      </w:r>
    </w:p>
    <w:p>
      <w:pPr>
        <w:spacing w:after="0" w:line="32" w:lineRule="exact"/>
        <w:rPr>
          <w:sz w:val="20"/>
          <w:szCs w:val="20"/>
          <w:color w:val="auto"/>
        </w:rPr>
      </w:pPr>
    </w:p>
    <w:p>
      <w:pPr>
        <w:ind w:left="781" w:hanging="781"/>
        <w:spacing w:after="0"/>
        <w:tabs>
          <w:tab w:leader="none" w:pos="781"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Anchor is defined as a commercial tenant leasing 10,000 square feet or more.</w:t>
      </w:r>
    </w:p>
    <w:p>
      <w:pPr>
        <w:spacing w:after="0" w:line="32" w:lineRule="exact"/>
        <w:rPr>
          <w:rFonts w:ascii="Arial" w:cs="Arial" w:eastAsia="Arial" w:hAnsi="Arial"/>
          <w:sz w:val="16"/>
          <w:szCs w:val="16"/>
          <w:color w:val="auto"/>
        </w:rPr>
      </w:pPr>
    </w:p>
    <w:p>
      <w:pPr>
        <w:ind w:left="781" w:right="160" w:hanging="781"/>
        <w:spacing w:after="0"/>
        <w:tabs>
          <w:tab w:leader="none" w:pos="781" w:val="left"/>
        </w:tabs>
        <w:numPr>
          <w:ilvl w:val="0"/>
          <w:numId w:val="22"/>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rents on a cash-basis without taking the impacts of rent abatements into account) rent as of September 30, 2021.</w:t>
      </w:r>
    </w:p>
    <w:p>
      <w:pPr>
        <w:spacing w:after="0" w:line="10" w:lineRule="exact"/>
        <w:rPr>
          <w:rFonts w:ascii="Arial" w:cs="Arial" w:eastAsia="Arial" w:hAnsi="Arial"/>
          <w:sz w:val="16"/>
          <w:szCs w:val="16"/>
          <w:color w:val="auto"/>
        </w:rPr>
      </w:pPr>
    </w:p>
    <w:p>
      <w:pPr>
        <w:ind w:left="781" w:hanging="781"/>
        <w:spacing w:after="0"/>
        <w:tabs>
          <w:tab w:leader="none" w:pos="781"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occupied square footage of the commercial portion of our portfolio as of September 30, 2021.</w:t>
      </w:r>
    </w:p>
    <w:p>
      <w:pPr>
        <w:spacing w:after="0" w:line="32" w:lineRule="exact"/>
        <w:rPr>
          <w:rFonts w:ascii="Arial" w:cs="Arial" w:eastAsia="Arial" w:hAnsi="Arial"/>
          <w:sz w:val="16"/>
          <w:szCs w:val="16"/>
          <w:color w:val="auto"/>
        </w:rPr>
      </w:pPr>
    </w:p>
    <w:p>
      <w:pPr>
        <w:ind w:left="781" w:hanging="781"/>
        <w:spacing w:after="0"/>
        <w:tabs>
          <w:tab w:leader="none" w:pos="781"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1"/>
          </w:cols>
          <w:pgMar w:left="359" w:top="1026" w:right="359"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Portfolio Leased Statistics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September 30,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220" w:type="dxa"/>
            <w:vAlign w:val="bottom"/>
            <w:gridSpan w:val="4"/>
          </w:tcPr>
          <w:p>
            <w:pPr>
              <w:spacing w:after="0"/>
              <w:rPr>
                <w:sz w:val="20"/>
                <w:szCs w:val="20"/>
                <w:color w:val="auto"/>
              </w:rPr>
            </w:pPr>
            <w:r>
              <w:rPr>
                <w:rFonts w:ascii="Arial" w:cs="Arial" w:eastAsia="Arial" w:hAnsi="Arial"/>
                <w:sz w:val="16"/>
                <w:szCs w:val="16"/>
                <w:b w:val="1"/>
                <w:bCs w:val="1"/>
                <w:color w:val="auto"/>
              </w:rPr>
              <w:t>Overall Portfolio Statistics (1)</w:t>
            </w:r>
          </w:p>
        </w:tc>
        <w:tc>
          <w:tcPr>
            <w:tcW w:w="840" w:type="dxa"/>
            <w:vAlign w:val="bottom"/>
          </w:tcPr>
          <w:p>
            <w:pPr>
              <w:spacing w:after="0"/>
              <w:rPr>
                <w:sz w:val="16"/>
                <w:szCs w:val="16"/>
                <w:color w:val="auto"/>
              </w:rPr>
            </w:pPr>
          </w:p>
        </w:tc>
        <w:tc>
          <w:tcPr>
            <w:tcW w:w="1740" w:type="dxa"/>
            <w:vAlign w:val="bottom"/>
            <w:gridSpan w:val="5"/>
          </w:tcPr>
          <w:p>
            <w:pPr>
              <w:ind w:left="180"/>
              <w:spacing w:after="0"/>
              <w:rPr>
                <w:sz w:val="20"/>
                <w:szCs w:val="20"/>
                <w:color w:val="auto"/>
              </w:rPr>
            </w:pPr>
            <w:r>
              <w:rPr>
                <w:rFonts w:ascii="Arial" w:cs="Arial" w:eastAsia="Arial" w:hAnsi="Arial"/>
                <w:sz w:val="14"/>
                <w:szCs w:val="14"/>
                <w:b w:val="1"/>
                <w:bCs w:val="1"/>
                <w:color w:val="auto"/>
              </w:rPr>
              <w:t>At September 30, 2021</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1940" w:type="dxa"/>
            <w:vAlign w:val="bottom"/>
            <w:gridSpan w:val="5"/>
          </w:tcPr>
          <w:p>
            <w:pPr>
              <w:ind w:left="200"/>
              <w:spacing w:after="0"/>
              <w:rPr>
                <w:sz w:val="20"/>
                <w:szCs w:val="20"/>
                <w:color w:val="auto"/>
              </w:rPr>
            </w:pPr>
            <w:r>
              <w:rPr>
                <w:rFonts w:ascii="Arial" w:cs="Arial" w:eastAsia="Arial" w:hAnsi="Arial"/>
                <w:sz w:val="14"/>
                <w:szCs w:val="14"/>
                <w:b w:val="1"/>
                <w:bCs w:val="1"/>
                <w:color w:val="auto"/>
              </w:rPr>
              <w:t>At September 30, 2020</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Arial" w:cs="Arial" w:eastAsia="Arial" w:hAnsi="Arial"/>
                <w:sz w:val="16"/>
                <w:szCs w:val="16"/>
                <w:color w:val="auto"/>
              </w:rPr>
              <w:t>Type</w:t>
            </w:r>
          </w:p>
        </w:tc>
        <w:tc>
          <w:tcPr>
            <w:tcW w:w="1280" w:type="dxa"/>
            <w:vAlign w:val="bottom"/>
            <w:gridSpan w:val="3"/>
          </w:tcPr>
          <w:p>
            <w:pPr>
              <w:ind w:left="840"/>
              <w:spacing w:after="0"/>
              <w:rPr>
                <w:sz w:val="20"/>
                <w:szCs w:val="20"/>
                <w:color w:val="auto"/>
              </w:rPr>
            </w:pPr>
            <w:r>
              <w:rPr>
                <w:rFonts w:ascii="Arial" w:cs="Arial" w:eastAsia="Arial" w:hAnsi="Arial"/>
                <w:sz w:val="16"/>
                <w:szCs w:val="16"/>
                <w:color w:val="auto"/>
              </w:rPr>
              <w:t>Size</w:t>
            </w:r>
          </w:p>
        </w:tc>
        <w:tc>
          <w:tcPr>
            <w:tcW w:w="50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6"/>
                <w:szCs w:val="16"/>
                <w:color w:val="auto"/>
              </w:rPr>
              <w:t>Leased</w:t>
            </w:r>
          </w:p>
        </w:tc>
        <w:tc>
          <w:tcPr>
            <w:tcW w:w="96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Leased %</w:t>
            </w:r>
          </w:p>
        </w:tc>
        <w:tc>
          <w:tcPr>
            <w:tcW w:w="1260" w:type="dxa"/>
            <w:vAlign w:val="bottom"/>
            <w:gridSpan w:val="3"/>
          </w:tcPr>
          <w:p>
            <w:pPr>
              <w:ind w:left="800"/>
              <w:spacing w:after="0"/>
              <w:rPr>
                <w:sz w:val="20"/>
                <w:szCs w:val="20"/>
                <w:color w:val="auto"/>
              </w:rPr>
            </w:pPr>
            <w:r>
              <w:rPr>
                <w:rFonts w:ascii="Arial" w:cs="Arial" w:eastAsia="Arial" w:hAnsi="Arial"/>
                <w:sz w:val="16"/>
                <w:szCs w:val="16"/>
                <w:color w:val="auto"/>
              </w:rPr>
              <w:t>Size</w:t>
            </w:r>
          </w:p>
        </w:tc>
        <w:tc>
          <w:tcPr>
            <w:tcW w:w="4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auto"/>
              </w:rPr>
              <w:t>Leased</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w w:val="87"/>
              </w:rPr>
              <w:t>Leased %</w:t>
            </w:r>
          </w:p>
        </w:tc>
      </w:tr>
      <w:tr>
        <w:trPr>
          <w:trHeight w:val="237"/>
        </w:trPr>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Commercial Properties (2) (3) (4) (SF)</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25,434,000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23,608,000</w:t>
            </w:r>
          </w:p>
        </w:tc>
        <w:tc>
          <w:tcPr>
            <w:tcW w:w="3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92.8 %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24,060,000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22,021,000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91.5 %</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Residential Properties (5) (units)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2,869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2,809</w:t>
            </w:r>
          </w:p>
        </w:tc>
        <w:tc>
          <w:tcPr>
            <w:tcW w:w="3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97.9 %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2,869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92.0 %</w:t>
            </w:r>
          </w:p>
        </w:tc>
      </w:tr>
      <w:tr>
        <w:trPr>
          <w:trHeight w:val="648"/>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Arial" w:cs="Arial" w:eastAsia="Arial" w:hAnsi="Arial"/>
                <w:sz w:val="16"/>
                <w:szCs w:val="16"/>
                <w:b w:val="1"/>
                <w:bCs w:val="1"/>
                <w:color w:val="auto"/>
              </w:rPr>
              <w:t>Comparable Property Statistics (1)</w:t>
            </w:r>
          </w:p>
        </w:tc>
        <w:tc>
          <w:tcPr>
            <w:tcW w:w="840" w:type="dxa"/>
            <w:vAlign w:val="bottom"/>
          </w:tcPr>
          <w:p>
            <w:pPr>
              <w:spacing w:after="0"/>
              <w:rPr>
                <w:sz w:val="24"/>
                <w:szCs w:val="24"/>
                <w:color w:val="auto"/>
              </w:rPr>
            </w:pPr>
          </w:p>
        </w:tc>
        <w:tc>
          <w:tcPr>
            <w:tcW w:w="1740" w:type="dxa"/>
            <w:vAlign w:val="bottom"/>
            <w:gridSpan w:val="5"/>
          </w:tcPr>
          <w:p>
            <w:pPr>
              <w:ind w:left="180"/>
              <w:spacing w:after="0"/>
              <w:rPr>
                <w:sz w:val="20"/>
                <w:szCs w:val="20"/>
                <w:color w:val="auto"/>
              </w:rPr>
            </w:pPr>
            <w:r>
              <w:rPr>
                <w:rFonts w:ascii="Arial" w:cs="Arial" w:eastAsia="Arial" w:hAnsi="Arial"/>
                <w:sz w:val="14"/>
                <w:szCs w:val="14"/>
                <w:b w:val="1"/>
                <w:bCs w:val="1"/>
                <w:color w:val="auto"/>
              </w:rPr>
              <w:t>At September 30, 2021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gridSpan w:val="5"/>
          </w:tcPr>
          <w:p>
            <w:pPr>
              <w:ind w:left="200"/>
              <w:spacing w:after="0"/>
              <w:rPr>
                <w:sz w:val="20"/>
                <w:szCs w:val="20"/>
                <w:color w:val="auto"/>
              </w:rPr>
            </w:pPr>
            <w:r>
              <w:rPr>
                <w:rFonts w:ascii="Arial" w:cs="Arial" w:eastAsia="Arial" w:hAnsi="Arial"/>
                <w:sz w:val="14"/>
                <w:szCs w:val="14"/>
                <w:b w:val="1"/>
                <w:bCs w:val="1"/>
                <w:color w:val="auto"/>
              </w:rPr>
              <w:t>At September 30, 2020</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Arial" w:cs="Arial" w:eastAsia="Arial" w:hAnsi="Arial"/>
                <w:sz w:val="16"/>
                <w:szCs w:val="16"/>
                <w:color w:val="auto"/>
              </w:rPr>
              <w:t>Type</w:t>
            </w:r>
          </w:p>
        </w:tc>
        <w:tc>
          <w:tcPr>
            <w:tcW w:w="1280" w:type="dxa"/>
            <w:vAlign w:val="bottom"/>
            <w:gridSpan w:val="3"/>
          </w:tcPr>
          <w:p>
            <w:pPr>
              <w:ind w:left="840"/>
              <w:spacing w:after="0"/>
              <w:rPr>
                <w:sz w:val="20"/>
                <w:szCs w:val="20"/>
                <w:color w:val="auto"/>
              </w:rPr>
            </w:pPr>
            <w:r>
              <w:rPr>
                <w:rFonts w:ascii="Arial" w:cs="Arial" w:eastAsia="Arial" w:hAnsi="Arial"/>
                <w:sz w:val="16"/>
                <w:szCs w:val="16"/>
                <w:color w:val="auto"/>
              </w:rPr>
              <w:t>Size</w:t>
            </w:r>
          </w:p>
        </w:tc>
        <w:tc>
          <w:tcPr>
            <w:tcW w:w="50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6"/>
                <w:szCs w:val="16"/>
                <w:color w:val="auto"/>
              </w:rPr>
              <w:t>Leased</w:t>
            </w:r>
          </w:p>
        </w:tc>
        <w:tc>
          <w:tcPr>
            <w:tcW w:w="96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Leased %</w:t>
            </w:r>
          </w:p>
        </w:tc>
        <w:tc>
          <w:tcPr>
            <w:tcW w:w="1260" w:type="dxa"/>
            <w:vAlign w:val="bottom"/>
            <w:gridSpan w:val="3"/>
          </w:tcPr>
          <w:p>
            <w:pPr>
              <w:ind w:left="800"/>
              <w:spacing w:after="0"/>
              <w:rPr>
                <w:sz w:val="20"/>
                <w:szCs w:val="20"/>
                <w:color w:val="auto"/>
              </w:rPr>
            </w:pPr>
            <w:r>
              <w:rPr>
                <w:rFonts w:ascii="Arial" w:cs="Arial" w:eastAsia="Arial" w:hAnsi="Arial"/>
                <w:sz w:val="16"/>
                <w:szCs w:val="16"/>
                <w:color w:val="auto"/>
              </w:rPr>
              <w:t>Size</w:t>
            </w:r>
          </w:p>
        </w:tc>
        <w:tc>
          <w:tcPr>
            <w:tcW w:w="48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auto"/>
              </w:rPr>
              <w:t>Leased</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w w:val="87"/>
              </w:rPr>
              <w:t>Leased %</w:t>
            </w:r>
          </w:p>
        </w:tc>
      </w:tr>
      <w:tr>
        <w:trPr>
          <w:trHeight w:val="236"/>
        </w:trPr>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Commercial Properties (2) (3) (SF)</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22,665,000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21,002,000</w:t>
            </w:r>
          </w:p>
        </w:tc>
        <w:tc>
          <w:tcPr>
            <w:tcW w:w="3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92.7 %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22,689,000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20,920,000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92.2 %</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Residential Properties (units)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2,867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2,807</w:t>
            </w:r>
          </w:p>
        </w:tc>
        <w:tc>
          <w:tcPr>
            <w:tcW w:w="3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97.9 %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2,867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92.0 %</w:t>
            </w: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289" w:lineRule="exact"/>
        <w:rPr>
          <w:sz w:val="20"/>
          <w:szCs w:val="20"/>
          <w:color w:val="auto"/>
        </w:rPr>
      </w:pPr>
    </w:p>
    <w:p>
      <w:pPr>
        <w:ind w:left="600" w:hanging="57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32" w:lineRule="exact"/>
        <w:rPr>
          <w:rFonts w:ascii="Arial" w:cs="Arial" w:eastAsia="Arial" w:hAnsi="Arial"/>
          <w:sz w:val="16"/>
          <w:szCs w:val="16"/>
          <w:color w:val="auto"/>
        </w:rPr>
      </w:pPr>
    </w:p>
    <w:p>
      <w:pPr>
        <w:ind w:left="600" w:right="80" w:hanging="57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Occupied percentage was 90.2% and 90.0% at September 30, 2021 and 2020, respectively, and comparable property occupied percentage was 90.0% and 90.9% at September 30, 2021 and 2020, respectively.</w:t>
      </w:r>
    </w:p>
    <w:p>
      <w:pPr>
        <w:spacing w:after="0" w:line="10" w:lineRule="exact"/>
        <w:rPr>
          <w:rFonts w:ascii="Arial" w:cs="Arial" w:eastAsia="Arial" w:hAnsi="Arial"/>
          <w:sz w:val="16"/>
          <w:szCs w:val="16"/>
          <w:color w:val="auto"/>
        </w:rPr>
      </w:pPr>
    </w:p>
    <w:p>
      <w:pPr>
        <w:ind w:left="600" w:hanging="57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32" w:lineRule="exact"/>
        <w:rPr>
          <w:rFonts w:ascii="Arial" w:cs="Arial" w:eastAsia="Arial" w:hAnsi="Arial"/>
          <w:sz w:val="16"/>
          <w:szCs w:val="16"/>
          <w:color w:val="auto"/>
        </w:rPr>
      </w:pPr>
    </w:p>
    <w:p>
      <w:pPr>
        <w:ind w:left="600" w:hanging="57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 September 30, 2021, leased percentage was 96.3% for anchor tenants and 86.1% for small shop tenants.</w:t>
      </w:r>
    </w:p>
    <w:p>
      <w:pPr>
        <w:spacing w:after="0" w:line="32" w:lineRule="exact"/>
        <w:rPr>
          <w:rFonts w:ascii="Arial" w:cs="Arial" w:eastAsia="Arial" w:hAnsi="Arial"/>
          <w:sz w:val="16"/>
          <w:szCs w:val="16"/>
          <w:color w:val="auto"/>
        </w:rPr>
      </w:pPr>
    </w:p>
    <w:p>
      <w:pPr>
        <w:ind w:left="600" w:right="140" w:hanging="574"/>
        <w:spacing w:after="0" w:line="272" w:lineRule="auto"/>
        <w:tabs>
          <w:tab w:leader="none" w:pos="6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residential metrics exclude "Miscela," our new residential building that opened at Assembly Row in 3Q21, and is currently in the process of being completed and leased-up for the first time. If these units were included, our total residential units would be 3,236 and our percentage leased would be 93.7%.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026" w:right="359" w:bottom="1440" w:gutter="0" w:footer="0" w:header="0"/>
        </w:sectPr>
      </w:pPr>
    </w:p>
    <w:bookmarkStart w:id="30" w:name="page31"/>
    <w:bookmarkEnd w:id="30"/>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of Top 25 Tenants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80" w:type="dxa"/>
            <w:vAlign w:val="bottom"/>
            <w:vMerge w:val="restart"/>
          </w:tcPr>
          <w:p>
            <w:pPr>
              <w:jc w:val="center"/>
              <w:ind w:left="140"/>
              <w:spacing w:after="0"/>
              <w:rPr>
                <w:sz w:val="20"/>
                <w:szCs w:val="20"/>
                <w:color w:val="auto"/>
              </w:rPr>
            </w:pPr>
            <w:r>
              <w:rPr>
                <w:rFonts w:ascii="Arial" w:cs="Arial" w:eastAsia="Arial" w:hAnsi="Arial"/>
                <w:sz w:val="14"/>
                <w:szCs w:val="14"/>
                <w:b w:val="1"/>
                <w:bCs w:val="1"/>
                <w:color w:val="auto"/>
                <w:w w:val="94"/>
              </w:rPr>
              <w:t>Credit Ratings</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Annualized Base</w:t>
            </w:r>
          </w:p>
        </w:tc>
        <w:tc>
          <w:tcPr>
            <w:tcW w:w="1640" w:type="dxa"/>
            <w:vAlign w:val="bottom"/>
          </w:tcPr>
          <w:p>
            <w:pPr>
              <w:jc w:val="right"/>
              <w:ind w:right="40"/>
              <w:spacing w:after="0"/>
              <w:rPr>
                <w:sz w:val="20"/>
                <w:szCs w:val="20"/>
                <w:color w:val="auto"/>
              </w:rPr>
            </w:pPr>
            <w:r>
              <w:rPr>
                <w:rFonts w:ascii="Arial" w:cs="Arial" w:eastAsia="Arial" w:hAnsi="Arial"/>
                <w:sz w:val="14"/>
                <w:szCs w:val="14"/>
                <w:b w:val="1"/>
                <w:bCs w:val="1"/>
                <w:color w:val="auto"/>
              </w:rPr>
              <w:t>Percentage of Total</w:t>
            </w:r>
          </w:p>
        </w:tc>
        <w:tc>
          <w:tcPr>
            <w:tcW w:w="920" w:type="dxa"/>
            <w:vAlign w:val="bottom"/>
          </w:tcPr>
          <w:p>
            <w:pPr>
              <w:spacing w:after="0"/>
              <w:rPr>
                <w:sz w:val="14"/>
                <w:szCs w:val="14"/>
                <w:color w:val="auto"/>
              </w:rPr>
            </w:pPr>
          </w:p>
        </w:tc>
        <w:tc>
          <w:tcPr>
            <w:tcW w:w="11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Percentage of</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35"/>
        </w:trPr>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Rank</w:t>
            </w:r>
          </w:p>
        </w:tc>
        <w:tc>
          <w:tcPr>
            <w:tcW w:w="2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Tenant Name</w:t>
            </w:r>
          </w:p>
        </w:tc>
        <w:tc>
          <w:tcPr>
            <w:tcW w:w="2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640" w:type="dxa"/>
            <w:vAlign w:val="bottom"/>
          </w:tcPr>
          <w:p>
            <w:pPr>
              <w:jc w:val="right"/>
              <w:ind w:right="40"/>
              <w:spacing w:after="0" w:line="135" w:lineRule="exact"/>
              <w:rPr>
                <w:sz w:val="20"/>
                <w:szCs w:val="20"/>
                <w:color w:val="auto"/>
              </w:rPr>
            </w:pPr>
            <w:r>
              <w:rPr>
                <w:rFonts w:ascii="Arial" w:cs="Arial" w:eastAsia="Arial" w:hAnsi="Arial"/>
                <w:sz w:val="14"/>
                <w:szCs w:val="14"/>
                <w:b w:val="1"/>
                <w:bCs w:val="1"/>
                <w:color w:val="auto"/>
              </w:rPr>
              <w:t>Annualized Base Rent</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1180" w:type="dxa"/>
            <w:vAlign w:val="bottom"/>
            <w:vMerge w:val="continue"/>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Locations</w:t>
            </w:r>
          </w:p>
        </w:tc>
        <w:tc>
          <w:tcPr>
            <w:tcW w:w="0" w:type="dxa"/>
            <w:vAlign w:val="bottom"/>
          </w:tcPr>
          <w:p>
            <w:pPr>
              <w:spacing w:after="0"/>
              <w:rPr>
                <w:sz w:val="1"/>
                <w:szCs w:val="1"/>
                <w:color w:val="auto"/>
              </w:rPr>
            </w:pPr>
          </w:p>
        </w:tc>
      </w:tr>
      <w:tr>
        <w:trPr>
          <w:trHeight w:val="188"/>
        </w:trPr>
        <w:tc>
          <w:tcPr>
            <w:tcW w:w="560" w:type="dxa"/>
            <w:vAlign w:val="bottom"/>
            <w:tcBorders>
              <w:bottom w:val="single" w:sz="8" w:color="auto"/>
            </w:tcBorders>
            <w:vMerge w:val="continue"/>
          </w:tcPr>
          <w:p>
            <w:pPr>
              <w:spacing w:after="0"/>
              <w:rPr>
                <w:sz w:val="16"/>
                <w:szCs w:val="16"/>
                <w:color w:val="auto"/>
              </w:rPr>
            </w:pPr>
          </w:p>
        </w:tc>
        <w:tc>
          <w:tcPr>
            <w:tcW w:w="2800" w:type="dxa"/>
            <w:vAlign w:val="bottom"/>
            <w:tcBorders>
              <w:bottom w:val="single" w:sz="8" w:color="auto"/>
            </w:tcBorders>
            <w:vMerge w:val="continue"/>
          </w:tcPr>
          <w:p>
            <w:pPr>
              <w:spacing w:after="0"/>
              <w:rPr>
                <w:sz w:val="16"/>
                <w:szCs w:val="16"/>
                <w:color w:val="auto"/>
              </w:rPr>
            </w:pPr>
          </w:p>
        </w:tc>
        <w:tc>
          <w:tcPr>
            <w:tcW w:w="2080" w:type="dxa"/>
            <w:vAlign w:val="bottom"/>
            <w:tcBorders>
              <w:bottom w:val="single" w:sz="8" w:color="auto"/>
            </w:tcBorders>
          </w:tcPr>
          <w:p>
            <w:pPr>
              <w:jc w:val="center"/>
              <w:ind w:left="140"/>
              <w:spacing w:after="0"/>
              <w:rPr>
                <w:sz w:val="20"/>
                <w:szCs w:val="20"/>
                <w:color w:val="auto"/>
              </w:rPr>
            </w:pPr>
            <w:r>
              <w:rPr>
                <w:rFonts w:ascii="Arial" w:cs="Arial" w:eastAsia="Arial" w:hAnsi="Arial"/>
                <w:sz w:val="14"/>
                <w:szCs w:val="14"/>
                <w:b w:val="1"/>
                <w:bCs w:val="1"/>
                <w:color w:val="auto"/>
                <w:w w:val="95"/>
              </w:rPr>
              <w:t>(S&amp;P/Moody's/Fitch) (1)</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(3)</w:t>
            </w:r>
          </w:p>
        </w:tc>
        <w:tc>
          <w:tcPr>
            <w:tcW w:w="9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Total GLA (3)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TJX Companies, The</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7"/>
              </w:rPr>
              <w:t>A / A2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20,574,000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2.69 %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3.67 %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800" w:type="dxa"/>
            <w:vAlign w:val="bottom"/>
          </w:tcPr>
          <w:p>
            <w:pPr>
              <w:ind w:left="80"/>
              <w:spacing w:after="0"/>
              <w:rPr>
                <w:sz w:val="20"/>
                <w:szCs w:val="20"/>
                <w:color w:val="auto"/>
              </w:rPr>
            </w:pPr>
            <w:r>
              <w:rPr>
                <w:rFonts w:ascii="Arial" w:cs="Arial" w:eastAsia="Arial" w:hAnsi="Arial"/>
                <w:sz w:val="16"/>
                <w:szCs w:val="16"/>
                <w:color w:val="auto"/>
              </w:rPr>
              <w:t>Ahold Delhaize</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5"/>
              </w:rPr>
              <w:t>BBB / Baa1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15,259,000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2.00 %</w:t>
            </w:r>
          </w:p>
        </w:tc>
        <w:tc>
          <w:tcPr>
            <w:tcW w:w="920" w:type="dxa"/>
            <w:vAlign w:val="bottom"/>
          </w:tcPr>
          <w:p>
            <w:pPr>
              <w:jc w:val="right"/>
              <w:spacing w:after="0"/>
              <w:rPr>
                <w:sz w:val="20"/>
                <w:szCs w:val="20"/>
                <w:color w:val="auto"/>
              </w:rPr>
            </w:pPr>
            <w:r>
              <w:rPr>
                <w:rFonts w:ascii="Arial" w:cs="Arial" w:eastAsia="Arial" w:hAnsi="Arial"/>
                <w:sz w:val="16"/>
                <w:szCs w:val="16"/>
                <w:color w:val="auto"/>
              </w:rPr>
              <w:t>852,000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3.00 %</w:t>
            </w: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NetApp,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4"/>
              </w:rPr>
              <w:t>BBB+ / Baa2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13,927,000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1.82 %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800" w:type="dxa"/>
            <w:vAlign w:val="bottom"/>
          </w:tcPr>
          <w:p>
            <w:pPr>
              <w:ind w:left="80"/>
              <w:spacing w:after="0"/>
              <w:rPr>
                <w:sz w:val="20"/>
                <w:szCs w:val="20"/>
                <w:color w:val="auto"/>
              </w:rPr>
            </w:pPr>
            <w:r>
              <w:rPr>
                <w:rFonts w:ascii="Arial" w:cs="Arial" w:eastAsia="Arial" w:hAnsi="Arial"/>
                <w:sz w:val="16"/>
                <w:szCs w:val="16"/>
                <w:color w:val="auto"/>
              </w:rPr>
              <w:t>Splunk, Inc.</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7"/>
              </w:rPr>
              <w:t>NR / NR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11,566,000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1.51 %</w:t>
            </w:r>
          </w:p>
        </w:tc>
        <w:tc>
          <w:tcPr>
            <w:tcW w:w="920" w:type="dxa"/>
            <w:vAlign w:val="bottom"/>
          </w:tcPr>
          <w:p>
            <w:pPr>
              <w:jc w:val="right"/>
              <w:spacing w:after="0"/>
              <w:rPr>
                <w:sz w:val="20"/>
                <w:szCs w:val="20"/>
                <w:color w:val="auto"/>
              </w:rPr>
            </w:pPr>
            <w:r>
              <w:rPr>
                <w:rFonts w:ascii="Arial" w:cs="Arial" w:eastAsia="Arial" w:hAnsi="Arial"/>
                <w:sz w:val="16"/>
                <w:szCs w:val="16"/>
                <w:color w:val="auto"/>
              </w:rPr>
              <w:t>235,000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0.83 %</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Gap, Inc., The</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4"/>
              </w:rPr>
              <w:t>BB / Ba2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10,832,000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1.42 %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800" w:type="dxa"/>
            <w:vAlign w:val="bottom"/>
          </w:tcPr>
          <w:p>
            <w:pPr>
              <w:ind w:left="80"/>
              <w:spacing w:after="0"/>
              <w:rPr>
                <w:sz w:val="20"/>
                <w:szCs w:val="20"/>
                <w:color w:val="auto"/>
              </w:rPr>
            </w:pPr>
            <w:r>
              <w:rPr>
                <w:rFonts w:ascii="Arial" w:cs="Arial" w:eastAsia="Arial" w:hAnsi="Arial"/>
                <w:sz w:val="16"/>
                <w:szCs w:val="16"/>
                <w:color w:val="auto"/>
              </w:rPr>
              <w:t>CVS Corporation</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5"/>
              </w:rPr>
              <w:t>BBB / Baa2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10,831,000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1.42 %</w:t>
            </w:r>
          </w:p>
        </w:tc>
        <w:tc>
          <w:tcPr>
            <w:tcW w:w="920" w:type="dxa"/>
            <w:vAlign w:val="bottom"/>
          </w:tcPr>
          <w:p>
            <w:pPr>
              <w:jc w:val="right"/>
              <w:spacing w:after="0"/>
              <w:rPr>
                <w:sz w:val="20"/>
                <w:szCs w:val="20"/>
                <w:color w:val="auto"/>
              </w:rPr>
            </w:pPr>
            <w:r>
              <w:rPr>
                <w:rFonts w:ascii="Arial" w:cs="Arial" w:eastAsia="Arial" w:hAnsi="Arial"/>
                <w:sz w:val="16"/>
                <w:szCs w:val="16"/>
                <w:color w:val="auto"/>
              </w:rPr>
              <w:t>300,000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1.06 %</w:t>
            </w: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 Fitness International LLC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2"/>
              </w:rPr>
              <w:t>CCC+ / Caa1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10,490,000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1.37 %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1.46 %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800" w:type="dxa"/>
            <w:vAlign w:val="bottom"/>
          </w:tcPr>
          <w:p>
            <w:pPr>
              <w:ind w:left="80"/>
              <w:spacing w:after="0"/>
              <w:rPr>
                <w:sz w:val="20"/>
                <w:szCs w:val="20"/>
                <w:color w:val="auto"/>
              </w:rPr>
            </w:pPr>
            <w:r>
              <w:rPr>
                <w:rFonts w:ascii="Arial" w:cs="Arial" w:eastAsia="Arial" w:hAnsi="Arial"/>
                <w:sz w:val="16"/>
                <w:szCs w:val="16"/>
                <w:color w:val="auto"/>
              </w:rPr>
              <w:t>Home Depot, Inc.</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rPr>
              <w:t>A / A2 /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7,285,000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0.95 %</w:t>
            </w:r>
          </w:p>
        </w:tc>
        <w:tc>
          <w:tcPr>
            <w:tcW w:w="920" w:type="dxa"/>
            <w:vAlign w:val="bottom"/>
          </w:tcPr>
          <w:p>
            <w:pPr>
              <w:jc w:val="right"/>
              <w:spacing w:after="0"/>
              <w:rPr>
                <w:sz w:val="20"/>
                <w:szCs w:val="20"/>
                <w:color w:val="auto"/>
              </w:rPr>
            </w:pPr>
            <w:r>
              <w:rPr>
                <w:rFonts w:ascii="Arial" w:cs="Arial" w:eastAsia="Arial" w:hAnsi="Arial"/>
                <w:sz w:val="16"/>
                <w:szCs w:val="16"/>
                <w:color w:val="auto"/>
              </w:rPr>
              <w:t>478,000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1.68 %</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Bed, Bath &amp; Beyond,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5"/>
              </w:rPr>
              <w:t>B+ / Ba3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7,037,000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0.92 %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1.67 %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800" w:type="dxa"/>
            <w:vAlign w:val="bottom"/>
          </w:tcPr>
          <w:p>
            <w:pPr>
              <w:ind w:left="80"/>
              <w:spacing w:after="0"/>
              <w:rPr>
                <w:sz w:val="20"/>
                <w:szCs w:val="20"/>
                <w:color w:val="auto"/>
              </w:rPr>
            </w:pPr>
            <w:r>
              <w:rPr>
                <w:rFonts w:ascii="Arial" w:cs="Arial" w:eastAsia="Arial" w:hAnsi="Arial"/>
                <w:sz w:val="16"/>
                <w:szCs w:val="16"/>
                <w:color w:val="auto"/>
              </w:rPr>
              <w:t>Kroger Co., The</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5"/>
              </w:rPr>
              <w:t>BBB / Baa1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7,029,000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0.92 %</w:t>
            </w:r>
          </w:p>
        </w:tc>
        <w:tc>
          <w:tcPr>
            <w:tcW w:w="920" w:type="dxa"/>
            <w:vAlign w:val="bottom"/>
          </w:tcPr>
          <w:p>
            <w:pPr>
              <w:jc w:val="right"/>
              <w:spacing w:after="0"/>
              <w:rPr>
                <w:sz w:val="20"/>
                <w:szCs w:val="20"/>
                <w:color w:val="auto"/>
              </w:rPr>
            </w:pPr>
            <w:r>
              <w:rPr>
                <w:rFonts w:ascii="Arial" w:cs="Arial" w:eastAsia="Arial" w:hAnsi="Arial"/>
                <w:sz w:val="16"/>
                <w:szCs w:val="16"/>
                <w:color w:val="auto"/>
              </w:rPr>
              <w:t>611,000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2.15 %</w:t>
            </w: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Michaels Stores,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7"/>
              </w:rPr>
              <w:t>B / B1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6,876,000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0.90 %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1.22 %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2800" w:type="dxa"/>
            <w:vAlign w:val="bottom"/>
          </w:tcPr>
          <w:p>
            <w:pPr>
              <w:ind w:left="80"/>
              <w:spacing w:after="0"/>
              <w:rPr>
                <w:sz w:val="20"/>
                <w:szCs w:val="20"/>
                <w:color w:val="auto"/>
              </w:rPr>
            </w:pPr>
            <w:r>
              <w:rPr>
                <w:rFonts w:ascii="Arial" w:cs="Arial" w:eastAsia="Arial" w:hAnsi="Arial"/>
                <w:sz w:val="16"/>
                <w:szCs w:val="16"/>
                <w:color w:val="auto"/>
              </w:rPr>
              <w:t>Bank of America, N.A.</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rPr>
              <w:t>A- / A2 / AA-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6,811,000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0.89 %</w:t>
            </w:r>
          </w:p>
        </w:tc>
        <w:tc>
          <w:tcPr>
            <w:tcW w:w="920" w:type="dxa"/>
            <w:vAlign w:val="bottom"/>
          </w:tcPr>
          <w:p>
            <w:pPr>
              <w:jc w:val="right"/>
              <w:spacing w:after="0"/>
              <w:rPr>
                <w:sz w:val="20"/>
                <w:szCs w:val="20"/>
                <w:color w:val="auto"/>
              </w:rPr>
            </w:pPr>
            <w:r>
              <w:rPr>
                <w:rFonts w:ascii="Arial" w:cs="Arial" w:eastAsia="Arial" w:hAnsi="Arial"/>
                <w:sz w:val="16"/>
                <w:szCs w:val="16"/>
                <w:color w:val="auto"/>
              </w:rPr>
              <w:t>118,000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0.42 %</w:t>
            </w: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Puma North America,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7"/>
              </w:rPr>
              <w:t>NR / NR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6,801,000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0.89 %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0.55 %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800" w:type="dxa"/>
            <w:vAlign w:val="bottom"/>
          </w:tcPr>
          <w:p>
            <w:pPr>
              <w:ind w:left="80"/>
              <w:spacing w:after="0"/>
              <w:rPr>
                <w:sz w:val="20"/>
                <w:szCs w:val="20"/>
                <w:color w:val="auto"/>
              </w:rPr>
            </w:pPr>
            <w:r>
              <w:rPr>
                <w:rFonts w:ascii="Arial" w:cs="Arial" w:eastAsia="Arial" w:hAnsi="Arial"/>
                <w:sz w:val="16"/>
                <w:szCs w:val="16"/>
                <w:color w:val="auto"/>
              </w:rPr>
              <w:t>Ross Stores, Inc.</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9"/>
              </w:rPr>
              <w:t>BBB+ / A2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6,591,000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0.86 %</w:t>
            </w:r>
          </w:p>
        </w:tc>
        <w:tc>
          <w:tcPr>
            <w:tcW w:w="920" w:type="dxa"/>
            <w:vAlign w:val="bottom"/>
          </w:tcPr>
          <w:p>
            <w:pPr>
              <w:jc w:val="right"/>
              <w:spacing w:after="0"/>
              <w:rPr>
                <w:sz w:val="20"/>
                <w:szCs w:val="20"/>
                <w:color w:val="auto"/>
              </w:rPr>
            </w:pPr>
            <w:r>
              <w:rPr>
                <w:rFonts w:ascii="Arial" w:cs="Arial" w:eastAsia="Arial" w:hAnsi="Arial"/>
                <w:sz w:val="16"/>
                <w:szCs w:val="16"/>
                <w:color w:val="auto"/>
              </w:rPr>
              <w:t>315,000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1.11 %</w:t>
            </w: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Best Buy Co.,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9"/>
              </w:rPr>
              <w:t>BBB+ / A3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6,496,000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0.85 %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0.82 %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6"/>
        </w:trPr>
        <w:tc>
          <w:tcPr>
            <w:tcW w:w="560" w:type="dxa"/>
            <w:vAlign w:val="bottom"/>
          </w:tcPr>
          <w:p>
            <w:pPr>
              <w:jc w:val="right"/>
              <w:ind w:right="39"/>
              <w:spacing w:after="0" w:line="166" w:lineRule="exact"/>
              <w:rPr>
                <w:sz w:val="20"/>
                <w:szCs w:val="20"/>
                <w:color w:val="auto"/>
              </w:rPr>
            </w:pPr>
            <w:r>
              <w:rPr>
                <w:rFonts w:ascii="Arial" w:cs="Arial" w:eastAsia="Arial" w:hAnsi="Arial"/>
                <w:sz w:val="16"/>
                <w:szCs w:val="16"/>
                <w:color w:val="auto"/>
              </w:rPr>
              <w:t>16</w:t>
            </w:r>
          </w:p>
        </w:tc>
        <w:tc>
          <w:tcPr>
            <w:tcW w:w="2800" w:type="dxa"/>
            <w:vAlign w:val="bottom"/>
          </w:tcPr>
          <w:p>
            <w:pPr>
              <w:ind w:left="80"/>
              <w:spacing w:after="0" w:line="166" w:lineRule="exact"/>
              <w:rPr>
                <w:sz w:val="20"/>
                <w:szCs w:val="20"/>
                <w:color w:val="auto"/>
              </w:rPr>
            </w:pPr>
            <w:r>
              <w:rPr>
                <w:rFonts w:ascii="Arial" w:cs="Arial" w:eastAsia="Arial" w:hAnsi="Arial"/>
                <w:sz w:val="16"/>
                <w:szCs w:val="16"/>
                <w:color w:val="auto"/>
              </w:rPr>
              <w:t>Albertsons Companies, Inc. (Acme,</w:t>
            </w:r>
          </w:p>
        </w:tc>
        <w:tc>
          <w:tcPr>
            <w:tcW w:w="2080" w:type="dxa"/>
            <w:vAlign w:val="bottom"/>
          </w:tcPr>
          <w:p>
            <w:pPr>
              <w:jc w:val="center"/>
              <w:ind w:left="140"/>
              <w:spacing w:after="0" w:line="166" w:lineRule="exact"/>
              <w:rPr>
                <w:sz w:val="20"/>
                <w:szCs w:val="20"/>
                <w:color w:val="auto"/>
              </w:rPr>
            </w:pPr>
            <w:r>
              <w:rPr>
                <w:rFonts w:ascii="Arial" w:cs="Arial" w:eastAsia="Arial" w:hAnsi="Arial"/>
                <w:sz w:val="16"/>
                <w:szCs w:val="16"/>
                <w:color w:val="auto"/>
                <w:w w:val="94"/>
              </w:rPr>
              <w:t>BB / Ba2 / NR</w:t>
            </w:r>
          </w:p>
        </w:tc>
        <w:tc>
          <w:tcPr>
            <w:tcW w:w="16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line="166" w:lineRule="exact"/>
              <w:rPr>
                <w:sz w:val="20"/>
                <w:szCs w:val="20"/>
                <w:color w:val="auto"/>
              </w:rPr>
            </w:pPr>
            <w:r>
              <w:rPr>
                <w:rFonts w:ascii="Arial" w:cs="Arial" w:eastAsia="Arial" w:hAnsi="Arial"/>
                <w:sz w:val="16"/>
                <w:szCs w:val="16"/>
                <w:color w:val="auto"/>
              </w:rPr>
              <w:t>6,486,000</w:t>
            </w:r>
          </w:p>
        </w:tc>
        <w:tc>
          <w:tcPr>
            <w:tcW w:w="1640" w:type="dxa"/>
            <w:vAlign w:val="bottom"/>
          </w:tcPr>
          <w:p>
            <w:pPr>
              <w:jc w:val="right"/>
              <w:ind w:right="40"/>
              <w:spacing w:after="0" w:line="166" w:lineRule="exact"/>
              <w:rPr>
                <w:sz w:val="20"/>
                <w:szCs w:val="20"/>
                <w:color w:val="auto"/>
              </w:rPr>
            </w:pPr>
            <w:r>
              <w:rPr>
                <w:rFonts w:ascii="Arial" w:cs="Arial" w:eastAsia="Arial" w:hAnsi="Arial"/>
                <w:sz w:val="16"/>
                <w:szCs w:val="16"/>
                <w:color w:val="auto"/>
              </w:rPr>
              <w:t>0.85 %</w:t>
            </w:r>
          </w:p>
        </w:tc>
        <w:tc>
          <w:tcPr>
            <w:tcW w:w="920" w:type="dxa"/>
            <w:vAlign w:val="bottom"/>
          </w:tcPr>
          <w:p>
            <w:pPr>
              <w:jc w:val="right"/>
              <w:spacing w:after="0" w:line="166" w:lineRule="exact"/>
              <w:rPr>
                <w:sz w:val="20"/>
                <w:szCs w:val="20"/>
                <w:color w:val="auto"/>
              </w:rPr>
            </w:pPr>
            <w:r>
              <w:rPr>
                <w:rFonts w:ascii="Arial" w:cs="Arial" w:eastAsia="Arial" w:hAnsi="Arial"/>
                <w:sz w:val="16"/>
                <w:szCs w:val="16"/>
                <w:color w:val="auto"/>
              </w:rPr>
              <w:t>502,000</w:t>
            </w:r>
          </w:p>
        </w:tc>
        <w:tc>
          <w:tcPr>
            <w:tcW w:w="1180" w:type="dxa"/>
            <w:vAlign w:val="bottom"/>
          </w:tcPr>
          <w:p>
            <w:pPr>
              <w:jc w:val="right"/>
              <w:ind w:right="20"/>
              <w:spacing w:after="0" w:line="166" w:lineRule="exact"/>
              <w:rPr>
                <w:sz w:val="20"/>
                <w:szCs w:val="20"/>
                <w:color w:val="auto"/>
              </w:rPr>
            </w:pPr>
            <w:r>
              <w:rPr>
                <w:rFonts w:ascii="Arial" w:cs="Arial" w:eastAsia="Arial" w:hAnsi="Arial"/>
                <w:sz w:val="16"/>
                <w:szCs w:val="16"/>
                <w:color w:val="auto"/>
              </w:rPr>
              <w:t>1.77 %</w:t>
            </w:r>
          </w:p>
        </w:tc>
        <w:tc>
          <w:tcPr>
            <w:tcW w:w="780" w:type="dxa"/>
            <w:vAlign w:val="bottom"/>
          </w:tcPr>
          <w:p>
            <w:pPr>
              <w:jc w:val="right"/>
              <w:spacing w:after="0" w:line="166"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2800" w:type="dxa"/>
            <w:vAlign w:val="bottom"/>
          </w:tcPr>
          <w:p>
            <w:pPr>
              <w:ind w:left="80"/>
              <w:spacing w:after="0"/>
              <w:rPr>
                <w:sz w:val="20"/>
                <w:szCs w:val="20"/>
                <w:color w:val="auto"/>
              </w:rPr>
            </w:pPr>
            <w:r>
              <w:rPr>
                <w:rFonts w:ascii="Arial" w:cs="Arial" w:eastAsia="Arial" w:hAnsi="Arial"/>
                <w:sz w:val="16"/>
                <w:szCs w:val="16"/>
                <w:color w:val="auto"/>
              </w:rPr>
              <w:t>Balducci's, Safeway)</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Dick's Sporting Goods,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7"/>
              </w:rPr>
              <w:t>NR / NR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6,318,000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0.83 %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2800" w:type="dxa"/>
            <w:vAlign w:val="bottom"/>
          </w:tcPr>
          <w:p>
            <w:pPr>
              <w:ind w:left="80"/>
              <w:spacing w:after="0"/>
              <w:rPr>
                <w:sz w:val="20"/>
                <w:szCs w:val="20"/>
                <w:color w:val="auto"/>
              </w:rPr>
            </w:pPr>
            <w:r>
              <w:rPr>
                <w:rFonts w:ascii="Arial" w:cs="Arial" w:eastAsia="Arial" w:hAnsi="Arial"/>
                <w:sz w:val="16"/>
                <w:szCs w:val="16"/>
                <w:color w:val="auto"/>
              </w:rPr>
              <w:t>DSW, Inc.</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7"/>
              </w:rPr>
              <w:t>NR / NR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5,720,000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0.75 %</w:t>
            </w:r>
          </w:p>
        </w:tc>
        <w:tc>
          <w:tcPr>
            <w:tcW w:w="920" w:type="dxa"/>
            <w:vAlign w:val="bottom"/>
          </w:tcPr>
          <w:p>
            <w:pPr>
              <w:jc w:val="right"/>
              <w:spacing w:after="0"/>
              <w:rPr>
                <w:sz w:val="20"/>
                <w:szCs w:val="20"/>
                <w:color w:val="auto"/>
              </w:rPr>
            </w:pPr>
            <w:r>
              <w:rPr>
                <w:rFonts w:ascii="Arial" w:cs="Arial" w:eastAsia="Arial" w:hAnsi="Arial"/>
                <w:sz w:val="16"/>
                <w:szCs w:val="16"/>
                <w:color w:val="auto"/>
              </w:rPr>
              <w:t>224,000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0.79 %</w:t>
            </w: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Ulta Beauty,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7"/>
              </w:rPr>
              <w:t>NR / NR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5,643,000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0.74 %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0.57 %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2800" w:type="dxa"/>
            <w:vAlign w:val="bottom"/>
          </w:tcPr>
          <w:p>
            <w:pPr>
              <w:ind w:left="80"/>
              <w:spacing w:after="0"/>
              <w:rPr>
                <w:sz w:val="20"/>
                <w:szCs w:val="20"/>
                <w:color w:val="auto"/>
              </w:rPr>
            </w:pPr>
            <w:r>
              <w:rPr>
                <w:rFonts w:ascii="Arial" w:cs="Arial" w:eastAsia="Arial" w:hAnsi="Arial"/>
                <w:sz w:val="16"/>
                <w:szCs w:val="16"/>
                <w:color w:val="auto"/>
              </w:rPr>
              <w:t>AMC Entertainment Inc.</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2"/>
              </w:rPr>
              <w:t>CCC+ / Caa3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5,424,000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0.71 %</w:t>
            </w:r>
          </w:p>
        </w:tc>
        <w:tc>
          <w:tcPr>
            <w:tcW w:w="920" w:type="dxa"/>
            <w:vAlign w:val="bottom"/>
          </w:tcPr>
          <w:p>
            <w:pPr>
              <w:jc w:val="right"/>
              <w:spacing w:after="0"/>
              <w:rPr>
                <w:sz w:val="20"/>
                <w:szCs w:val="20"/>
                <w:color w:val="auto"/>
              </w:rPr>
            </w:pPr>
            <w:r>
              <w:rPr>
                <w:rFonts w:ascii="Arial" w:cs="Arial" w:eastAsia="Arial" w:hAnsi="Arial"/>
                <w:sz w:val="16"/>
                <w:szCs w:val="16"/>
                <w:color w:val="auto"/>
              </w:rPr>
              <w:t>233,000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0.82 %</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Target Corporation</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rPr>
              <w:t>A / A2 / 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5,356,000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0.70 %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2.09 %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2800" w:type="dxa"/>
            <w:vAlign w:val="bottom"/>
          </w:tcPr>
          <w:p>
            <w:pPr>
              <w:ind w:left="80"/>
              <w:spacing w:after="0"/>
              <w:rPr>
                <w:sz w:val="20"/>
                <w:szCs w:val="20"/>
                <w:color w:val="auto"/>
              </w:rPr>
            </w:pPr>
            <w:r>
              <w:rPr>
                <w:rFonts w:ascii="Arial" w:cs="Arial" w:eastAsia="Arial" w:hAnsi="Arial"/>
                <w:sz w:val="16"/>
                <w:szCs w:val="16"/>
                <w:color w:val="auto"/>
              </w:rPr>
              <w:t>Wells Fargo Bank, N.A.</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8"/>
              </w:rPr>
              <w:t>BBB+ / A1 /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5,055,000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0.66 %</w:t>
            </w:r>
          </w:p>
        </w:tc>
        <w:tc>
          <w:tcPr>
            <w:tcW w:w="920" w:type="dxa"/>
            <w:vAlign w:val="bottom"/>
          </w:tcPr>
          <w:p>
            <w:pPr>
              <w:jc w:val="right"/>
              <w:spacing w:after="0"/>
              <w:rPr>
                <w:sz w:val="20"/>
                <w:szCs w:val="20"/>
                <w:color w:val="auto"/>
              </w:rPr>
            </w:pPr>
            <w:r>
              <w:rPr>
                <w:rFonts w:ascii="Arial" w:cs="Arial" w:eastAsia="Arial" w:hAnsi="Arial"/>
                <w:sz w:val="16"/>
                <w:szCs w:val="16"/>
                <w:color w:val="auto"/>
              </w:rPr>
              <w:t>66,000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0.23 %</w:t>
            </w: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Hudson's Bay Company (Saks)</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7"/>
              </w:rPr>
              <w:t>NR / NR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5,042,000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0.66 %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0.35 %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2800" w:type="dxa"/>
            <w:vAlign w:val="bottom"/>
          </w:tcPr>
          <w:p>
            <w:pPr>
              <w:ind w:left="80"/>
              <w:spacing w:after="0"/>
              <w:rPr>
                <w:sz w:val="20"/>
                <w:szCs w:val="20"/>
                <w:color w:val="auto"/>
              </w:rPr>
            </w:pPr>
            <w:r>
              <w:rPr>
                <w:rFonts w:ascii="Arial" w:cs="Arial" w:eastAsia="Arial" w:hAnsi="Arial"/>
                <w:sz w:val="16"/>
                <w:szCs w:val="16"/>
                <w:color w:val="auto"/>
              </w:rPr>
              <w:t>JPMorgan Chase Bank</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rPr>
              <w:t>A- / A2 / AA-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4,966,000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0.65 %</w:t>
            </w:r>
          </w:p>
        </w:tc>
        <w:tc>
          <w:tcPr>
            <w:tcW w:w="920" w:type="dxa"/>
            <w:vAlign w:val="bottom"/>
          </w:tcPr>
          <w:p>
            <w:pPr>
              <w:jc w:val="right"/>
              <w:spacing w:after="0"/>
              <w:rPr>
                <w:sz w:val="20"/>
                <w:szCs w:val="20"/>
                <w:color w:val="auto"/>
              </w:rPr>
            </w:pPr>
            <w:r>
              <w:rPr>
                <w:rFonts w:ascii="Arial" w:cs="Arial" w:eastAsia="Arial" w:hAnsi="Arial"/>
                <w:sz w:val="16"/>
                <w:szCs w:val="16"/>
                <w:color w:val="auto"/>
              </w:rPr>
              <w:t>85,000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0.30 %</w:t>
            </w: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Whole Foods Market,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rPr>
              <w:t>AA- / A1 / NR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4,772,000</w:t>
            </w:r>
          </w:p>
        </w:tc>
        <w:tc>
          <w:tcPr>
            <w:tcW w:w="1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0.62 %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167,000</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0.59 %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2800" w:type="dxa"/>
            <w:vAlign w:val="bottom"/>
          </w:tcPr>
          <w:p>
            <w:pPr>
              <w:ind w:left="80"/>
              <w:spacing w:after="0"/>
              <w:rPr>
                <w:sz w:val="20"/>
                <w:szCs w:val="20"/>
                <w:color w:val="auto"/>
              </w:rPr>
            </w:pPr>
            <w:r>
              <w:rPr>
                <w:rFonts w:ascii="Arial" w:cs="Arial" w:eastAsia="Arial" w:hAnsi="Arial"/>
                <w:sz w:val="16"/>
                <w:szCs w:val="16"/>
                <w:color w:val="auto"/>
              </w:rPr>
              <w:t>Totals - Top 25 Tenants</w:t>
            </w:r>
          </w:p>
        </w:tc>
        <w:tc>
          <w:tcPr>
            <w:tcW w:w="20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203,187,000</w:t>
            </w: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26.61 %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8,606,000</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30.28 %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800" w:type="dxa"/>
            <w:vAlign w:val="bottom"/>
          </w:tcPr>
          <w:p>
            <w:pPr>
              <w:ind w:left="80"/>
              <w:spacing w:after="0"/>
              <w:rPr>
                <w:sz w:val="20"/>
                <w:szCs w:val="20"/>
                <w:color w:val="auto"/>
              </w:rPr>
            </w:pPr>
            <w:r>
              <w:rPr>
                <w:rFonts w:ascii="Arial" w:cs="Arial" w:eastAsia="Arial" w:hAnsi="Arial"/>
                <w:sz w:val="16"/>
                <w:szCs w:val="16"/>
                <w:color w:val="auto"/>
              </w:rPr>
              <w:t>Total (5):</w:t>
            </w:r>
          </w:p>
        </w:tc>
        <w:tc>
          <w:tcPr>
            <w:tcW w:w="20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763,575,000</w:t>
            </w:r>
          </w:p>
        </w:tc>
        <w:tc>
          <w:tcPr>
            <w:tcW w:w="1640" w:type="dxa"/>
            <w:vAlign w:val="bottom"/>
          </w:tcPr>
          <w:p>
            <w:pPr>
              <w:jc w:val="right"/>
              <w:ind w:right="1340"/>
              <w:spacing w:after="0"/>
              <w:rPr>
                <w:sz w:val="20"/>
                <w:szCs w:val="20"/>
                <w:color w:val="auto"/>
              </w:rPr>
            </w:pPr>
            <w:r>
              <w:rPr>
                <w:rFonts w:ascii="Arial" w:cs="Arial" w:eastAsia="Arial" w:hAnsi="Arial"/>
                <w:sz w:val="16"/>
                <w:szCs w:val="16"/>
                <w:color w:val="auto"/>
              </w:rPr>
              <w:t>(2)</w:t>
            </w:r>
          </w:p>
        </w:tc>
        <w:tc>
          <w:tcPr>
            <w:tcW w:w="920" w:type="dxa"/>
            <w:vAlign w:val="bottom"/>
          </w:tcPr>
          <w:p>
            <w:pPr>
              <w:jc w:val="right"/>
              <w:spacing w:after="0"/>
              <w:rPr>
                <w:sz w:val="20"/>
                <w:szCs w:val="20"/>
                <w:color w:val="auto"/>
              </w:rPr>
            </w:pPr>
            <w:r>
              <w:rPr>
                <w:rFonts w:ascii="Arial" w:cs="Arial" w:eastAsia="Arial" w:hAnsi="Arial"/>
                <w:sz w:val="16"/>
                <w:szCs w:val="16"/>
                <w:color w:val="auto"/>
              </w:rPr>
              <w:t>28,418,000</w:t>
            </w:r>
          </w:p>
        </w:tc>
        <w:tc>
          <w:tcPr>
            <w:tcW w:w="1180" w:type="dxa"/>
            <w:vAlign w:val="bottom"/>
          </w:tcPr>
          <w:p>
            <w:pPr>
              <w:jc w:val="right"/>
              <w:ind w:right="880"/>
              <w:spacing w:after="0"/>
              <w:rPr>
                <w:sz w:val="20"/>
                <w:szCs w:val="20"/>
                <w:color w:val="auto"/>
              </w:rPr>
            </w:pPr>
            <w:r>
              <w:rPr>
                <w:rFonts w:ascii="Arial" w:cs="Arial" w:eastAsia="Arial" w:hAnsi="Arial"/>
                <w:sz w:val="16"/>
                <w:szCs w:val="16"/>
                <w:color w:val="auto"/>
              </w:rPr>
              <w:t>(4)</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Notes:</w:t>
      </w:r>
    </w:p>
    <w:p>
      <w:pPr>
        <w:spacing w:after="0" w:line="32" w:lineRule="exact"/>
        <w:rPr>
          <w:sz w:val="20"/>
          <w:szCs w:val="20"/>
          <w:color w:val="auto"/>
        </w:rPr>
      </w:pPr>
    </w:p>
    <w:p>
      <w:pPr>
        <w:ind w:left="640" w:hanging="621"/>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Credit Ratings are as of September 30, 2021. Subsequent rating changes have not been reflected.</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40" w:top="1026" w:right="359" w:bottom="1440" w:gutter="0" w:footer="0" w:header="0"/>
        </w:sectPr>
      </w:pPr>
    </w:p>
    <w:bookmarkStart w:id="31" w:name="page32"/>
    <w:bookmarkEnd w:id="31"/>
    <w:p>
      <w:pPr>
        <w:ind w:left="1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Tenant Diversification by Category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September 30, 2021</w:t>
      </w:r>
    </w:p>
    <w:p>
      <w:pPr>
        <w:spacing w:after="0" w:line="200" w:lineRule="exact"/>
        <w:rPr>
          <w:sz w:val="20"/>
          <w:szCs w:val="20"/>
          <w:color w:val="auto"/>
        </w:rPr>
      </w:pPr>
    </w:p>
    <w:p>
      <w:pPr>
        <w:spacing w:after="0" w:line="37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below reflects the breakout of our Annualized Base Rent</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as of September 30, 2021 by type of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0</wp:posOffset>
            </wp:positionV>
            <wp:extent cx="7115175" cy="4594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459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25% of Annualized Base Rent comes from Essential Retail</w:t>
      </w:r>
    </w:p>
    <w:p>
      <w:pPr>
        <w:spacing w:after="0" w:line="7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22% of Annualized Base Rent comes from Office and Residential</w:t>
      </w:r>
    </w:p>
    <w:p>
      <w:pPr>
        <w:spacing w:after="0" w:line="200" w:lineRule="exact"/>
        <w:rPr>
          <w:sz w:val="20"/>
          <w:szCs w:val="20"/>
          <w:color w:val="auto"/>
        </w:rPr>
      </w:pPr>
    </w:p>
    <w:p>
      <w:pPr>
        <w:spacing w:after="0" w:line="390"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Notes:</w:t>
      </w:r>
    </w:p>
    <w:p>
      <w:pPr>
        <w:spacing w:after="0" w:line="144" w:lineRule="exact"/>
        <w:rPr>
          <w:sz w:val="20"/>
          <w:szCs w:val="20"/>
          <w:color w:val="auto"/>
        </w:rPr>
      </w:pPr>
    </w:p>
    <w:p>
      <w:pPr>
        <w:ind w:left="300" w:hanging="300"/>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Glossary of Terms. Excludes redevelopment square footage not yet placed in service.</w:t>
      </w:r>
    </w:p>
    <w:p>
      <w:pPr>
        <w:spacing w:after="0" w:line="23" w:lineRule="exact"/>
        <w:rPr>
          <w:sz w:val="20"/>
          <w:szCs w:val="20"/>
          <w:color w:val="auto"/>
        </w:rPr>
      </w:pPr>
    </w:p>
    <w:p>
      <w:pPr>
        <w:ind w:left="300" w:hanging="300"/>
        <w:spacing w:after="0"/>
        <w:tabs>
          <w:tab w:leader="none" w:pos="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Communications &amp; Home Office includes: Telecommunications, Electronics, and Office Supply.</w:t>
      </w:r>
    </w:p>
    <w:p>
      <w:pPr>
        <w:spacing w:after="0" w:line="34" w:lineRule="exact"/>
        <w:rPr>
          <w:rFonts w:ascii="Arial" w:cs="Arial" w:eastAsia="Arial" w:hAnsi="Arial"/>
          <w:sz w:val="17"/>
          <w:szCs w:val="17"/>
          <w:color w:val="auto"/>
        </w:rPr>
      </w:pPr>
    </w:p>
    <w:p>
      <w:pPr>
        <w:ind w:left="300" w:hanging="300"/>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Essential includes: Auto, Liquor, Home Improvement, Pets, and Medical.</w:t>
      </w:r>
    </w:p>
    <w:p>
      <w:pPr>
        <w:spacing w:after="0" w:line="22" w:lineRule="exact"/>
        <w:rPr>
          <w:rFonts w:ascii="Arial" w:cs="Arial" w:eastAsia="Arial" w:hAnsi="Arial"/>
          <w:sz w:val="18"/>
          <w:szCs w:val="18"/>
          <w:color w:val="auto"/>
        </w:rPr>
      </w:pPr>
    </w:p>
    <w:p>
      <w:pPr>
        <w:ind w:left="300" w:hanging="300"/>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Restaurants comprise full service (8%) and quick service (8%).</w:t>
      </w:r>
    </w:p>
    <w:p>
      <w:pPr>
        <w:spacing w:after="0" w:line="22" w:lineRule="exact"/>
        <w:rPr>
          <w:rFonts w:ascii="Arial" w:cs="Arial" w:eastAsia="Arial" w:hAnsi="Arial"/>
          <w:sz w:val="18"/>
          <w:szCs w:val="18"/>
          <w:color w:val="auto"/>
        </w:rPr>
      </w:pPr>
    </w:p>
    <w:p>
      <w:pPr>
        <w:ind w:left="300" w:hanging="300"/>
        <w:spacing w:after="0"/>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Experiential includes: Activity, Cinema, and Entertainment.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39"/>
          </w:cols>
          <w:pgMar w:left="220" w:top="1026" w:right="1440" w:bottom="1440" w:gutter="0" w:footer="0" w:header="0"/>
        </w:sectPr>
      </w:pPr>
    </w:p>
    <w:bookmarkStart w:id="32" w:name="page33"/>
    <w:bookmarkEnd w:id="32"/>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FFO Guidance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September 30, 2021</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reconciliation of estimated earnings per diluted share to estimated FFO per diluted share for the full year 2021 and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Estimates do not include the impact from potential acquisitions or dispositions which have not closed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177165</wp:posOffset>
            </wp:positionV>
            <wp:extent cx="18770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net income available to common shareholders,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gain on sale of real estate,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depreciation and amortization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FFO per diluted share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725805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net income available to common shareholders, per diluted share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FFO per diluted share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(1) See Glossary of Terms. Individual items may not add up to total due to rounding.</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Full Year 2021 Guidance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8770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1340" w:type="dxa"/>
            <w:vAlign w:val="bottom"/>
            <w:gridSpan w:val="2"/>
          </w:tcPr>
          <w:p>
            <w:pPr>
              <w:ind w:left="380"/>
              <w:spacing w:after="0"/>
              <w:rPr>
                <w:sz w:val="20"/>
                <w:szCs w:val="20"/>
                <w:color w:val="auto"/>
              </w:rPr>
            </w:pPr>
            <w:r>
              <w:rPr>
                <w:rFonts w:ascii="Arial" w:cs="Arial" w:eastAsia="Arial" w:hAnsi="Arial"/>
                <w:sz w:val="18"/>
                <w:szCs w:val="18"/>
                <w:color w:val="auto"/>
              </w:rPr>
              <w:t>Low</w:t>
            </w:r>
          </w:p>
        </w:tc>
        <w:tc>
          <w:tcPr>
            <w:tcW w:w="340" w:type="dxa"/>
            <w:vAlign w:val="bottom"/>
          </w:tcPr>
          <w:p>
            <w:pPr>
              <w:spacing w:after="0"/>
              <w:rPr>
                <w:sz w:val="20"/>
                <w:szCs w:val="20"/>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High</w:t>
            </w:r>
          </w:p>
        </w:tc>
      </w:tr>
      <w:tr>
        <w:trPr>
          <w:trHeight w:val="224"/>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center"/>
              <w:ind w:left="690"/>
              <w:spacing w:after="0"/>
              <w:rPr>
                <w:sz w:val="20"/>
                <w:szCs w:val="20"/>
                <w:color w:val="auto"/>
              </w:rPr>
            </w:pPr>
            <w:r>
              <w:rPr>
                <w:rFonts w:ascii="Arial" w:cs="Arial" w:eastAsia="Arial" w:hAnsi="Arial"/>
                <w:sz w:val="18"/>
                <w:szCs w:val="18"/>
                <w:color w:val="auto"/>
                <w:w w:val="91"/>
              </w:rPr>
              <w:t>2.30</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85"/>
              </w:rPr>
              <w:t>2.35</w:t>
            </w:r>
          </w:p>
        </w:tc>
      </w:tr>
      <w:tr>
        <w:trPr>
          <w:trHeight w:val="457"/>
        </w:trPr>
        <w:tc>
          <w:tcPr>
            <w:tcW w:w="180" w:type="dxa"/>
            <w:vAlign w:val="bottom"/>
          </w:tcPr>
          <w:p>
            <w:pPr>
              <w:spacing w:after="0"/>
              <w:rPr>
                <w:sz w:val="24"/>
                <w:szCs w:val="24"/>
                <w:color w:val="auto"/>
              </w:rPr>
            </w:pPr>
          </w:p>
        </w:tc>
        <w:tc>
          <w:tcPr>
            <w:tcW w:w="1260" w:type="dxa"/>
            <w:vAlign w:val="bottom"/>
          </w:tcPr>
          <w:p>
            <w:pPr>
              <w:jc w:val="center"/>
              <w:ind w:left="670"/>
              <w:spacing w:after="0"/>
              <w:rPr>
                <w:sz w:val="20"/>
                <w:szCs w:val="20"/>
                <w:color w:val="auto"/>
              </w:rPr>
            </w:pPr>
            <w:r>
              <w:rPr>
                <w:rFonts w:ascii="Arial" w:cs="Arial" w:eastAsia="Arial" w:hAnsi="Arial"/>
                <w:sz w:val="18"/>
                <w:szCs w:val="18"/>
                <w:color w:val="auto"/>
                <w:w w:val="89"/>
              </w:rPr>
              <w:t>(0.22)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center"/>
              <w:ind w:left="530"/>
              <w:spacing w:after="0"/>
              <w:rPr>
                <w:sz w:val="20"/>
                <w:szCs w:val="20"/>
                <w:color w:val="auto"/>
              </w:rPr>
            </w:pPr>
            <w:r>
              <w:rPr>
                <w:rFonts w:ascii="Arial" w:cs="Arial" w:eastAsia="Arial" w:hAnsi="Arial"/>
                <w:sz w:val="18"/>
                <w:szCs w:val="18"/>
                <w:color w:val="auto"/>
                <w:w w:val="93"/>
              </w:rPr>
              <w:t>(0.22)</w:t>
            </w:r>
          </w:p>
        </w:tc>
      </w:tr>
      <w:tr>
        <w:trPr>
          <w:trHeight w:val="230"/>
        </w:trPr>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1"/>
              </w:rPr>
              <w:t>3.37</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3.37</w:t>
            </w: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1"/>
              </w:rPr>
              <w:t>5.45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5.50</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588"/>
        </w:trPr>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spacing w:after="0"/>
              <w:rPr>
                <w:sz w:val="24"/>
                <w:szCs w:val="24"/>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9"/>
              </w:rPr>
              <w:t>Full Year 2022 Guidance Range</w:t>
            </w:r>
          </w:p>
        </w:tc>
      </w:tr>
      <w:tr>
        <w:trPr>
          <w:trHeight w:val="426"/>
        </w:trPr>
        <w:tc>
          <w:tcPr>
            <w:tcW w:w="180" w:type="dxa"/>
            <w:vAlign w:val="bottom"/>
          </w:tcPr>
          <w:p>
            <w:pPr>
              <w:spacing w:after="0"/>
              <w:rPr>
                <w:sz w:val="24"/>
                <w:szCs w:val="24"/>
                <w:color w:val="auto"/>
              </w:rPr>
            </w:pPr>
          </w:p>
        </w:tc>
        <w:tc>
          <w:tcPr>
            <w:tcW w:w="1340" w:type="dxa"/>
            <w:vAlign w:val="bottom"/>
            <w:gridSpan w:val="2"/>
          </w:tcPr>
          <w:p>
            <w:pPr>
              <w:ind w:left="380"/>
              <w:spacing w:after="0"/>
              <w:rPr>
                <w:sz w:val="20"/>
                <w:szCs w:val="20"/>
                <w:color w:val="auto"/>
              </w:rPr>
            </w:pPr>
            <w:r>
              <w:rPr>
                <w:rFonts w:ascii="Arial" w:cs="Arial" w:eastAsia="Arial" w:hAnsi="Arial"/>
                <w:sz w:val="18"/>
                <w:szCs w:val="18"/>
                <w:color w:val="auto"/>
              </w:rPr>
              <w:t>Low</w:t>
            </w:r>
          </w:p>
        </w:tc>
        <w:tc>
          <w:tcPr>
            <w:tcW w:w="34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High</w:t>
            </w:r>
          </w:p>
        </w:tc>
      </w:tr>
      <w:tr>
        <w:trPr>
          <w:trHeight w:val="224"/>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center"/>
              <w:ind w:left="690"/>
              <w:spacing w:after="0"/>
              <w:rPr>
                <w:sz w:val="20"/>
                <w:szCs w:val="20"/>
                <w:color w:val="auto"/>
              </w:rPr>
            </w:pPr>
            <w:r>
              <w:rPr>
                <w:rFonts w:ascii="Arial" w:cs="Arial" w:eastAsia="Arial" w:hAnsi="Arial"/>
                <w:sz w:val="18"/>
                <w:szCs w:val="18"/>
                <w:color w:val="auto"/>
                <w:w w:val="91"/>
              </w:rPr>
              <w:t>2.25</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85"/>
              </w:rPr>
              <w:t>2.45</w:t>
            </w:r>
          </w:p>
        </w:tc>
      </w:tr>
      <w:tr>
        <w:trPr>
          <w:trHeight w:val="458"/>
        </w:trPr>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1"/>
              </w:rPr>
              <w:t>3.40</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3.40</w:t>
            </w: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1"/>
              </w:rPr>
              <w:t>5.65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5.85</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63" w:lineRule="exact"/>
        <w:rPr>
          <w:sz w:val="20"/>
          <w:szCs w:val="20"/>
          <w:color w:val="auto"/>
        </w:rPr>
      </w:pPr>
    </w:p>
    <w:p>
      <w:pPr>
        <w:sectPr>
          <w:pgSz w:w="11900" w:h="16838" w:orient="portrait"/>
          <w:cols w:equalWidth="0" w:num="2">
            <w:col w:w="7560" w:space="720"/>
            <w:col w:w="2960"/>
          </w:cols>
          <w:pgMar w:left="320" w:top="931" w:right="339" w:bottom="1440" w:gutter="0" w:footer="0" w:header="0"/>
          <w:type w:val="continuous"/>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931"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3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b w:val="1"/>
          <w:bCs w:val="1"/>
          <w:color w:val="auto"/>
        </w:rPr>
        <w:t xml:space="preserve">EBITDA for Real Estate ("EBITDAre"): </w:t>
      </w:r>
      <w:r>
        <w:rPr>
          <w:rFonts w:ascii="Arial" w:cs="Arial" w:eastAsia="Arial" w:hAnsi="Arial"/>
          <w:sz w:val="16"/>
          <w:szCs w:val="16"/>
          <w:color w:val="auto"/>
        </w:rPr>
        <w:t>EBITDAre is a non-GAAP measure that the National Association of Real Estate Investment Trusts ("NAREIT") defines as: net</w:t>
      </w:r>
      <w:r>
        <w:rPr>
          <w:rFonts w:ascii="Arial" w:cs="Arial" w:eastAsia="Arial" w:hAnsi="Arial"/>
          <w:sz w:val="16"/>
          <w:szCs w:val="16"/>
          <w:b w:val="1"/>
          <w:bCs w:val="1"/>
          <w:color w:val="auto"/>
        </w:rPr>
        <w:t xml:space="preserve"> </w:t>
      </w:r>
      <w:r>
        <w:rPr>
          <w:rFonts w:ascii="Arial" w:cs="Arial" w:eastAsia="Arial" w:hAnsi="Arial"/>
          <w:sz w:val="16"/>
          <w:szCs w:val="16"/>
          <w:color w:val="auto"/>
        </w:rPr>
        <w:t>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and nine months ended September 30, 2021 and 2020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2300" w:type="dxa"/>
            <w:vAlign w:val="bottom"/>
            <w:gridSpan w:val="4"/>
          </w:tcPr>
          <w:p>
            <w:pPr>
              <w:jc w:val="right"/>
              <w:ind w:right="678"/>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7"/>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r>
      <w:tr>
        <w:trPr>
          <w:trHeight w:val="183"/>
        </w:trPr>
        <w:tc>
          <w:tcPr>
            <w:tcW w:w="5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17"/>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54,541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(33,623)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152,339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33,677</w:t>
            </w:r>
          </w:p>
        </w:tc>
      </w:tr>
      <w:tr>
        <w:trPr>
          <w:trHeight w:val="213"/>
        </w:trPr>
        <w:tc>
          <w:tcPr>
            <w:tcW w:w="56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32,249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36,228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95,511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98,746</w:t>
            </w: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interest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w:t>
            </w:r>
          </w:p>
        </w:tc>
      </w:tr>
      <w:tr>
        <w:trPr>
          <w:trHeight w:val="213"/>
        </w:trPr>
        <w:tc>
          <w:tcPr>
            <w:tcW w:w="5640" w:type="dxa"/>
            <w:vAlign w:val="bottom"/>
          </w:tcPr>
          <w:p>
            <w:pPr>
              <w:ind w:left="20"/>
              <w:spacing w:after="0"/>
              <w:rPr>
                <w:sz w:val="20"/>
                <w:szCs w:val="20"/>
                <w:color w:val="auto"/>
              </w:rPr>
            </w:pPr>
            <w:r>
              <w:rPr>
                <w:rFonts w:ascii="Arial" w:cs="Arial" w:eastAsia="Arial" w:hAnsi="Arial"/>
                <w:sz w:val="17"/>
                <w:szCs w:val="17"/>
                <w:color w:val="auto"/>
              </w:rPr>
              <w:t>Income tax provision (benefit)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(318)</w:t>
            </w: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70,611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202,160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190,603</w:t>
            </w:r>
          </w:p>
        </w:tc>
      </w:tr>
      <w:tr>
        <w:trPr>
          <w:trHeight w:val="213"/>
        </w:trPr>
        <w:tc>
          <w:tcPr>
            <w:tcW w:w="5640" w:type="dxa"/>
            <w:vAlign w:val="bottom"/>
          </w:tcPr>
          <w:p>
            <w:pPr>
              <w:ind w:left="20"/>
              <w:spacing w:after="0"/>
              <w:rPr>
                <w:sz w:val="20"/>
                <w:szCs w:val="20"/>
                <w:color w:val="auto"/>
              </w:rPr>
            </w:pPr>
            <w:r>
              <w:rPr>
                <w:rFonts w:ascii="Arial" w:cs="Arial" w:eastAsia="Arial" w:hAnsi="Arial"/>
                <w:sz w:val="17"/>
                <w:szCs w:val="17"/>
                <w:color w:val="auto"/>
              </w:rPr>
              <w:t>Gain on sale of real estate and change in control of interest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(17,428)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(11,682)</w:t>
            </w: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Impairment charge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57,218</w:t>
            </w:r>
          </w:p>
        </w:tc>
      </w:tr>
      <w:tr>
        <w:trPr>
          <w:trHeight w:val="213"/>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Adjustments of EBITDAre of unconsolidated affiliates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4,900</w:t>
            </w:r>
          </w:p>
        </w:tc>
      </w:tr>
      <w:tr>
        <w:trPr>
          <w:trHeight w:val="238"/>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EBITDAre</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158,282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126,627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434,657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371,789</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line="269" w:lineRule="auto"/>
        <w:rPr>
          <w:sz w:val="20"/>
          <w:szCs w:val="20"/>
          <w:color w:val="auto"/>
        </w:rPr>
      </w:pPr>
      <w:r>
        <w:rPr>
          <w:rFonts w:ascii="Arial" w:cs="Arial" w:eastAsia="Arial" w:hAnsi="Arial"/>
          <w:sz w:val="15"/>
          <w:szCs w:val="15"/>
          <w:b w:val="1"/>
          <w:bCs w:val="1"/>
          <w:color w:val="auto"/>
        </w:rPr>
        <w:t xml:space="preserve">Funds From Operations (FFO): </w:t>
      </w:r>
      <w:r>
        <w:rPr>
          <w:rFonts w:ascii="Arial" w:cs="Arial" w:eastAsia="Arial" w:hAnsi="Arial"/>
          <w:sz w:val="15"/>
          <w:szCs w:val="15"/>
          <w:color w:val="auto"/>
        </w:rPr>
        <w:t>FFO is a supplemental measure of real estate companies' operating performances. NAREIT defines FFO as follows: net income, computed</w:t>
      </w:r>
      <w:r>
        <w:rPr>
          <w:rFonts w:ascii="Arial" w:cs="Arial" w:eastAsia="Arial" w:hAnsi="Arial"/>
          <w:sz w:val="15"/>
          <w:szCs w:val="15"/>
          <w:b w:val="1"/>
          <w:bCs w:val="1"/>
          <w:color w:val="auto"/>
        </w:rPr>
        <w:t xml:space="preserve"> </w:t>
      </w:r>
      <w:r>
        <w:rPr>
          <w:rFonts w:ascii="Arial" w:cs="Arial" w:eastAsia="Arial" w:hAnsi="Arial"/>
          <w:sz w:val="15"/>
          <w:szCs w:val="15"/>
          <w:color w:val="auto"/>
        </w:rPr>
        <w:t>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Property Operating Income: </w:t>
      </w:r>
      <w:r>
        <w:rPr>
          <w:rFonts w:ascii="Arial" w:cs="Arial" w:eastAsia="Arial" w:hAnsi="Arial"/>
          <w:sz w:val="16"/>
          <w:szCs w:val="16"/>
          <w:color w:val="auto"/>
        </w:rPr>
        <w:t>Rental income and mortgage interest income, less rental expenses and real estate taxes.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Overall Portfolio: </w:t>
      </w:r>
      <w:r>
        <w:rPr>
          <w:rFonts w:ascii="Arial" w:cs="Arial" w:eastAsia="Arial" w:hAnsi="Arial"/>
          <w:sz w:val="16"/>
          <w:szCs w:val="16"/>
          <w:color w:val="auto"/>
        </w:rPr>
        <w:t>Includes all operating properties owned in reporting period.</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Comparable Properties: </w:t>
      </w:r>
      <w:r>
        <w:rPr>
          <w:rFonts w:ascii="Arial" w:cs="Arial" w:eastAsia="Arial" w:hAnsi="Arial"/>
          <w:sz w:val="15"/>
          <w:szCs w:val="15"/>
          <w:color w:val="auto"/>
        </w:rPr>
        <w:t>Represents our consolidated property portfolio other than those properties that distort comparability between periods in two primary categories:</w:t>
      </w:r>
    </w:p>
    <w:p>
      <w:pPr>
        <w:spacing w:after="0" w:line="35" w:lineRule="exact"/>
        <w:rPr>
          <w:sz w:val="20"/>
          <w:szCs w:val="20"/>
          <w:color w:val="auto"/>
        </w:rPr>
      </w:pPr>
    </w:p>
    <w:p>
      <w:pPr>
        <w:ind w:right="160" w:firstLine="8"/>
        <w:spacing w:after="0" w:line="257" w:lineRule="auto"/>
        <w:tabs>
          <w:tab w:leader="none" w:pos="22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101"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b w:val="1"/>
          <w:bCs w:val="1"/>
          <w:color w:val="auto"/>
        </w:rPr>
        <w:t xml:space="preserve">Annualized Base Rent (ABR): </w:t>
      </w:r>
      <w:r>
        <w:rPr>
          <w:rFonts w:ascii="Arial" w:cs="Arial" w:eastAsia="Arial" w:hAnsi="Arial"/>
          <w:sz w:val="16"/>
          <w:szCs w:val="16"/>
          <w:color w:val="auto"/>
        </w:rPr>
        <w:t>Represents aggregate, annualized in-place contractual (defined as rents billed on a cash basis without taking the impact of rent abatements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into account) minimum rent for all occupied spaces as of the reporting period.</w:t>
      </w:r>
    </w:p>
    <w:p>
      <w:pPr>
        <w:spacing w:after="0" w:line="70"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b w:val="1"/>
          <w:bCs w:val="1"/>
          <w:color w:val="auto"/>
        </w:rPr>
        <w:t xml:space="preserve">Retail Leasing Summary - Lease Rollover Calculation: </w:t>
      </w:r>
      <w:r>
        <w:rPr>
          <w:rFonts w:ascii="Arial" w:cs="Arial" w:eastAsia="Arial" w:hAnsi="Arial"/>
          <w:sz w:val="15"/>
          <w:szCs w:val="15"/>
          <w:color w:val="auto"/>
        </w:rPr>
        <w:t>The rental increases associated with comparable spaces generally include all leases signed for retail space in</w:t>
      </w:r>
      <w:r>
        <w:rPr>
          <w:rFonts w:ascii="Arial" w:cs="Arial" w:eastAsia="Arial" w:hAnsi="Arial"/>
          <w:sz w:val="15"/>
          <w:szCs w:val="15"/>
          <w:b w:val="1"/>
          <w:bCs w:val="1"/>
          <w:color w:val="auto"/>
        </w:rPr>
        <w:t xml:space="preserve"> </w:t>
      </w:r>
      <w:r>
        <w:rPr>
          <w:rFonts w:ascii="Arial" w:cs="Arial" w:eastAsia="Arial" w:hAnsi="Arial"/>
          <w:sz w:val="15"/>
          <w:szCs w:val="15"/>
          <w:color w:val="auto"/>
        </w:rPr>
        <w:t>arms-length transactions reflecting market leverage between landlords and tenants during the period. The comparison between average rent for expiring leases and new leases is determined by including contractual rent on the expiring lease and annual market rent and in some instances, projections of percentage rent, to be paid on the new lease. In atypical circumstances, management may exercise judgement as to how to most effectively reflect the comparability of rents reported in the calculation. As a result of accommodations made to certain tenants to help them stay open during and after the COVID-19 pandemic, we have found it necessary to exercise more judgement in 2020 and 2021 than in prior years in order to appropriately reflect the comparability of rents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Rent abatement and short term rent restructuring agreements that are a result of COVID-19 impacts are not included in this calculation.</w:t>
      </w:r>
    </w:p>
    <w:p>
      <w:pPr>
        <w:spacing w:after="0" w:line="83" w:lineRule="exact"/>
        <w:rPr>
          <w:sz w:val="20"/>
          <w:szCs w:val="20"/>
          <w:color w:val="auto"/>
        </w:rPr>
      </w:pPr>
    </w:p>
    <w:p>
      <w:pPr>
        <w:ind w:right="240"/>
        <w:spacing w:after="0" w:line="280" w:lineRule="auto"/>
        <w:rPr>
          <w:sz w:val="20"/>
          <w:szCs w:val="20"/>
          <w:color w:val="auto"/>
        </w:rPr>
      </w:pPr>
      <w:r>
        <w:rPr>
          <w:rFonts w:ascii="Arial" w:cs="Arial" w:eastAsia="Arial" w:hAnsi="Arial"/>
          <w:sz w:val="16"/>
          <w:szCs w:val="16"/>
          <w:b w:val="1"/>
          <w:bCs w:val="1"/>
          <w:color w:val="auto"/>
        </w:rPr>
        <w:t xml:space="preserve">Tenant Improvements and Incentives: </w:t>
      </w:r>
      <w:r>
        <w:rPr>
          <w:rFonts w:ascii="Arial" w:cs="Arial" w:eastAsia="Arial" w:hAnsi="Arial"/>
          <w:sz w:val="16"/>
          <w:szCs w:val="16"/>
          <w:color w:val="auto"/>
        </w:rPr>
        <w:t>Represents the total dollars committed for the improvement (fit-out) of a space as it relates to a specific lease. Incentives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paid to tenants as an inducement to sign a lease that do not represent building improvements.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3"/>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lvl w:ilvl="1">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1)"/>
      <w:numFmt w:val="decimal"/>
      <w:start w:val="6"/>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3"/>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3"/>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2021-11-04T15:43:56Z</dcterms:created>
  <dcterms:modified xsi:type="dcterms:W3CDTF">2021-11-04T15:43:56Z</dcterms:modified>
</cp:coreProperties>
</file>