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ind w:right="240"/>
        <w:spacing w:after="0" w:line="261" w:lineRule="auto"/>
        <w:rPr>
          <w:sz w:val="20"/>
          <w:szCs w:val="20"/>
          <w:color w:val="auto"/>
        </w:rPr>
      </w:pPr>
      <w:r>
        <w:rPr>
          <w:rFonts w:ascii="Arial" w:cs="Arial" w:eastAsia="Arial" w:hAnsi="Arial"/>
          <w:sz w:val="18"/>
          <w:szCs w:val="18"/>
          <w:b w:val="1"/>
          <w:bCs w:val="1"/>
          <w:color w:val="FF4338"/>
        </w:rPr>
        <w:t>The information in this preliminary prospectus supplement and the accompanying prospectus is not complete and may be changed. A registration statement relating to these securities has been filed with the Securities and Exchange Commission and is effective. This preliminary prospectus supplement and the accompanying prospectus are not an offer to sell these securities and we are not soliciting offers to buy these securities in any jurisdiction where the offer or sale is not permitted.</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FF4338"/>
        </w:rPr>
        <w:t>SUBJECT TO COMPLETION, DATED MARCH 1, 2016</w:t>
      </w:r>
    </w:p>
    <w:p>
      <w:pPr>
        <w:spacing w:after="0" w:line="200" w:lineRule="exact"/>
        <w:rPr>
          <w:sz w:val="24"/>
          <w:szCs w:val="24"/>
          <w:color w:val="auto"/>
        </w:rPr>
      </w:pPr>
    </w:p>
    <w:p>
      <w:pPr>
        <w:spacing w:after="0" w:line="268"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333-203999</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MAY 8, 2015)</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1,000,000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2500630</wp:posOffset>
            </wp:positionH>
            <wp:positionV relativeFrom="paragraph">
              <wp:posOffset>178435</wp:posOffset>
            </wp:positionV>
            <wp:extent cx="2255520" cy="909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55520" cy="909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Common Shares of Beneficial Interest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175260</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63" w:lineRule="exact"/>
        <w:rPr>
          <w:sz w:val="24"/>
          <w:szCs w:val="24"/>
          <w:color w:val="auto"/>
        </w:rPr>
      </w:pPr>
    </w:p>
    <w:p>
      <w:pPr>
        <w:ind w:right="340"/>
        <w:spacing w:after="0" w:line="308" w:lineRule="auto"/>
        <w:rPr>
          <w:sz w:val="20"/>
          <w:szCs w:val="20"/>
          <w:color w:val="auto"/>
        </w:rPr>
      </w:pPr>
      <w:r>
        <w:rPr>
          <w:rFonts w:ascii="Arial" w:cs="Arial" w:eastAsia="Arial" w:hAnsi="Arial"/>
          <w:sz w:val="17"/>
          <w:szCs w:val="17"/>
          <w:color w:val="auto"/>
        </w:rPr>
        <w:t>We are offering 1,000,000 of our common shares of beneficial interest. Our common shares are listed on the New York Stock Exchange under the symbol “FRT.” On February 29, 2016, the last reported sale price of our common shares on the New York Stock Exchange was $148.06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110490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8" w:lineRule="exact"/>
        <w:rPr>
          <w:sz w:val="24"/>
          <w:szCs w:val="24"/>
          <w:color w:val="auto"/>
        </w:rPr>
      </w:pPr>
    </w:p>
    <w:p>
      <w:pPr>
        <w:ind w:right="20"/>
        <w:spacing w:after="0" w:line="261" w:lineRule="auto"/>
        <w:rPr>
          <w:rFonts w:ascii="Arial" w:cs="Arial" w:eastAsia="Arial" w:hAnsi="Arial"/>
          <w:sz w:val="21"/>
          <w:szCs w:val="21"/>
          <w:b w:val="1"/>
          <w:bCs w:val="1"/>
          <w:color w:val="auto"/>
        </w:rPr>
      </w:pPr>
      <w:r>
        <w:rPr>
          <w:rFonts w:ascii="Arial" w:cs="Arial" w:eastAsia="Arial" w:hAnsi="Arial"/>
          <w:sz w:val="21"/>
          <w:szCs w:val="21"/>
          <w:b w:val="1"/>
          <w:bCs w:val="1"/>
          <w:color w:val="auto"/>
        </w:rPr>
        <w:t>Investing in our common shares involves risks. See “</w:t>
      </w:r>
      <w:hyperlink w:anchor="page7">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beginning on page S-3 of this prospectus supplement and page 3 of the accompanying prospectus and in our Annual Report on Form 10-K for the year ended December 31, 2015, filed with the Securities and Exchange Commission, or the SEC, on February 9,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125730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6" w:lineRule="exact"/>
        <w:rPr>
          <w:sz w:val="24"/>
          <w:szCs w:val="24"/>
          <w:color w:val="auto"/>
        </w:rPr>
      </w:pPr>
    </w:p>
    <w:p>
      <w:pPr>
        <w:ind w:right="40"/>
        <w:spacing w:after="0" w:line="259" w:lineRule="auto"/>
        <w:rPr>
          <w:sz w:val="20"/>
          <w:szCs w:val="20"/>
          <w:color w:val="auto"/>
        </w:rPr>
      </w:pPr>
      <w:r>
        <w:rPr>
          <w:rFonts w:ascii="Arial" w:cs="Arial" w:eastAsia="Arial" w:hAnsi="Arial"/>
          <w:sz w:val="18"/>
          <w:szCs w:val="18"/>
          <w:color w:val="auto"/>
        </w:rPr>
        <w:t>The underwriter has agreed to purchase the common shares from us at a price of $ per share, which will result in $ of proceeds to us before expenses. The underwriter may offer the common shares from time to time for sale in one or more transactions on the New York Stock Exchange, in the over-the-counter market, through negotiated transactions or otherwise at market prices prevailing at the time of sale, at prices related to prevailing market prices or at negotiated prices.</w:t>
      </w:r>
    </w:p>
    <w:p>
      <w:pPr>
        <w:spacing w:after="0" w:line="187" w:lineRule="exact"/>
        <w:rPr>
          <w:sz w:val="24"/>
          <w:szCs w:val="24"/>
          <w:color w:val="auto"/>
        </w:rPr>
      </w:pPr>
    </w:p>
    <w:p>
      <w:pPr>
        <w:spacing w:after="0"/>
        <w:tabs>
          <w:tab w:leader="none" w:pos="4820" w:val="left"/>
        </w:tabs>
        <w:rPr>
          <w:sz w:val="20"/>
          <w:szCs w:val="20"/>
          <w:color w:val="auto"/>
        </w:rPr>
      </w:pPr>
      <w:r>
        <w:rPr>
          <w:rFonts w:ascii="Arial" w:cs="Arial" w:eastAsia="Arial" w:hAnsi="Arial"/>
          <w:sz w:val="18"/>
          <w:szCs w:val="18"/>
          <w:color w:val="auto"/>
        </w:rPr>
        <w:t>Delivery of the common shares will be made on or about March</w:t>
      </w:r>
      <w:r>
        <w:rPr>
          <w:sz w:val="20"/>
          <w:szCs w:val="20"/>
          <w:color w:val="auto"/>
        </w:rPr>
        <w:tab/>
      </w:r>
      <w:r>
        <w:rPr>
          <w:rFonts w:ascii="Arial" w:cs="Arial" w:eastAsia="Arial" w:hAnsi="Arial"/>
          <w:sz w:val="16"/>
          <w:szCs w:val="16"/>
          <w:color w:val="auto"/>
        </w:rPr>
        <w:t>, 2016.</w:t>
      </w:r>
    </w:p>
    <w:p>
      <w:pPr>
        <w:spacing w:after="0" w:line="225" w:lineRule="exact"/>
        <w:rPr>
          <w:sz w:val="24"/>
          <w:szCs w:val="24"/>
          <w:color w:val="auto"/>
        </w:rPr>
      </w:pPr>
    </w:p>
    <w:p>
      <w:pPr>
        <w:ind w:right="60"/>
        <w:spacing w:after="0" w:line="342" w:lineRule="auto"/>
        <w:rPr>
          <w:sz w:val="20"/>
          <w:szCs w:val="20"/>
          <w:color w:val="auto"/>
        </w:rPr>
      </w:pPr>
      <w:r>
        <w:rPr>
          <w:rFonts w:ascii="Arial" w:cs="Arial" w:eastAsia="Arial" w:hAnsi="Arial"/>
          <w:sz w:val="16"/>
          <w:szCs w:val="16"/>
          <w:color w:val="auto"/>
        </w:rPr>
        <w:t>The underwriter may also purchase up to an additional 150,000 shares at the price per share set forth above, less any dividends or distributions payable on the shares initially purchased by the underwriter but not payable on such option shares, within 30 days from the date of this prospectus supplement.</w:t>
      </w:r>
    </w:p>
    <w:p>
      <w:pPr>
        <w:spacing w:after="0" w:line="120" w:lineRule="exact"/>
        <w:rPr>
          <w:sz w:val="24"/>
          <w:szCs w:val="24"/>
          <w:color w:val="auto"/>
        </w:rPr>
      </w:pPr>
    </w:p>
    <w:p>
      <w:pPr>
        <w:ind w:right="80"/>
        <w:spacing w:after="0" w:line="313" w:lineRule="auto"/>
        <w:rPr>
          <w:sz w:val="20"/>
          <w:szCs w:val="20"/>
          <w:color w:val="auto"/>
        </w:rPr>
      </w:pPr>
      <w:r>
        <w:rPr>
          <w:rFonts w:ascii="Arial" w:cs="Arial" w:eastAsia="Arial" w:hAnsi="Arial"/>
          <w:sz w:val="17"/>
          <w:szCs w:val="17"/>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107950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Citigroup</w:t>
      </w:r>
    </w:p>
    <w:p>
      <w:pPr>
        <w:spacing w:after="0" w:line="215" w:lineRule="exact"/>
        <w:rPr>
          <w:sz w:val="24"/>
          <w:szCs w:val="24"/>
          <w:color w:val="auto"/>
        </w:rPr>
      </w:pPr>
    </w:p>
    <w:p>
      <w:pPr>
        <w:jc w:val="center"/>
        <w:spacing w:after="0"/>
        <w:tabs>
          <w:tab w:leader="none" w:pos="200" w:val="left"/>
        </w:tabs>
        <w:rPr>
          <w:sz w:val="20"/>
          <w:szCs w:val="20"/>
          <w:color w:val="auto"/>
        </w:rPr>
      </w:pPr>
      <w:r>
        <w:rPr>
          <w:rFonts w:ascii="Arial" w:cs="Arial" w:eastAsia="Arial" w:hAnsi="Arial"/>
          <w:sz w:val="18"/>
          <w:szCs w:val="18"/>
          <w:b w:val="1"/>
          <w:bCs w:val="1"/>
          <w:color w:val="auto"/>
        </w:rPr>
        <w:t>The date of this prospectus supplement is March</w:t>
      </w:r>
      <w:r>
        <w:rPr>
          <w:sz w:val="20"/>
          <w:szCs w:val="20"/>
          <w:color w:val="auto"/>
        </w:rPr>
        <w:tab/>
      </w:r>
      <w:r>
        <w:rPr>
          <w:rFonts w:ascii="Arial" w:cs="Arial" w:eastAsia="Arial" w:hAnsi="Arial"/>
          <w:sz w:val="16"/>
          <w:szCs w:val="16"/>
          <w:b w:val="1"/>
          <w:bCs w:val="1"/>
          <w:color w:val="auto"/>
        </w:rPr>
        <w:t>, 2016.</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60" w:type="dxa"/>
            <w:vAlign w:val="bottom"/>
            <w:gridSpan w:val="3"/>
          </w:tcPr>
          <w:p>
            <w:pPr>
              <w:jc w:val="right"/>
              <w:ind w:right="466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60" w:type="dxa"/>
            <w:vAlign w:val="bottom"/>
            <w:gridSpan w:val="3"/>
          </w:tcPr>
          <w:p>
            <w:pPr>
              <w:jc w:val="right"/>
              <w:ind w:right="4720"/>
              <w:spacing w:after="0"/>
              <w:rPr>
                <w:sz w:val="20"/>
                <w:szCs w:val="20"/>
                <w:color w:val="auto"/>
              </w:rPr>
            </w:pPr>
            <w:r>
              <w:rPr>
                <w:rFonts w:ascii="Arial" w:cs="Arial" w:eastAsia="Arial" w:hAnsi="Arial"/>
                <w:sz w:val="18"/>
                <w:szCs w:val="18"/>
                <w:b w:val="1"/>
                <w:bCs w:val="1"/>
                <w:color w:val="auto"/>
                <w:w w:val="93"/>
              </w:rPr>
              <w:t>Prospectus Supplement</w:t>
            </w:r>
          </w:p>
        </w:tc>
        <w:tc>
          <w:tcPr>
            <w:tcW w:w="0" w:type="dxa"/>
            <w:vAlign w:val="bottom"/>
          </w:tcPr>
          <w:p>
            <w:pPr>
              <w:spacing w:after="0"/>
              <w:rPr>
                <w:sz w:val="1"/>
                <w:szCs w:val="1"/>
                <w:color w:val="auto"/>
              </w:rPr>
            </w:pPr>
          </w:p>
        </w:tc>
      </w:tr>
      <w:tr>
        <w:trPr>
          <w:trHeight w:val="392"/>
        </w:trPr>
        <w:tc>
          <w:tcPr>
            <w:tcW w:w="2500" w:type="dxa"/>
            <w:vAlign w:val="bottom"/>
            <w:gridSpan w:val="6"/>
            <w:vMerge w:val="restart"/>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About this Prospectus Supplement</w:t>
              </w:r>
            </w:hyperlink>
          </w:p>
        </w:tc>
        <w:tc>
          <w:tcPr>
            <w:tcW w:w="2180" w:type="dxa"/>
            <w:vAlign w:val="bottom"/>
            <w:gridSpan w:val="3"/>
            <w:vMerge w:val="restart"/>
          </w:tcPr>
          <w:p>
            <w:pPr>
              <w:spacing w:after="0"/>
              <w:rPr>
                <w:sz w:val="24"/>
                <w:szCs w:val="24"/>
                <w:color w:val="auto"/>
              </w:rPr>
            </w:pPr>
          </w:p>
        </w:tc>
        <w:tc>
          <w:tcPr>
            <w:tcW w:w="634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2500" w:type="dxa"/>
            <w:vAlign w:val="bottom"/>
            <w:tcBorders>
              <w:bottom w:val="single" w:sz="8" w:color="0000EE"/>
            </w:tcBorders>
            <w:gridSpan w:val="6"/>
            <w:vMerge w:val="continue"/>
          </w:tcPr>
          <w:p>
            <w:pPr>
              <w:spacing w:after="0"/>
              <w:rPr>
                <w:sz w:val="13"/>
                <w:szCs w:val="13"/>
                <w:color w:val="auto"/>
              </w:rPr>
            </w:pPr>
          </w:p>
        </w:tc>
        <w:tc>
          <w:tcPr>
            <w:tcW w:w="2180" w:type="dxa"/>
            <w:vAlign w:val="bottom"/>
            <w:gridSpan w:val="3"/>
            <w:vMerge w:val="continue"/>
          </w:tcPr>
          <w:p>
            <w:pPr>
              <w:spacing w:after="0"/>
              <w:rPr>
                <w:sz w:val="13"/>
                <w:szCs w:val="13"/>
                <w:color w:val="auto"/>
              </w:rPr>
            </w:pPr>
          </w:p>
        </w:tc>
        <w:tc>
          <w:tcPr>
            <w:tcW w:w="634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62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Cautionary Statement Concerning Forward-Looking Statements</w:t>
              </w:r>
            </w:hyperlink>
          </w:p>
        </w:tc>
        <w:tc>
          <w:tcPr>
            <w:tcW w:w="6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96"/>
        </w:trPr>
        <w:tc>
          <w:tcPr>
            <w:tcW w:w="24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Prospectus Supplement Summary</w:t>
              </w:r>
            </w:hyperlink>
          </w:p>
        </w:tc>
        <w:tc>
          <w:tcPr>
            <w:tcW w:w="2240" w:type="dxa"/>
            <w:vAlign w:val="bottom"/>
            <w:gridSpan w:val="4"/>
          </w:tcPr>
          <w:p>
            <w:pPr>
              <w:spacing w:after="0"/>
              <w:rPr>
                <w:sz w:val="17"/>
                <w:szCs w:val="17"/>
                <w:color w:val="auto"/>
              </w:rPr>
            </w:pPr>
          </w:p>
        </w:tc>
        <w:tc>
          <w:tcPr>
            <w:tcW w:w="634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Risk Factors</w:t>
              </w:r>
            </w:hyperlink>
          </w:p>
        </w:tc>
        <w:tc>
          <w:tcPr>
            <w:tcW w:w="3760" w:type="dxa"/>
            <w:vAlign w:val="bottom"/>
            <w:gridSpan w:val="7"/>
          </w:tcPr>
          <w:p>
            <w:pPr>
              <w:spacing w:after="0"/>
              <w:rPr>
                <w:sz w:val="17"/>
                <w:szCs w:val="17"/>
                <w:color w:val="auto"/>
              </w:rPr>
            </w:pPr>
          </w:p>
        </w:tc>
        <w:tc>
          <w:tcPr>
            <w:tcW w:w="634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S-3</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Use of Proceeds</w:t>
              </w:r>
            </w:hyperlink>
          </w:p>
        </w:tc>
        <w:tc>
          <w:tcPr>
            <w:tcW w:w="3500" w:type="dxa"/>
            <w:vAlign w:val="bottom"/>
            <w:gridSpan w:val="5"/>
          </w:tcPr>
          <w:p>
            <w:pPr>
              <w:spacing w:after="0"/>
              <w:rPr>
                <w:sz w:val="17"/>
                <w:szCs w:val="17"/>
                <w:color w:val="auto"/>
              </w:rPr>
            </w:pPr>
          </w:p>
        </w:tc>
        <w:tc>
          <w:tcPr>
            <w:tcW w:w="634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S-4</w:t>
            </w:r>
          </w:p>
        </w:tc>
        <w:tc>
          <w:tcPr>
            <w:tcW w:w="0" w:type="dxa"/>
            <w:vAlign w:val="bottom"/>
          </w:tcPr>
          <w:p>
            <w:pPr>
              <w:spacing w:after="0"/>
              <w:rPr>
                <w:sz w:val="1"/>
                <w:szCs w:val="1"/>
                <w:color w:val="auto"/>
              </w:rPr>
            </w:pPr>
          </w:p>
        </w:tc>
      </w:tr>
      <w:tr>
        <w:trPr>
          <w:trHeight w:val="196"/>
        </w:trPr>
        <w:tc>
          <w:tcPr>
            <w:tcW w:w="4680" w:type="dxa"/>
            <w:vAlign w:val="bottom"/>
            <w:gridSpan w:val="9"/>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Underwriting (Conflicts of Interest)</w:t>
              </w:r>
            </w:hyperlink>
          </w:p>
        </w:tc>
        <w:tc>
          <w:tcPr>
            <w:tcW w:w="634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S-5</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1">
              <w:r>
                <w:rPr>
                  <w:rFonts w:ascii="Arial" w:cs="Arial" w:eastAsia="Arial" w:hAnsi="Arial"/>
                  <w:sz w:val="18"/>
                  <w:szCs w:val="18"/>
                  <w:color w:val="0000EE"/>
                  <w:w w:val="88"/>
                </w:rPr>
                <w:t>Experts</w:t>
              </w:r>
            </w:hyperlink>
          </w:p>
        </w:tc>
        <w:tc>
          <w:tcPr>
            <w:tcW w:w="2020" w:type="dxa"/>
            <w:vAlign w:val="bottom"/>
            <w:tcBorders>
              <w:top w:val="single" w:sz="8" w:color="0000EE"/>
            </w:tcBorders>
            <w:gridSpan w:val="6"/>
          </w:tcPr>
          <w:p>
            <w:pPr>
              <w:spacing w:after="0"/>
              <w:rPr>
                <w:sz w:val="17"/>
                <w:szCs w:val="17"/>
                <w:color w:val="auto"/>
              </w:rPr>
            </w:pPr>
          </w:p>
        </w:tc>
        <w:tc>
          <w:tcPr>
            <w:tcW w:w="2100" w:type="dxa"/>
            <w:vAlign w:val="bottom"/>
            <w:gridSpan w:val="2"/>
          </w:tcPr>
          <w:p>
            <w:pPr>
              <w:spacing w:after="0"/>
              <w:rPr>
                <w:sz w:val="17"/>
                <w:szCs w:val="17"/>
                <w:color w:val="auto"/>
              </w:rPr>
            </w:pPr>
          </w:p>
        </w:tc>
        <w:tc>
          <w:tcPr>
            <w:tcW w:w="634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S-7</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11">
              <w:r>
                <w:rPr>
                  <w:rFonts w:ascii="Arial" w:cs="Arial" w:eastAsia="Arial" w:hAnsi="Arial"/>
                  <w:sz w:val="18"/>
                  <w:szCs w:val="18"/>
                  <w:color w:val="0000EE"/>
                  <w:w w:val="91"/>
                </w:rPr>
                <w:t>Legal Matters</w:t>
              </w:r>
            </w:hyperlink>
          </w:p>
        </w:tc>
        <w:tc>
          <w:tcPr>
            <w:tcW w:w="3660" w:type="dxa"/>
            <w:vAlign w:val="bottom"/>
            <w:gridSpan w:val="6"/>
          </w:tcPr>
          <w:p>
            <w:pPr>
              <w:spacing w:after="0"/>
              <w:rPr>
                <w:sz w:val="17"/>
                <w:szCs w:val="17"/>
                <w:color w:val="auto"/>
              </w:rPr>
            </w:pPr>
          </w:p>
        </w:tc>
        <w:tc>
          <w:tcPr>
            <w:tcW w:w="634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080" w:type="dxa"/>
            <w:vAlign w:val="bottom"/>
            <w:gridSpan w:val="3"/>
          </w:tcPr>
          <w:p>
            <w:pPr>
              <w:jc w:val="right"/>
              <w:ind w:right="5200"/>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392"/>
        </w:trPr>
        <w:tc>
          <w:tcPr>
            <w:tcW w:w="4260" w:type="dxa"/>
            <w:vAlign w:val="bottom"/>
            <w:gridSpan w:val="12"/>
            <w:vMerge w:val="restart"/>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About this Prospectus</w:t>
              </w:r>
            </w:hyperlink>
          </w:p>
        </w:tc>
        <w:tc>
          <w:tcPr>
            <w:tcW w:w="676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4260" w:type="dxa"/>
            <w:vAlign w:val="bottom"/>
            <w:gridSpan w:val="12"/>
            <w:vMerge w:val="continue"/>
          </w:tcPr>
          <w:p>
            <w:pPr>
              <w:spacing w:after="0"/>
              <w:rPr>
                <w:sz w:val="13"/>
                <w:szCs w:val="13"/>
                <w:color w:val="auto"/>
              </w:rPr>
            </w:pPr>
          </w:p>
        </w:tc>
        <w:tc>
          <w:tcPr>
            <w:tcW w:w="676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gridSpan w:val="12"/>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Forward-Looking Statements</w:t>
              </w:r>
            </w:hyperlink>
          </w:p>
        </w:tc>
        <w:tc>
          <w:tcPr>
            <w:tcW w:w="708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Prospectus Summary</w:t>
              </w:r>
            </w:hyperlink>
          </w:p>
        </w:tc>
        <w:tc>
          <w:tcPr>
            <w:tcW w:w="540" w:type="dxa"/>
            <w:vAlign w:val="bottom"/>
            <w:tcBorders>
              <w:top w:val="single" w:sz="8" w:color="0000EE"/>
            </w:tcBorders>
          </w:tcPr>
          <w:p>
            <w:pPr>
              <w:spacing w:after="0"/>
              <w:rPr>
                <w:sz w:val="17"/>
                <w:szCs w:val="17"/>
                <w:color w:val="auto"/>
              </w:rPr>
            </w:pPr>
          </w:p>
        </w:tc>
        <w:tc>
          <w:tcPr>
            <w:tcW w:w="2140" w:type="dxa"/>
            <w:vAlign w:val="bottom"/>
            <w:gridSpan w:val="5"/>
          </w:tcPr>
          <w:p>
            <w:pPr>
              <w:spacing w:after="0"/>
              <w:rPr>
                <w:sz w:val="17"/>
                <w:szCs w:val="17"/>
                <w:color w:val="auto"/>
              </w:rPr>
            </w:pPr>
          </w:p>
        </w:tc>
        <w:tc>
          <w:tcPr>
            <w:tcW w:w="70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Risk Factors</w:t>
              </w:r>
            </w:hyperlink>
          </w:p>
        </w:tc>
        <w:tc>
          <w:tcPr>
            <w:tcW w:w="3340" w:type="dxa"/>
            <w:vAlign w:val="bottom"/>
            <w:gridSpan w:val="10"/>
          </w:tcPr>
          <w:p>
            <w:pPr>
              <w:spacing w:after="0"/>
              <w:rPr>
                <w:sz w:val="17"/>
                <w:szCs w:val="17"/>
                <w:color w:val="auto"/>
              </w:rPr>
            </w:pPr>
          </w:p>
        </w:tc>
        <w:tc>
          <w:tcPr>
            <w:tcW w:w="70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16">
              <w:r>
                <w:rPr>
                  <w:rFonts w:ascii="Arial" w:cs="Arial" w:eastAsia="Arial" w:hAnsi="Arial"/>
                  <w:sz w:val="18"/>
                  <w:szCs w:val="18"/>
                  <w:color w:val="0000EE"/>
                  <w:w w:val="87"/>
                </w:rPr>
                <w:t>Use of Proceeds</w:t>
              </w:r>
            </w:hyperlink>
          </w:p>
        </w:tc>
        <w:tc>
          <w:tcPr>
            <w:tcW w:w="3080" w:type="dxa"/>
            <w:vAlign w:val="bottom"/>
            <w:gridSpan w:val="8"/>
          </w:tcPr>
          <w:p>
            <w:pPr>
              <w:spacing w:after="0"/>
              <w:rPr>
                <w:sz w:val="17"/>
                <w:szCs w:val="17"/>
                <w:color w:val="auto"/>
              </w:rPr>
            </w:pPr>
          </w:p>
        </w:tc>
        <w:tc>
          <w:tcPr>
            <w:tcW w:w="70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2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17">
              <w:r>
                <w:rPr>
                  <w:rFonts w:ascii="Arial" w:cs="Arial" w:eastAsia="Arial" w:hAnsi="Arial"/>
                  <w:sz w:val="18"/>
                  <w:szCs w:val="18"/>
                  <w:color w:val="0000EE"/>
                  <w:w w:val="91"/>
                </w:rPr>
                <w:t>Description of Debt Securities</w:t>
              </w:r>
            </w:hyperlink>
          </w:p>
        </w:tc>
        <w:tc>
          <w:tcPr>
            <w:tcW w:w="2060" w:type="dxa"/>
            <w:vAlign w:val="bottom"/>
            <w:gridSpan w:val="4"/>
          </w:tcPr>
          <w:p>
            <w:pPr>
              <w:spacing w:after="0"/>
              <w:rPr>
                <w:sz w:val="17"/>
                <w:szCs w:val="17"/>
                <w:color w:val="auto"/>
              </w:rPr>
            </w:pPr>
          </w:p>
        </w:tc>
        <w:tc>
          <w:tcPr>
            <w:tcW w:w="70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14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Description of Shares of Beneficial Interest</w:t>
              </w:r>
            </w:hyperlink>
          </w:p>
        </w:tc>
        <w:tc>
          <w:tcPr>
            <w:tcW w:w="1120" w:type="dxa"/>
            <w:vAlign w:val="bottom"/>
            <w:gridSpan w:val="2"/>
          </w:tcPr>
          <w:p>
            <w:pPr>
              <w:spacing w:after="0"/>
              <w:rPr>
                <w:sz w:val="17"/>
                <w:szCs w:val="17"/>
                <w:color w:val="auto"/>
              </w:rPr>
            </w:pPr>
          </w:p>
        </w:tc>
        <w:tc>
          <w:tcPr>
            <w:tcW w:w="7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60" w:type="dxa"/>
            <w:vAlign w:val="bottom"/>
            <w:gridSpan w:val="12"/>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Material Federal Income Tax Considerations</w:t>
              </w:r>
            </w:hyperlink>
          </w:p>
        </w:tc>
        <w:tc>
          <w:tcPr>
            <w:tcW w:w="7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w:anchor="page59">
              <w:r>
                <w:rPr>
                  <w:rFonts w:ascii="Arial" w:cs="Arial" w:eastAsia="Arial" w:hAnsi="Arial"/>
                  <w:sz w:val="18"/>
                  <w:szCs w:val="18"/>
                  <w:color w:val="0000EE"/>
                  <w:w w:val="93"/>
                </w:rPr>
                <w:t>Plan of Distribution</w:t>
              </w:r>
            </w:hyperlink>
          </w:p>
        </w:tc>
        <w:tc>
          <w:tcPr>
            <w:tcW w:w="1780" w:type="dxa"/>
            <w:vAlign w:val="bottom"/>
            <w:tcBorders>
              <w:top w:val="single" w:sz="8" w:color="0000EE"/>
            </w:tcBorders>
            <w:gridSpan w:val="6"/>
          </w:tcPr>
          <w:p>
            <w:pPr>
              <w:spacing w:after="0"/>
              <w:rPr>
                <w:sz w:val="17"/>
                <w:szCs w:val="17"/>
                <w:color w:val="auto"/>
              </w:rPr>
            </w:pPr>
          </w:p>
        </w:tc>
        <w:tc>
          <w:tcPr>
            <w:tcW w:w="1040" w:type="dxa"/>
            <w:vAlign w:val="bottom"/>
          </w:tcPr>
          <w:p>
            <w:pPr>
              <w:spacing w:after="0"/>
              <w:rPr>
                <w:sz w:val="17"/>
                <w:szCs w:val="17"/>
                <w:color w:val="auto"/>
              </w:rPr>
            </w:pPr>
          </w:p>
        </w:tc>
        <w:tc>
          <w:tcPr>
            <w:tcW w:w="7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60">
              <w:r>
                <w:rPr>
                  <w:rFonts w:ascii="Arial" w:cs="Arial" w:eastAsia="Arial" w:hAnsi="Arial"/>
                  <w:sz w:val="18"/>
                  <w:szCs w:val="18"/>
                  <w:color w:val="0000EE"/>
                  <w:w w:val="91"/>
                </w:rPr>
                <w:t>Legal Matters</w:t>
              </w:r>
            </w:hyperlink>
          </w:p>
        </w:tc>
        <w:tc>
          <w:tcPr>
            <w:tcW w:w="3240" w:type="dxa"/>
            <w:vAlign w:val="bottom"/>
            <w:gridSpan w:val="9"/>
          </w:tcPr>
          <w:p>
            <w:pPr>
              <w:spacing w:after="0"/>
              <w:rPr>
                <w:sz w:val="17"/>
                <w:szCs w:val="17"/>
                <w:color w:val="auto"/>
              </w:rPr>
            </w:pPr>
          </w:p>
        </w:tc>
        <w:tc>
          <w:tcPr>
            <w:tcW w:w="7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60">
              <w:r>
                <w:rPr>
                  <w:rFonts w:ascii="Arial" w:cs="Arial" w:eastAsia="Arial" w:hAnsi="Arial"/>
                  <w:sz w:val="18"/>
                  <w:szCs w:val="18"/>
                  <w:color w:val="0000EE"/>
                  <w:w w:val="88"/>
                </w:rPr>
                <w:t>Experts</w:t>
              </w:r>
            </w:hyperlink>
          </w:p>
        </w:tc>
        <w:tc>
          <w:tcPr>
            <w:tcW w:w="3700" w:type="dxa"/>
            <w:vAlign w:val="bottom"/>
            <w:gridSpan w:val="11"/>
          </w:tcPr>
          <w:p>
            <w:pPr>
              <w:spacing w:after="0"/>
              <w:rPr>
                <w:sz w:val="17"/>
                <w:szCs w:val="17"/>
                <w:color w:val="auto"/>
              </w:rPr>
            </w:pPr>
          </w:p>
        </w:tc>
        <w:tc>
          <w:tcPr>
            <w:tcW w:w="7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60">
              <w:r>
                <w:rPr>
                  <w:rFonts w:ascii="Arial" w:cs="Arial" w:eastAsia="Arial" w:hAnsi="Arial"/>
                  <w:sz w:val="18"/>
                  <w:szCs w:val="18"/>
                  <w:color w:val="0000EE"/>
                  <w:w w:val="92"/>
                </w:rPr>
                <w:t>Where You Can Find More Information</w:t>
              </w:r>
            </w:hyperlink>
          </w:p>
        </w:tc>
        <w:tc>
          <w:tcPr>
            <w:tcW w:w="1380" w:type="dxa"/>
            <w:vAlign w:val="bottom"/>
            <w:gridSpan w:val="3"/>
          </w:tcPr>
          <w:p>
            <w:pPr>
              <w:spacing w:after="0"/>
              <w:rPr>
                <w:sz w:val="17"/>
                <w:szCs w:val="17"/>
                <w:color w:val="auto"/>
              </w:rPr>
            </w:pPr>
          </w:p>
        </w:tc>
        <w:tc>
          <w:tcPr>
            <w:tcW w:w="7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You should read this prospectus supplement along with the accompanying prospectus, as well as the information incorporated by reference herein and therein, carefully before you invest in our common shares. These documents contain important information you should consider before making your investment decision. This prospectus supplement and the accompanying prospectus contain the terms of this offering of our common shares. The accompanying prospectus contains information about our securities generally, some of which does not apply to the common shares covered by this prospectus supplement. This prospectus supplement may add, update or change information contained in or incorporated by reference into the accompanying prospectus. If the information in this prospectus supplement is inconsistent with any information contained in or incorporated by reference into the accompanying prospectus, the information in this prospectus supplement shall apply and shall supersede the inconsistent information contained in or incorporated by reference into the accompanying prospectus.</w:t>
      </w:r>
    </w:p>
    <w:p>
      <w:pPr>
        <w:spacing w:after="0" w:line="192"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It is important for you to read and consider all of the information contained in or incorporated by reference into this prospectus supplement and the accompanying prospectus in making your investment decision. You should also read and consider the additional information incorporated by reference into this prospectus supplement and the accompanying prospectus. See “Where You Can Find More Information” in the accompanying prospectus.</w:t>
      </w:r>
    </w:p>
    <w:p>
      <w:pPr>
        <w:spacing w:after="0" w:line="14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References to “we,” “us,” “our” or “ours” refer to Federal Realty Investment Trust and its directly and indirectly owned subsidiaries, unless the context otherwise requires. The term “you” refers to a prospective investor.</w:t>
      </w:r>
    </w:p>
    <w:p>
      <w:pPr>
        <w:spacing w:after="0" w:line="16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b w:val="1"/>
          <w:bCs w:val="1"/>
          <w:color w:val="auto"/>
        </w:rPr>
        <w:t>You should rely only on the information contained in or incorporated by reference into this prospectus supplement, the accompanying prospectus and any related free writing prospectus required to be filed with the SEC. We have not, nor has the underwriter, authorized any other person to provide you with additional or different information. If anyone provides you with additional or different information, you should not rely on it. We are not, nor is the underwriter, making an offer to sell the common shares in any jurisdiction where the offer or sale is not permitted by law. You should assume that the information appearing in this prospectus supplement, the accompanying prospectus, any such free writing prospectus and the documents incorporated by reference herein and therein is accurate only as of their respective dates. Our business, financial condition, results of operations and prospects may have changed since those dates.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This prospectus supplement, the accompanying prospectus and the documents incorporated by reference into this prospectus supplement and the accompanying prospectus contain statements that are not based on historical facts, including statements or information with words such as “may,” “will,” “could,” “should,” “plans,” “intends,” “expects,” “believes,” “estimates,” “anticipates,” “continues,” and other similar words. These statements constitute forward-looking statements within the meaning of Section 27A of the Securities Act of 1933, as amended, or the Securities Act, Section 21E of the Securities Exchange Act of 1934, as amended, or the Exchange Act, and the Private Securities Litigation Reform Act of 1995. In particular, the risk factors included in or incorporated by reference into this prospectus supplement and the accompanying prospectus describe forward-looking information. The risk factors contained herein, on page 3 of the accompanying prospectus and in our Annual Report on Form 10-K for the year ended December 31, 2015 that we filed with the SEC on February 9, 2016, describe risks that may affect these statements but are not exhaustive, particularly with respect to possible future events. Many things can happen that can cause actual results to be different from those we describe. These factors include, but are not limited to:</w:t>
      </w:r>
    </w:p>
    <w:p>
      <w:pPr>
        <w:spacing w:after="0" w:line="72" w:lineRule="exact"/>
        <w:rPr>
          <w:sz w:val="20"/>
          <w:szCs w:val="20"/>
          <w:color w:val="auto"/>
        </w:rPr>
      </w:pPr>
    </w:p>
    <w:p>
      <w:pPr>
        <w:ind w:left="900" w:right="220" w:hanging="446"/>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that our tenants may not pay rent, may vacate early or may file for bankruptcy, or that we may be unable to renew leases or re-let space at favorable rents as leases expire;</w:t>
      </w:r>
    </w:p>
    <w:p>
      <w:pPr>
        <w:spacing w:after="0" w:line="75" w:lineRule="exact"/>
        <w:rPr>
          <w:rFonts w:ascii="Arial" w:cs="Arial" w:eastAsia="Arial" w:hAnsi="Arial"/>
          <w:sz w:val="18"/>
          <w:szCs w:val="18"/>
          <w:color w:val="auto"/>
        </w:rPr>
      </w:pPr>
    </w:p>
    <w:p>
      <w:pPr>
        <w:ind w:left="900" w:right="120" w:hanging="446"/>
        <w:spacing w:after="0" w:line="264"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86"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2"/>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2"/>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2"/>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2"/>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130"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86"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included in or incorporated by reference into this prospectus supplement and the accompanying prospectus. We also make no promise to update any of the forward-looking statements, or to publicly release the results if we revise any of them.</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6830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36830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into this prospectus supplement and the accompanying prospectus.</w:t>
      </w:r>
    </w:p>
    <w:p>
      <w:pPr>
        <w:spacing w:after="0" w:line="39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Trust</w:t>
      </w:r>
    </w:p>
    <w:p>
      <w:pPr>
        <w:spacing w:after="0" w:line="229"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and South Florida. As of December 31, 2015, we owned or had a majority interest in community and neighborhood shopping centers and mixed-use properties which are operated as 90 predominantly retail real estate projects comprising approximately 21.4 million square feet. In total, the real estate projects were 94.3% leased and 93.5% occupied at December 31, 2015. A joint venture in which we owned a 30% interest owned six retail real estate projects totaling approximately 0.8 million square feet as of December 31, 2015. In total, the joint venture properties in which we owned an interest were 93.6% leased and 85.3% occupied at December 31, 2015. On January 13, 2016, we acquired our partner’s 70% interest in the joint venture and subsequently own 100% of the related properties. We have paid quarterly dividends to our shareholders continuously since our founding in 1962 and have increased our dividends per common share for 48 consecutive years.</w:t>
      </w:r>
    </w:p>
    <w:p>
      <w:pPr>
        <w:spacing w:after="0" w:line="167"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We were founded in 1962 as a REIT under the laws of the District of Columbia and re-formed as a REIT in the state of Maryland in 1999. We operate in a manner intended to qualify as a REIT for tax purposes pursuant to provisions of the Internal Revenue Code of 1986, as amended (the “Code”). Our principal executive offices are located at 1626 East Jefferson Street, Rockville, Maryland 20852. Our telephone number is (301) 998-8100. Our website address is www.federalrealty.com. The information contained on our website is not a part of this prospectus supplement or the accompanying prospectus and is not incorporated herein or therein by reference.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442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61442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i w:val="1"/>
          <w:iCs w:val="1"/>
          <w:color w:val="auto"/>
        </w:rPr>
        <w:t>For a more complete description of the terms of the common shares being offered by this prospectus supplement and the accompanying prospectus, see “Description of Shares of Beneficial Interest” in the accompanying prospectus.</w:t>
      </w:r>
    </w:p>
    <w:p>
      <w:pPr>
        <w:sectPr>
          <w:pgSz w:w="11900" w:h="16838" w:orient="portrait"/>
          <w:cols w:equalWidth="0" w:num="1">
            <w:col w:w="11260"/>
          </w:cols>
          <w:pgMar w:left="240" w:top="459" w:right="399" w:bottom="1440" w:gutter="0" w:footer="0" w:header="0"/>
        </w:sectPr>
      </w:pPr>
    </w:p>
    <w:p>
      <w:pPr>
        <w:spacing w:after="0" w:line="19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shares offered</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1,000,000 common shares</w:t>
      </w:r>
    </w:p>
    <w:p>
      <w:pPr>
        <w:spacing w:after="0" w:line="151" w:lineRule="exact"/>
        <w:rPr>
          <w:sz w:val="20"/>
          <w:szCs w:val="20"/>
          <w:color w:val="auto"/>
        </w:rPr>
      </w:pPr>
    </w:p>
    <w:p>
      <w:pPr>
        <w:sectPr>
          <w:pgSz w:w="11900" w:h="16838" w:orient="portrait"/>
          <w:cols w:equalWidth="0" w:num="2">
            <w:col w:w="5360" w:space="720"/>
            <w:col w:w="518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Common shares to be outstanding after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70,819,577 common shares</w:t>
      </w:r>
      <w:r>
        <w:rPr>
          <w:rFonts w:ascii="Arial" w:cs="Arial" w:eastAsia="Arial" w:hAnsi="Arial"/>
          <w:sz w:val="13"/>
          <w:szCs w:val="13"/>
          <w:color w:val="auto"/>
        </w:rPr>
        <w:t>(1)</w:t>
      </w:r>
    </w:p>
    <w:p>
      <w:pPr>
        <w:spacing w:after="0" w:line="140" w:lineRule="exact"/>
        <w:rPr>
          <w:sz w:val="20"/>
          <w:szCs w:val="20"/>
          <w:color w:val="auto"/>
        </w:rPr>
      </w:pPr>
    </w:p>
    <w:p>
      <w:pPr>
        <w:sectPr>
          <w:pgSz w:w="11900" w:h="16838" w:orient="portrait"/>
          <w:cols w:equalWidth="0" w:num="2">
            <w:col w:w="5360" w:space="720"/>
            <w:col w:w="518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Public offering price per common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t>
      </w:r>
    </w:p>
    <w:p>
      <w:pPr>
        <w:spacing w:after="0" w:line="162" w:lineRule="exact"/>
        <w:rPr>
          <w:sz w:val="20"/>
          <w:szCs w:val="20"/>
          <w:color w:val="auto"/>
        </w:rPr>
      </w:pPr>
    </w:p>
    <w:p>
      <w:pPr>
        <w:sectPr>
          <w:pgSz w:w="11900" w:h="16838" w:orient="portrait"/>
          <w:cols w:equalWidth="0" w:num="2">
            <w:col w:w="5360" w:space="720"/>
            <w:col w:w="518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New York Stock Exchange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FRT</w:t>
      </w:r>
    </w:p>
    <w:p>
      <w:pPr>
        <w:spacing w:after="0" w:line="140" w:lineRule="exact"/>
        <w:rPr>
          <w:sz w:val="20"/>
          <w:szCs w:val="20"/>
          <w:color w:val="auto"/>
        </w:rPr>
      </w:pPr>
    </w:p>
    <w:p>
      <w:pPr>
        <w:sectPr>
          <w:pgSz w:w="11900" w:h="16838" w:orient="portrait"/>
          <w:cols w:equalWidth="0" w:num="2">
            <w:col w:w="5360" w:space="720"/>
            <w:col w:w="518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jc w:val="both"/>
        <w:spacing w:after="0" w:line="312" w:lineRule="auto"/>
        <w:rPr>
          <w:sz w:val="20"/>
          <w:szCs w:val="20"/>
          <w:color w:val="auto"/>
        </w:rPr>
      </w:pPr>
      <w:r>
        <w:rPr>
          <w:rFonts w:ascii="Arial" w:cs="Arial" w:eastAsia="Arial" w:hAnsi="Arial"/>
          <w:sz w:val="16"/>
          <w:szCs w:val="16"/>
          <w:color w:val="auto"/>
        </w:rPr>
        <w:t>We intend to use the net proceeds from this offering to reduce amounts outstanding under our revolving credit facility and for general corporate purposes. See “Use of Proceeds” on page S-4 for more information.</w:t>
      </w:r>
    </w:p>
    <w:p>
      <w:pPr>
        <w:spacing w:after="0" w:line="39" w:lineRule="exact"/>
        <w:rPr>
          <w:sz w:val="20"/>
          <w:szCs w:val="20"/>
          <w:color w:val="auto"/>
        </w:rPr>
      </w:pPr>
    </w:p>
    <w:p>
      <w:pPr>
        <w:sectPr>
          <w:pgSz w:w="11900" w:h="16838" w:orient="portrait"/>
          <w:cols w:equalWidth="0" w:num="2">
            <w:col w:w="5360" w:space="720"/>
            <w:col w:w="518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Material federal income tax considerations</w:t>
      </w:r>
    </w:p>
    <w:p>
      <w:pPr>
        <w:spacing w:after="0" w:line="20" w:lineRule="exact"/>
        <w:rPr>
          <w:sz w:val="20"/>
          <w:szCs w:val="20"/>
          <w:color w:val="auto"/>
        </w:rPr>
      </w:pPr>
      <w:r>
        <w:rPr>
          <w:sz w:val="20"/>
          <w:szCs w:val="20"/>
          <w:color w:val="auto"/>
        </w:rPr>
        <w:br w:type="column"/>
      </w:r>
    </w:p>
    <w:p>
      <w:pPr>
        <w:ind w:right="100"/>
        <w:spacing w:after="0" w:line="271" w:lineRule="auto"/>
        <w:rPr>
          <w:sz w:val="20"/>
          <w:szCs w:val="20"/>
          <w:color w:val="auto"/>
        </w:rPr>
      </w:pPr>
      <w:r>
        <w:rPr>
          <w:rFonts w:ascii="Arial" w:cs="Arial" w:eastAsia="Arial" w:hAnsi="Arial"/>
          <w:sz w:val="17"/>
          <w:szCs w:val="17"/>
          <w:color w:val="auto"/>
        </w:rPr>
        <w:t>For a description of material U.S. federal income tax considerations of an investment in our common shares, please review the disclosure in the accompanying prospectus under “Material Federal Income Tax Considerations,” as may be updated from time to time in filings we make with the SEC that are incorporated by reference into this prospectus supplement or the accompanying prospectus, including without limitation our Current Report on Form 8-K that we filed with the SEC on February 10, 2016.</w:t>
      </w:r>
    </w:p>
    <w:p>
      <w:pPr>
        <w:spacing w:after="0" w:line="71" w:lineRule="exact"/>
        <w:rPr>
          <w:sz w:val="20"/>
          <w:szCs w:val="20"/>
          <w:color w:val="auto"/>
        </w:rPr>
      </w:pPr>
    </w:p>
    <w:p>
      <w:pPr>
        <w:sectPr>
          <w:pgSz w:w="11900" w:h="16838" w:orient="portrait"/>
          <w:cols w:equalWidth="0" w:num="2">
            <w:col w:w="5360" w:space="720"/>
            <w:col w:w="518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20"/>
        <w:spacing w:after="0" w:line="268" w:lineRule="auto"/>
        <w:rPr>
          <w:sz w:val="20"/>
          <w:szCs w:val="20"/>
          <w:color w:val="auto"/>
        </w:rPr>
      </w:pPr>
      <w:r>
        <w:rPr>
          <w:rFonts w:ascii="Arial" w:cs="Arial" w:eastAsia="Arial" w:hAnsi="Arial"/>
          <w:sz w:val="17"/>
          <w:szCs w:val="17"/>
          <w:color w:val="auto"/>
        </w:rPr>
        <w:t>Investing in our common shares involves risks. Please review the risk factors discussed on page S-3 of this prospectus supplement, on page 3 of the accompanying prospectus and in our Annual Report on Form 10-K for the year ended December 31, 2015 that we filed with the SEC on February 9, 2016, and the other information contained in or incorporated by reference into this prospectus supplement or the accompanying prospectus for a discussion of factors you should consider before deciding to invest in our common shares. You may obtain a copy of our Annual Report on Form 10-K and the other documents incorporated by reference into this prospectus supplement or the accompanying prospectus by following the procedures described under “Where You Can Find More Information” on page 47 of the accompanying prospectus.</w:t>
      </w:r>
    </w:p>
    <w:p>
      <w:pPr>
        <w:spacing w:after="0" w:line="161" w:lineRule="exact"/>
        <w:rPr>
          <w:sz w:val="20"/>
          <w:szCs w:val="20"/>
          <w:color w:val="auto"/>
        </w:rPr>
      </w:pPr>
    </w:p>
    <w:p>
      <w:pPr>
        <w:sectPr>
          <w:pgSz w:w="11900" w:h="16838" w:orient="portrait"/>
          <w:cols w:equalWidth="0" w:num="2">
            <w:col w:w="5360" w:space="720"/>
            <w:col w:w="5180"/>
          </w:cols>
          <w:pgMar w:left="240" w:top="459" w:right="399" w:bottom="1440" w:gutter="0" w:footer="0" w:header="0"/>
          <w:type w:val="continuous"/>
        </w:sectPr>
      </w:pPr>
    </w:p>
    <w:p>
      <w:pPr>
        <w:ind w:left="620" w:right="60" w:hanging="423"/>
        <w:spacing w:after="0" w:line="297" w:lineRule="auto"/>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upon 69,819,577 common shares outstanding as of February 29, 2016. Excludes common shares that we may issue upon (i) exercise of outstanding share options, (ii) conversion of our outstanding 5.417% Series 1 Cumulative Convertible Preferred Shares, (iii) conversion, exchange or redemption of “downREIT” partnership units, and (iv) exercise of contractual or put rights by current or former joint venture and other business partners. The number of common shares to be outstanding after this offering assumes that the underwriter’s option to purchase additional shares is not exercised. If the option to purchase additional shares is exercised in full, we will issue and sell an additional 150,000 common shares.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60"/>
          </w:cols>
          <w:pgMar w:left="240" w:top="459" w:right="39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Investing in our common shares involves a significant degree of risk. Before you decide to purchase our common shares, you should carefully consider the following risk factors, together with all of the other information contained in or incorporated by reference into this prospectus supplement, including the additional risk factors discussed on page 3 of the accompanying prospectus and in our Annual Report on Form 10-K for the year ended December 31, 2015 that we filed with the SEC on February 9, 2016.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185"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You may experience significant dilution as a result of this offering and additional issuances of our securities, including our common shares, which could harm the market price of our common shares</w:t>
      </w:r>
    </w:p>
    <w:p>
      <w:pPr>
        <w:spacing w:after="0" w:line="1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declaration of trust permits our board of trustees to authorize, without shareholder approval, the issuance of additional common or preferred shares or securities convertible or exchangeable into equity securities. We may, from time to time and at any time, seek to offer and sell additional common or preferred shares or other securities, based on market conditions and other factors that may be beyond our control.</w:t>
      </w:r>
    </w:p>
    <w:p>
      <w:pPr>
        <w:spacing w:after="0" w:line="18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This offering may have a dilutive effect on our earnings per share and funds from operations per share after giving effect to the issuance of our common shares in this offering and the receipt of the expected net proceeds. The actual amount of dilution from this offering, or from any future offering of common or preferred shares, will be based on numerous factors, particularly the use of proceeds and the return generated by such investment, and cannot be determined at this time. The market price of our common shares could decline as a result of sales of a large number of our common shares in the market pursuant to this or future offerings, or other factors, or as a result of the perception or expectation that such sales or other factors could occur.</w:t>
      </w:r>
    </w:p>
    <w:p>
      <w:pPr>
        <w:spacing w:after="0" w:line="154"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Holders of our debt or preferred shares have liquidation and other rights that are senior to the rights of the holders of our common shares, and any future issuance of debt or preferred shares could adversely affect the market price of our common shares.</w:t>
      </w:r>
    </w:p>
    <w:p>
      <w:pPr>
        <w:spacing w:after="0" w:line="166"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As of December 31, 2015, we had approximately $2.6 billion of debt outstanding, and 399,896 shares of our 5.417% Series 1 Cumulative Convertible Preferred Shares, or the Series 1 Preferred Shares, were issued and outstanding. Holders of our debt and preferred shares have liquidation rights and other rights that are senior to the rights of the holders of our common shares. Upon any voluntary or involuntary liquidation, dissolution or winding up, payment will be made to holders of our debt and preferred shares, including our Series 1 Preferred Shares, before any payment is made to the holders of our common shares. This will reduce the amount of our assets, if any, available for distribution to holders of our common shares. Because our decision to issue debt and preferred shares is dependent on market conditions and other factors that may be beyond our control, we cannot predict or estimate the amount, timing or nature of our future issuances. Any such future issuance could reduce the market price of our common shares.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20"/>
          </w:cols>
          <w:pgMar w:left="240" w:top="459"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40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44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7040" w:type="dxa"/>
            <w:vAlign w:val="bottom"/>
          </w:tcPr>
          <w:p>
            <w:pPr>
              <w:ind w:left="3520"/>
              <w:spacing w:after="0"/>
              <w:rPr>
                <w:sz w:val="20"/>
                <w:szCs w:val="20"/>
                <w:color w:val="auto"/>
              </w:rPr>
            </w:pPr>
            <w:r>
              <w:rPr>
                <w:rFonts w:ascii="Arial" w:cs="Arial" w:eastAsia="Arial" w:hAnsi="Arial"/>
                <w:sz w:val="18"/>
                <w:szCs w:val="18"/>
                <w:b w:val="1"/>
                <w:bCs w:val="1"/>
                <w:color w:val="auto"/>
              </w:rPr>
              <w:t>USE OF PROCEEDS</w:t>
            </w:r>
          </w:p>
        </w:tc>
        <w:tc>
          <w:tcPr>
            <w:tcW w:w="14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18"/>
        </w:trPr>
        <w:tc>
          <w:tcPr>
            <w:tcW w:w="9840" w:type="dxa"/>
            <w:vAlign w:val="bottom"/>
            <w:gridSpan w:val="3"/>
          </w:tcPr>
          <w:p>
            <w:pPr>
              <w:spacing w:after="0"/>
              <w:rPr>
                <w:sz w:val="20"/>
                <w:szCs w:val="20"/>
                <w:color w:val="auto"/>
              </w:rPr>
            </w:pPr>
            <w:r>
              <w:rPr>
                <w:rFonts w:ascii="Arial" w:cs="Arial" w:eastAsia="Arial" w:hAnsi="Arial"/>
                <w:sz w:val="18"/>
                <w:szCs w:val="18"/>
                <w:color w:val="auto"/>
                <w:w w:val="91"/>
              </w:rPr>
              <w:t>The net proceeds to us from the sale of the common shares offered by this prospectus supplement are estimated to be approximately $</w:t>
            </w:r>
          </w:p>
        </w:tc>
        <w:tc>
          <w:tcPr>
            <w:tcW w:w="1500" w:type="dxa"/>
            <w:vAlign w:val="bottom"/>
          </w:tcPr>
          <w:p>
            <w:pPr>
              <w:ind w:left="200"/>
              <w:spacing w:after="0"/>
              <w:rPr>
                <w:sz w:val="20"/>
                <w:szCs w:val="20"/>
                <w:color w:val="auto"/>
              </w:rPr>
            </w:pPr>
            <w:r>
              <w:rPr>
                <w:rFonts w:ascii="Arial" w:cs="Arial" w:eastAsia="Arial" w:hAnsi="Arial"/>
                <w:sz w:val="18"/>
                <w:szCs w:val="18"/>
                <w:color w:val="auto"/>
              </w:rPr>
              <w:t>million after</w:t>
            </w:r>
          </w:p>
        </w:tc>
      </w:tr>
      <w:tr>
        <w:trPr>
          <w:trHeight w:val="230"/>
        </w:trPr>
        <w:tc>
          <w:tcPr>
            <w:tcW w:w="8400" w:type="dxa"/>
            <w:vAlign w:val="bottom"/>
            <w:gridSpan w:val="2"/>
          </w:tcPr>
          <w:p>
            <w:pPr>
              <w:spacing w:after="0"/>
              <w:rPr>
                <w:sz w:val="20"/>
                <w:szCs w:val="20"/>
                <w:color w:val="auto"/>
              </w:rPr>
            </w:pPr>
            <w:r>
              <w:rPr>
                <w:rFonts w:ascii="Arial" w:cs="Arial" w:eastAsia="Arial" w:hAnsi="Arial"/>
                <w:sz w:val="18"/>
                <w:szCs w:val="18"/>
                <w:color w:val="auto"/>
                <w:w w:val="92"/>
              </w:rPr>
              <w:t>deducting the underwriting discount and other estimated expenses of this offering payable by us (approximately $</w:t>
            </w:r>
          </w:p>
        </w:tc>
        <w:tc>
          <w:tcPr>
            <w:tcW w:w="2940" w:type="dxa"/>
            <w:vAlign w:val="bottom"/>
            <w:gridSpan w:val="2"/>
          </w:tcPr>
          <w:p>
            <w:pPr>
              <w:ind w:left="200"/>
              <w:spacing w:after="0"/>
              <w:rPr>
                <w:sz w:val="20"/>
                <w:szCs w:val="20"/>
                <w:color w:val="auto"/>
              </w:rPr>
            </w:pPr>
            <w:r>
              <w:rPr>
                <w:rFonts w:ascii="Arial" w:cs="Arial" w:eastAsia="Arial" w:hAnsi="Arial"/>
                <w:sz w:val="18"/>
                <w:szCs w:val="18"/>
                <w:color w:val="auto"/>
                <w:w w:val="92"/>
              </w:rPr>
              <w:t>million if the underwriter exercises its</w:t>
            </w:r>
          </w:p>
        </w:tc>
      </w:tr>
    </w:tbl>
    <w:p>
      <w:pPr>
        <w:ind w:right="26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option to purchase additional shares in full). We intend to use these net proceeds to reduce amounts outstanding under our revolving credit facility and for general corporate purposes.</w:t>
      </w:r>
    </w:p>
    <w:p>
      <w:pPr>
        <w:spacing w:after="0" w:line="184"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Our $600 million revolving credit facility bears interest at LIBOR plus 90 basis points and matures on April 21, 2017, subject to a one-year extension at our option. As of February 29, 2016, we had $231.0 million outstanding under our revolving credit facility. An affiliate of the underwriter is a lender under our revolving credit facility and will receive a pro rata portion of the net proceeds from this offering that are used to repay amounts outstanding thereunder.</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340"/>
          </w:cols>
          <w:pgMar w:left="240" w:top="446" w:right="3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 (CONFLICTS OF INTEREST)</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intend to offer the common shares through the underwriter. Subject to the terms and conditions stated in an underwriting agreement and a related pricing agreement, each dated the date of this prospectus supplement, the underwriter has agreed to purchase, and we have agreed to sell to the underwriter, 1,000,000 common shares.</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common shares are offered by the underwriter, subject to prior sale, when, as and if issued to and accepted by it, subject to approval of legal matters by counsel for the underwriter and certain other conditions. The underwriter reserves the right to withdraw, cancel or modify the offers to the public and to reject orders in whole or in part.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The underwriter has agreed to purchase the common shares from us at a price of $ per share, which will result in $ of proceeds to us before expenses, or approximately $ if the underwriter’s option to purchase additional shares described below is exercised in full. The underwriter may offer the</w:t>
      </w:r>
    </w:p>
    <w:p>
      <w:pPr>
        <w:ind w:right="40"/>
        <w:spacing w:after="0" w:line="252" w:lineRule="auto"/>
        <w:rPr>
          <w:sz w:val="20"/>
          <w:szCs w:val="20"/>
          <w:color w:val="auto"/>
        </w:rPr>
      </w:pPr>
      <w:r>
        <w:rPr>
          <w:rFonts w:ascii="Arial" w:cs="Arial" w:eastAsia="Arial" w:hAnsi="Arial"/>
          <w:sz w:val="18"/>
          <w:szCs w:val="18"/>
          <w:color w:val="auto"/>
        </w:rPr>
        <w:t>common shares from time to time for sale in one or more transactions on the New York Stock Exchange, in the over-the-counter market, through negotiated transactions or otherwise at market prices prevailing at the time of sale, at prices related to prevailing market prices or at negotiated prices. In connection with the sale of the common shares offered hereby, the underwriter may be deemed to have received compensation in the form of underwriting discounts. The underwriter may effect such transactions by selling common shares to or through dealers, and such dealers may receive compensation in the form of discounts, concessions or commissions from the underwriter and/or purchasers of common shares for whom it may act as agent or to whom it may sell as principal.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We estimate that the expenses of this offering payable by us, excluding the underwriting discount, will be approximately $150,000.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our chief executive officer and our chief financial officer have agreed that, for a period of 30 days from the date of this prospectus supplement, we and they will not, without the prior written consent of Citigroup Global Markets Inc., offer, sell, contract to sell, pledge or otherwise dispose of or hedge any of our common shares or any securities convertible into or exercisable, exchangeable or redeemable for our common shares. This lock-up agreement, however, will not prevent us from issuing or granting options to purchase:</w:t>
      </w:r>
    </w:p>
    <w:p>
      <w:pPr>
        <w:spacing w:after="0" w:line="92"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common shares in this offering;</w:t>
      </w:r>
    </w:p>
    <w:p>
      <w:pPr>
        <w:spacing w:after="0" w:line="130"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common shares pursuant to our Dividend Reinvestment and Share Purchase Plan, including as a result of exercises of options granted under these plans;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common shares pursuant to our employee or trustee benefit plans, including as a result of exercises of options granted under these plans;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common shares upon conversion of our outstanding 5.417% Series 1 Cumulative Convertible Preferred Shares;</w:t>
      </w:r>
    </w:p>
    <w:p>
      <w:pPr>
        <w:spacing w:after="0" w:line="130" w:lineRule="exact"/>
        <w:rPr>
          <w:rFonts w:ascii="Arial" w:cs="Arial" w:eastAsia="Arial" w:hAnsi="Arial"/>
          <w:sz w:val="18"/>
          <w:szCs w:val="18"/>
          <w:color w:val="auto"/>
        </w:rPr>
      </w:pPr>
    </w:p>
    <w:p>
      <w:pPr>
        <w:ind w:left="900" w:right="80" w:hanging="446"/>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common shares pursuant to any exercise of contractual rights that exist on the date of this prospectus supplement and that require or permit us to issue common shares to current or former holders of partnership or other interests in certain of our “downREIT” partnerships or other subsidiaries, including as a result of exercises of options granted pursuant to such rights; and</w:t>
      </w:r>
    </w:p>
    <w:p>
      <w:pPr>
        <w:spacing w:after="0" w:line="86"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subject to certain conditions, common shares, preferred shares and any other of our securities, including securities convertible into or exercisable, exchangeable or redeemable for common shares, as consideration for the acquisition of real property.</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lock-up agreements do not prohibit our chief executive officer or chief financial officer from exercising options (as long as they hold the common shares received from such exercises pursuant to the terms of the lock-up agreements) or purchasing common shares under employee or trustee benefit plans, from making gifts of common shares or securities convertible into or exercisable, exchangeable or redeemable for common shares for the benefit of their immediate families or for charitable purposes as long as the underwriter is provided three business days’ prior written notice and the donee enters into a similar lock-up agreement.</w:t>
      </w:r>
    </w:p>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Citigroup Global Markets Inc. may, in its sole discretion and at any time or from time to time, without notice, release us, our chief executive officer or our chief financial officer from the lock-up agreements.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121" w:lineRule="exact"/>
        <w:rPr>
          <w:sz w:val="20"/>
          <w:szCs w:val="20"/>
          <w:color w:val="auto"/>
        </w:rPr>
      </w:pPr>
    </w:p>
    <w:p>
      <w:pPr>
        <w:spacing w:after="0"/>
        <w:tabs>
          <w:tab w:leader="none" w:pos="8740" w:val="left"/>
        </w:tabs>
        <w:rPr>
          <w:sz w:val="20"/>
          <w:szCs w:val="20"/>
          <w:color w:val="auto"/>
        </w:rPr>
      </w:pPr>
      <w:r>
        <w:rPr>
          <w:rFonts w:ascii="Arial" w:cs="Arial" w:eastAsia="Arial" w:hAnsi="Arial"/>
          <w:sz w:val="18"/>
          <w:szCs w:val="18"/>
          <w:color w:val="auto"/>
        </w:rPr>
        <w:t>We have granted an option to the underwriter to purchase up to an additional 150,000 common shares at a price of $</w:t>
      </w:r>
      <w:r>
        <w:rPr>
          <w:sz w:val="20"/>
          <w:szCs w:val="20"/>
          <w:color w:val="auto"/>
        </w:rPr>
        <w:tab/>
      </w:r>
      <w:r>
        <w:rPr>
          <w:rFonts w:ascii="Arial" w:cs="Arial" w:eastAsia="Arial" w:hAnsi="Arial"/>
          <w:sz w:val="16"/>
          <w:szCs w:val="16"/>
          <w:color w:val="auto"/>
        </w:rPr>
        <w:t>per share, less any dividends or</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distributions payable on the shares initially purchased by the underwriter but not payable on such option shares. The underwriter may exercise this option for 30 days from the date of this prospectus supplement. If any additional common shares are purchased, the underwriter will offer the additional common shares on the same terms as those on which the common shares are being offered.</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underwriter: (a) has only communicated or caused to be communicated and will only communicate or cause to be communicated any invitation or inducement to engage in investment activity (within the meaning of Section 21 of the Financial Services and Markets Act 2000, or the FSMA) received by it in connection with the issue or sale of common shares in circumstances in which Section 21(1) of the FSMA does not apply to us, and (b) has complied and will comply with all applicable provisions of the FSMA with respect to anything done by it in relation to the common shares in, from or otherwise involving the United Kingdom.</w:t>
      </w:r>
    </w:p>
    <w:p>
      <w:pPr>
        <w:spacing w:after="0" w:line="18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This prospectus supplement and the accompanying prospectus are being distributed only to and are directed only at (1) persons having professional experience in matters relating to investments who fall within the definition of “investment professionals” in Article 19(5) of the Financial Services and Markets Act 2000 (Financial Promotion) Order 2005; or (2) high net worth bodies corporate, unincorporated associations and partnerships and trustees of high value trusts as described in Article 49(2) of the Financial Services and Markets Act 2000 (Financial Promotion) Order 2005 (all such person referred to as “relevant persons”). Any investment or investment activity to which this prospectus supplement and the accompanying prospectus relates, including the common shares, is available only to, and will be engaged in only with, relevant persons. No persons other than relevant persons may rely or act upon this communication.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 (Conflicts of Interest)</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underwriter has performed investment banking, and other commercial services for us from time to time for which it has received customary fees and expenses. The underwriter may from time to time engage in transactions with and perform services for us in the ordinary course of its business. An affiliate of the underwriter is a lender under our revolving credit facility and will receive a pro rata portion of the net proceeds from this offering that are used to repay amounts outstanding thereunder.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on the New York Stock Exchange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common shares are listed on the New York Stock Exchange under the symbol “FRT.”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Prospectus</w:t>
      </w:r>
    </w:p>
    <w:p>
      <w:pPr>
        <w:spacing w:after="0" w:line="121" w:lineRule="exact"/>
        <w:rPr>
          <w:sz w:val="20"/>
          <w:szCs w:val="20"/>
          <w:color w:val="auto"/>
        </w:rPr>
      </w:pPr>
    </w:p>
    <w:p>
      <w:pPr>
        <w:ind w:right="760"/>
        <w:spacing w:after="0" w:line="264" w:lineRule="auto"/>
        <w:rPr>
          <w:sz w:val="20"/>
          <w:szCs w:val="20"/>
          <w:color w:val="auto"/>
        </w:rPr>
      </w:pPr>
      <w:r>
        <w:rPr>
          <w:rFonts w:ascii="Arial" w:cs="Arial" w:eastAsia="Arial" w:hAnsi="Arial"/>
          <w:sz w:val="18"/>
          <w:szCs w:val="18"/>
          <w:color w:val="auto"/>
        </w:rPr>
        <w:t>A copy of this prospectus supplement and the accompanying prospectus may be made available in electronic format on a website maintained by the underwriter. Other than this prospectus supplement in electronic format, the information on the underwriter’s website is not part of this prospectus supplement.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w:t>
      </w:r>
    </w:p>
    <w:p>
      <w:pPr>
        <w:spacing w:after="0" w:line="12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We have agreed to indemnify the underwriter against certain liabilities, including liabilities under the Securities Act, or to contribute to payments the underwriter may be required to make because of any of those liabilities.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The consolidated financial statements, schedules and management’s assessment of the effectiveness of internal control over financial reporting incorporated by reference in this prospectus supplement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legality of the common shares offered by this prospectus supplement will be passed upon for us by Pillsbury Winthrop Shaw Pittman LLP, Washington, DC. In addition, the descriptions of material U.S. federal income tax considerations contained in the accompanying prospectus under “Material Federal Income Tax Considerations”, as updated by our Current Report on Form 8-K that we filed with the SEC on February 10, 2016, are, to the extent that they constitute matters of law, summaries of legal matters or legal conclusions, based upon the opinion of Pillsbury Winthrop Shaw Pittman LLP, Washington, DC. Sidley Austin LLP, New York, New York, will act as counsel to the underwriter.</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172085</wp:posOffset>
            </wp:positionV>
            <wp:extent cx="2255520" cy="909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5552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Debt Securities, Common Shares, Preferred Shares, Depositary Shares and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252095</wp:posOffset>
            </wp:positionV>
            <wp:extent cx="15176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from time to time offer, in one or more series, separately or together, the following:</w:t>
      </w:r>
    </w:p>
    <w:p>
      <w:pPr>
        <w:spacing w:after="0" w:line="131"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debt securities, which may be either senior debt securities or subordinated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common shares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preferred shares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preferred shares of beneficial interest represented by depositary receipts;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warrants to purchase our common or preferred shares.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are listed on the New York Stock Exchange under the symbol “FRT.”</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 Such terms may include limitations on direct or beneficial ownership and restrictions on transfer of our securities being offered that we believe are appropriate to preserve our status as a real estate investment trust for federal income tax purposes.</w:t>
      </w:r>
    </w:p>
    <w:p>
      <w:pPr>
        <w:spacing w:after="0" w:line="18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applicable prospectus supplement will also contain information, where applicable, about certain United States federal income tax considerations relating to the securities covered by such prospectus supplement.</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 None of our securities may be sold without delivery of the applicable prospectus supplement describing the method and terms of the offering of such class or series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193040</wp:posOffset>
            </wp:positionV>
            <wp:extent cx="15176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4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w:t>
      </w:r>
      <w:hyperlink w:anchor="page16">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right="46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193675</wp:posOffset>
            </wp:positionV>
            <wp:extent cx="15176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date of this prospectus is May 8, 2015.</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360" w:type="dxa"/>
            <w:vAlign w:val="bottom"/>
            <w:gridSpan w:val="3"/>
          </w:tcPr>
          <w:p>
            <w:pPr>
              <w:jc w:val="right"/>
              <w:ind w:right="466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3980" w:type="dxa"/>
            <w:vAlign w:val="bottom"/>
            <w:gridSpan w:val="12"/>
            <w:vMerge w:val="restart"/>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About this Prospectus</w:t>
              </w:r>
            </w:hyperlink>
          </w:p>
        </w:tc>
        <w:tc>
          <w:tcPr>
            <w:tcW w:w="704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3980" w:type="dxa"/>
            <w:vAlign w:val="bottom"/>
            <w:gridSpan w:val="12"/>
            <w:vMerge w:val="continue"/>
          </w:tcPr>
          <w:p>
            <w:pPr>
              <w:spacing w:after="0"/>
              <w:rPr>
                <w:sz w:val="13"/>
                <w:szCs w:val="13"/>
                <w:color w:val="auto"/>
              </w:rPr>
            </w:pPr>
          </w:p>
        </w:tc>
        <w:tc>
          <w:tcPr>
            <w:tcW w:w="704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980" w:type="dxa"/>
            <w:vAlign w:val="bottom"/>
            <w:gridSpan w:val="12"/>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Forward-Looking Statements</w:t>
              </w:r>
            </w:hyperlink>
          </w:p>
        </w:tc>
        <w:tc>
          <w:tcPr>
            <w:tcW w:w="736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15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Prospectus Summary</w:t>
              </w:r>
            </w:hyperlink>
          </w:p>
        </w:tc>
        <w:tc>
          <w:tcPr>
            <w:tcW w:w="540" w:type="dxa"/>
            <w:vAlign w:val="bottom"/>
            <w:tcBorders>
              <w:top w:val="single" w:sz="8" w:color="0000EE"/>
            </w:tcBorders>
          </w:tcPr>
          <w:p>
            <w:pPr>
              <w:spacing w:after="0"/>
              <w:rPr>
                <w:sz w:val="24"/>
                <w:szCs w:val="24"/>
                <w:color w:val="auto"/>
              </w:rPr>
            </w:pPr>
          </w:p>
        </w:tc>
        <w:tc>
          <w:tcPr>
            <w:tcW w:w="1860" w:type="dxa"/>
            <w:vAlign w:val="bottom"/>
            <w:gridSpan w:val="5"/>
          </w:tcPr>
          <w:p>
            <w:pPr>
              <w:spacing w:after="0"/>
              <w:rPr>
                <w:sz w:val="24"/>
                <w:szCs w:val="24"/>
                <w:color w:val="auto"/>
              </w:rPr>
            </w:pPr>
          </w:p>
        </w:tc>
        <w:tc>
          <w:tcPr>
            <w:tcW w:w="736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9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Risk Factors</w:t>
              </w:r>
            </w:hyperlink>
          </w:p>
        </w:tc>
        <w:tc>
          <w:tcPr>
            <w:tcW w:w="3060" w:type="dxa"/>
            <w:vAlign w:val="bottom"/>
            <w:gridSpan w:val="10"/>
          </w:tcPr>
          <w:p>
            <w:pPr>
              <w:spacing w:after="0"/>
              <w:rPr>
                <w:sz w:val="24"/>
                <w:szCs w:val="24"/>
                <w:color w:val="auto"/>
              </w:rPr>
            </w:pPr>
          </w:p>
        </w:tc>
        <w:tc>
          <w:tcPr>
            <w:tcW w:w="736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18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16">
              <w:r>
                <w:rPr>
                  <w:rFonts w:ascii="Arial" w:cs="Arial" w:eastAsia="Arial" w:hAnsi="Arial"/>
                  <w:sz w:val="18"/>
                  <w:szCs w:val="18"/>
                  <w:color w:val="0000EE"/>
                  <w:w w:val="87"/>
                </w:rPr>
                <w:t>Use of Proceeds</w:t>
              </w:r>
            </w:hyperlink>
          </w:p>
        </w:tc>
        <w:tc>
          <w:tcPr>
            <w:tcW w:w="2800" w:type="dxa"/>
            <w:vAlign w:val="bottom"/>
            <w:gridSpan w:val="8"/>
          </w:tcPr>
          <w:p>
            <w:pPr>
              <w:spacing w:after="0"/>
              <w:rPr>
                <w:sz w:val="24"/>
                <w:szCs w:val="24"/>
                <w:color w:val="auto"/>
              </w:rPr>
            </w:pPr>
          </w:p>
        </w:tc>
        <w:tc>
          <w:tcPr>
            <w:tcW w:w="736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22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17">
              <w:r>
                <w:rPr>
                  <w:rFonts w:ascii="Arial" w:cs="Arial" w:eastAsia="Arial" w:hAnsi="Arial"/>
                  <w:sz w:val="18"/>
                  <w:szCs w:val="18"/>
                  <w:color w:val="0000EE"/>
                  <w:w w:val="91"/>
                </w:rPr>
                <w:t>Description of Debt Securities</w:t>
              </w:r>
            </w:hyperlink>
          </w:p>
        </w:tc>
        <w:tc>
          <w:tcPr>
            <w:tcW w:w="1780" w:type="dxa"/>
            <w:vAlign w:val="bottom"/>
            <w:gridSpan w:val="4"/>
          </w:tcPr>
          <w:p>
            <w:pPr>
              <w:spacing w:after="0"/>
              <w:rPr>
                <w:sz w:val="24"/>
                <w:szCs w:val="24"/>
                <w:color w:val="auto"/>
              </w:rPr>
            </w:pPr>
          </w:p>
        </w:tc>
        <w:tc>
          <w:tcPr>
            <w:tcW w:w="736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314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Description of Shares of Beneficial Interest</w:t>
              </w:r>
            </w:hyperlink>
          </w:p>
        </w:tc>
        <w:tc>
          <w:tcPr>
            <w:tcW w:w="840" w:type="dxa"/>
            <w:vAlign w:val="bottom"/>
            <w:gridSpan w:val="2"/>
          </w:tcPr>
          <w:p>
            <w:pPr>
              <w:spacing w:after="0"/>
              <w:rPr>
                <w:sz w:val="24"/>
                <w:szCs w:val="24"/>
                <w:color w:val="auto"/>
              </w:rPr>
            </w:pP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980" w:type="dxa"/>
            <w:vAlign w:val="bottom"/>
            <w:gridSpan w:val="1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Material Federal Income Tax Considerations</w:t>
              </w:r>
            </w:hyperlink>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4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3"/>
              </w:rPr>
            </w:pPr>
            <w:hyperlink w:anchor="page59">
              <w:r>
                <w:rPr>
                  <w:rFonts w:ascii="Arial" w:cs="Arial" w:eastAsia="Arial" w:hAnsi="Arial"/>
                  <w:sz w:val="18"/>
                  <w:szCs w:val="18"/>
                  <w:color w:val="0000EE"/>
                  <w:w w:val="93"/>
                </w:rPr>
                <w:t>Plan of Distribution</w:t>
              </w:r>
            </w:hyperlink>
          </w:p>
        </w:tc>
        <w:tc>
          <w:tcPr>
            <w:tcW w:w="1780" w:type="dxa"/>
            <w:vAlign w:val="bottom"/>
            <w:tcBorders>
              <w:top w:val="single" w:sz="8" w:color="0000EE"/>
            </w:tcBorders>
            <w:gridSpan w:val="6"/>
          </w:tcPr>
          <w:p>
            <w:pPr>
              <w:spacing w:after="0"/>
              <w:rPr>
                <w:sz w:val="24"/>
                <w:szCs w:val="24"/>
                <w:color w:val="auto"/>
              </w:rPr>
            </w:pPr>
          </w:p>
        </w:tc>
        <w:tc>
          <w:tcPr>
            <w:tcW w:w="760" w:type="dxa"/>
            <w:vAlign w:val="bottom"/>
          </w:tcPr>
          <w:p>
            <w:pPr>
              <w:spacing w:after="0"/>
              <w:rPr>
                <w:sz w:val="24"/>
                <w:szCs w:val="24"/>
                <w:color w:val="auto"/>
              </w:rPr>
            </w:pP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60">
              <w:r>
                <w:rPr>
                  <w:rFonts w:ascii="Arial" w:cs="Arial" w:eastAsia="Arial" w:hAnsi="Arial"/>
                  <w:sz w:val="18"/>
                  <w:szCs w:val="18"/>
                  <w:color w:val="0000EE"/>
                  <w:w w:val="91"/>
                </w:rPr>
                <w:t>Legal Matters</w:t>
              </w:r>
            </w:hyperlink>
          </w:p>
        </w:tc>
        <w:tc>
          <w:tcPr>
            <w:tcW w:w="2960" w:type="dxa"/>
            <w:vAlign w:val="bottom"/>
            <w:gridSpan w:val="9"/>
          </w:tcPr>
          <w:p>
            <w:pPr>
              <w:spacing w:after="0"/>
              <w:rPr>
                <w:sz w:val="24"/>
                <w:szCs w:val="24"/>
                <w:color w:val="auto"/>
              </w:rPr>
            </w:pP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tcBorders>
              <w:bottom w:val="single" w:sz="8" w:color="0000EE"/>
            </w:tcBorders>
          </w:tcPr>
          <w:p>
            <w:pPr>
              <w:spacing w:after="0"/>
              <w:rPr>
                <w:rFonts w:ascii="Arial" w:cs="Arial" w:eastAsia="Arial" w:hAnsi="Arial"/>
                <w:sz w:val="18"/>
                <w:szCs w:val="18"/>
                <w:color w:val="0000EE"/>
                <w:w w:val="88"/>
              </w:rPr>
            </w:pPr>
            <w:hyperlink w:anchor="page60">
              <w:r>
                <w:rPr>
                  <w:rFonts w:ascii="Arial" w:cs="Arial" w:eastAsia="Arial" w:hAnsi="Arial"/>
                  <w:sz w:val="18"/>
                  <w:szCs w:val="18"/>
                  <w:color w:val="0000EE"/>
                  <w:w w:val="88"/>
                </w:rPr>
                <w:t>Experts</w:t>
              </w:r>
            </w:hyperlink>
          </w:p>
        </w:tc>
        <w:tc>
          <w:tcPr>
            <w:tcW w:w="3420" w:type="dxa"/>
            <w:vAlign w:val="bottom"/>
            <w:gridSpan w:val="11"/>
          </w:tcPr>
          <w:p>
            <w:pPr>
              <w:spacing w:after="0"/>
              <w:rPr>
                <w:sz w:val="24"/>
                <w:szCs w:val="24"/>
                <w:color w:val="auto"/>
              </w:rPr>
            </w:pP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88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60">
              <w:r>
                <w:rPr>
                  <w:rFonts w:ascii="Arial" w:cs="Arial" w:eastAsia="Arial" w:hAnsi="Arial"/>
                  <w:sz w:val="18"/>
                  <w:szCs w:val="18"/>
                  <w:color w:val="0000EE"/>
                  <w:w w:val="92"/>
                </w:rPr>
                <w:t>Where You Can Find More Information</w:t>
              </w:r>
            </w:hyperlink>
          </w:p>
        </w:tc>
        <w:tc>
          <w:tcPr>
            <w:tcW w:w="1100" w:type="dxa"/>
            <w:vAlign w:val="bottom"/>
            <w:gridSpan w:val="3"/>
          </w:tcPr>
          <w:p>
            <w:pPr>
              <w:spacing w:after="0"/>
              <w:rPr>
                <w:sz w:val="24"/>
                <w:szCs w:val="24"/>
                <w:color w:val="auto"/>
              </w:rPr>
            </w:pP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Before purchasing any securities, you should read both this prospectus and the applicable prospectus supplement and any applicable free writing prospectus, together with additional information described under the heading “Where You Can Find More Information.”</w:t>
      </w:r>
    </w:p>
    <w:p>
      <w:pPr>
        <w:spacing w:after="0" w:line="16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References to “we,” “us,” “our” or “ours” refer to Federal Realty Investment Trust and its directly or indirectly owned subsidiaries, unless the context otherwise requires. The term “you” refers to a prospective investor.</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prospectus contains and incorporates forward-looking statements within the meaning of Section 27A of the Securities Act of 1933, as amended, or the Securities Act, Section 21E of the Securities Exchange Act of 1934, as amended, or the Exchange Act,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i w:val="1"/>
          <w:iCs w:val="1"/>
          <w:color w:val="auto"/>
        </w:rPr>
        <w:t>The following summary is qualified in its entirety by the more detailed information and consolidated financial statements and notes thereto contained elsewhere in or incorporated by reference into this prospectus.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Trust</w:t>
      </w:r>
    </w:p>
    <w:p>
      <w:pPr>
        <w:spacing w:after="0" w:line="229"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are an equity real estate investment trust, or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March 31, 2015, we owned or had a majority interest in community and neighborhood shopping centers and mixed-use properties which are operated as 90 predominantly retail real estate projects comprising approximately 20.7 million square feet. In total, the real estate projects were 95.4% leased and 94.5% occupied at March 31, 2015. A joint venture in which we own a 30% interest owned six retail real estate projects totaling approximately 0.8 million square feet as of March 31, 2015. In total, the joint venture properties in which we own an interest were 85.8% leased and 85.4% occupied at March 31, 2015. We have paid quarterly dividends to our shareholders continuously since our founding in 1962 and have increased our dividends per common share for 47 consecutive years.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operate in a manner intended to enable us to qualify as a REIT pursuant to provisions of the Internal Revenue Code of 1986, as amended, 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21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We were founded in 1962 as a REIT under the laws of the District of Columbia and re-formed as a real estate investment trust in the state of Maryland in 1999. Our principal executive offices are located at 1626 East Jefferson Street, Rockville, Maryland 20852. Our telephone number is (301) 998-8100.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and is not incorporated herein by reference.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Combined Fixed Charges and Preferred Share Dividends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historical ratios of earnings to fixed charges and preferred share dividends for the periods indicated:</w:t>
      </w:r>
    </w:p>
    <w:p>
      <w:pPr>
        <w:spacing w:after="0" w:line="244" w:lineRule="exact"/>
        <w:rPr>
          <w:sz w:val="20"/>
          <w:szCs w:val="20"/>
          <w:color w:val="auto"/>
        </w:rPr>
      </w:pPr>
    </w:p>
    <w:p>
      <w:pPr>
        <w:ind w:left="7000"/>
        <w:spacing w:after="0"/>
        <w:rPr>
          <w:sz w:val="20"/>
          <w:szCs w:val="20"/>
          <w:color w:val="auto"/>
        </w:rPr>
      </w:pPr>
      <w:r>
        <w:rPr>
          <w:rFonts w:ascii="Arial" w:cs="Arial" w:eastAsia="Arial" w:hAnsi="Arial"/>
          <w:sz w:val="14"/>
          <w:szCs w:val="14"/>
          <w:b w:val="1"/>
          <w:bCs w:val="1"/>
          <w:color w:val="auto"/>
        </w:rPr>
        <w:t>For the Three Months</w:t>
      </w:r>
    </w:p>
    <w:p>
      <w:pPr>
        <w:spacing w:after="0" w:line="4" w:lineRule="exact"/>
        <w:rPr>
          <w:sz w:val="20"/>
          <w:szCs w:val="20"/>
          <w:color w:val="auto"/>
        </w:rPr>
      </w:pPr>
    </w:p>
    <w:p>
      <w:pPr>
        <w:ind w:left="7160"/>
        <w:spacing w:after="0"/>
        <w:tabs>
          <w:tab w:leader="none" w:pos="8900" w:val="left"/>
        </w:tabs>
        <w:rPr>
          <w:sz w:val="20"/>
          <w:szCs w:val="20"/>
          <w:color w:val="auto"/>
        </w:rPr>
      </w:pPr>
      <w:r>
        <w:rPr>
          <w:rFonts w:ascii="Arial" w:cs="Arial" w:eastAsia="Arial" w:hAnsi="Arial"/>
          <w:sz w:val="14"/>
          <w:szCs w:val="14"/>
          <w:b w:val="1"/>
          <w:bCs w:val="1"/>
          <w:color w:val="auto"/>
        </w:rPr>
        <w:t>Ended March 31,</w:t>
      </w:r>
      <w:r>
        <w:rPr>
          <w:sz w:val="20"/>
          <w:szCs w:val="20"/>
          <w:color w:val="auto"/>
        </w:rPr>
        <w:tab/>
      </w:r>
      <w:r>
        <w:rPr>
          <w:rFonts w:ascii="Arial" w:cs="Arial" w:eastAsia="Arial" w:hAnsi="Arial"/>
          <w:sz w:val="12"/>
          <w:szCs w:val="12"/>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-3175</wp:posOffset>
            </wp:positionV>
            <wp:extent cx="27444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ind w:left="7540"/>
        <w:spacing w:after="0"/>
        <w:tabs>
          <w:tab w:leader="none" w:pos="8640" w:val="left"/>
          <w:tab w:leader="none" w:pos="9240" w:val="left"/>
          <w:tab w:leader="none" w:pos="9840" w:val="left"/>
          <w:tab w:leader="none" w:pos="10420" w:val="left"/>
          <w:tab w:leader="none" w:pos="1102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2011</w:t>
      </w:r>
      <w:r>
        <w:rPr>
          <w:sz w:val="20"/>
          <w:szCs w:val="20"/>
          <w:color w:val="auto"/>
        </w:rPr>
        <w:tab/>
      </w:r>
      <w:r>
        <w:rPr>
          <w:rFonts w:ascii="Arial" w:cs="Arial" w:eastAsia="Arial" w:hAnsi="Arial"/>
          <w:sz w:val="12"/>
          <w:szCs w:val="12"/>
          <w:b w:val="1"/>
          <w:bCs w:val="1"/>
          <w:color w:val="auto"/>
        </w:rPr>
        <w:t>2010</w:t>
      </w:r>
    </w:p>
    <w:tbl>
      <w:tblPr>
        <w:tblLayout w:type="fixed"/>
        <w:tblInd w:w="0" w:type="dxa"/>
        <w:tblCellMar>
          <w:top w:w="0" w:type="dxa"/>
          <w:left w:w="0" w:type="dxa"/>
          <w:bottom w:w="0" w:type="dxa"/>
          <w:right w:w="0" w:type="dxa"/>
        </w:tblCellMar>
      </w:tblPr>
      <w:tr>
        <w:trPr>
          <w:trHeight w:val="210"/>
        </w:trPr>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360" w:type="dxa"/>
            <w:vAlign w:val="bottom"/>
            <w:tcBorders>
              <w:top w:val="single" w:sz="8" w:color="auto"/>
            </w:tcBorders>
            <w:shd w:val="clear" w:color="auto" w:fill="CCEEFF"/>
          </w:tcPr>
          <w:p>
            <w:pPr>
              <w:ind w:left="1140"/>
              <w:spacing w:after="0"/>
              <w:rPr>
                <w:sz w:val="20"/>
                <w:szCs w:val="20"/>
                <w:color w:val="auto"/>
              </w:rPr>
            </w:pPr>
            <w:r>
              <w:rPr>
                <w:rFonts w:ascii="Arial" w:cs="Arial" w:eastAsia="Arial" w:hAnsi="Arial"/>
                <w:sz w:val="18"/>
                <w:szCs w:val="18"/>
                <w:color w:val="auto"/>
                <w:w w:val="79"/>
              </w:rPr>
              <w:t>2.5</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Ratio of earnings to combined fixed charges and preferred share dividends</w:t>
            </w:r>
          </w:p>
        </w:tc>
        <w:tc>
          <w:tcPr>
            <w:tcW w:w="1660" w:type="dxa"/>
            <w:vAlign w:val="bottom"/>
            <w:gridSpan w:val="2"/>
          </w:tcPr>
          <w:p>
            <w:pPr>
              <w:ind w:left="1140"/>
              <w:spacing w:after="0"/>
              <w:rPr>
                <w:sz w:val="20"/>
                <w:szCs w:val="20"/>
                <w:color w:val="auto"/>
              </w:rPr>
            </w:pPr>
            <w:r>
              <w:rPr>
                <w:rFonts w:ascii="Arial" w:cs="Arial" w:eastAsia="Arial" w:hAnsi="Arial"/>
                <w:sz w:val="18"/>
                <w:szCs w:val="18"/>
                <w:color w:val="auto"/>
              </w:rPr>
              <w:t>2.4</w:t>
            </w: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0"/>
                <w:szCs w:val="20"/>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1.9</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ratio of earnings to fixed charges is computed by dividing earnings by fixed charges. In computing the ratio of earnings to fixed charges:</w:t>
      </w:r>
    </w:p>
    <w:p>
      <w:pPr>
        <w:spacing w:after="0" w:line="35" w:lineRule="exact"/>
        <w:rPr>
          <w:sz w:val="20"/>
          <w:szCs w:val="20"/>
          <w:color w:val="auto"/>
        </w:rPr>
      </w:pPr>
    </w:p>
    <w:p>
      <w:pPr>
        <w:ind w:right="200" w:firstLine="8"/>
        <w:spacing w:after="0" w:line="254" w:lineRule="auto"/>
        <w:tabs>
          <w:tab w:leader="none" w:pos="245" w:val="left"/>
        </w:tabs>
        <w:numPr>
          <w:ilvl w:val="0"/>
          <w:numId w:val="7"/>
        </w:numPr>
        <w:rPr>
          <w:rFonts w:ascii="Arial" w:cs="Arial" w:eastAsia="Arial" w:hAnsi="Arial"/>
          <w:sz w:val="18"/>
          <w:szCs w:val="18"/>
          <w:color w:val="auto"/>
        </w:rPr>
      </w:pPr>
      <w:r>
        <w:rPr>
          <w:rFonts w:ascii="Arial" w:cs="Arial" w:eastAsia="Arial" w:hAnsi="Arial"/>
          <w:sz w:val="18"/>
          <w:szCs w:val="18"/>
          <w:color w:val="auto"/>
        </w:rPr>
        <w:t>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premiums and discounts and issuance costs (including capitalized interest), prepayment charges and the estimated portion of rents payable by us representing interest.</w:t>
      </w:r>
    </w:p>
    <w:p>
      <w:pPr>
        <w:spacing w:after="0" w:line="190"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The ratio of earnings to combined fixed charges and preferred share dividends is computed by dividing earnings by the total of fixed charges and preferred share dividends. In computing the ratio of earnings to combined fixed charges and preferred share dividends: (a) earnings consist of income from continuing operations before income or loss from equity investees plus distributed income of equity investees and fixed charges (excluding capitalized interest) less noncontrolling interests of subsidiaries with no fixed charges; (b) fixed charges consist of interest expense including amortization of debt premiums and discounts and issuance costs (including capitalized interest), prepayment charges and the estimated portion of rents payable by us representing interest; and (c) preferred share dividends consist of preferred share dividends and preferred share redemption costs.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Investing in our securities involves a high degree of risk. Before making an investment decision, please consider the risks described under the caption “Risk Factors” in our Annual Report on Form 10-K for the fiscal year ended December 31, 2014,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Unless otherwise specified in the applicable prospectus supplement, we will use the net proceeds from the sale of securities for one or more of the following:</w:t>
      </w:r>
    </w:p>
    <w:p>
      <w:pPr>
        <w:spacing w:after="0" w:line="76"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repayment of debt;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acquisition of additional properties;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funding our development and redevelopment pipeline;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redemption of preferred shares;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459" w:right="3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Debt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 debt securities we offer through this prospectus:</w:t>
      </w:r>
    </w:p>
    <w:p>
      <w:pPr>
        <w:spacing w:after="0" w:line="131"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 be our general, direct and unsecured obligations;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may be either senior debt securities or subordinated debt securities.</w:t>
      </w:r>
    </w:p>
    <w:p>
      <w:pPr>
        <w:spacing w:after="0" w:line="225"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14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may incur additional debt, subject to limitations in the agreements governing our credit and other debt facilities and other notes we may have issued.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w:t>
      </w:r>
    </w:p>
    <w:p>
      <w:pPr>
        <w:spacing w:after="0" w:line="131"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debt securities we offer through this prospectus will not limit the amount of other debt that we may incur;</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not list the debt securities on any securities exchange.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Indentures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Any debt securities we offer through this prospectus will be issued under one or more indentures, including the senior indenture between us and U.S. Bank National Association, successor to Wachovia Bank National Association, formerly First Union National Bank, as trustee. We have filed with the SEC the senior indenture that is an exhibit to the registration statement that includes this prospectus. The senior indenture describes the general terms of senior debt securities we may issue. The general terms of any subordinated debt securities that we may issue will be included in a subordinated indenture, which will also include additional terms describing the subordination provisions of these securities. The senior indenture is subject to the Trust Indenture Act of 1939, as amended.</w:t>
      </w:r>
    </w:p>
    <w:p>
      <w:pPr>
        <w:spacing w:after="0" w:line="19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Unless we say otherwise in a prospectus supplement, each indenture does not or will not include all the terms of debt securities we may issue through this prospectus. If we issue debt securities through this prospectus, our Board of Trustees, or any committee thereof, will establish the additional terms for each series of debt securities. The additional terms will be either established pursuant to, and set forth in, a supplemental indenture, or established pursuant to a resolution of our Board of Trustees, or any committee thereof, and set forth in an officer’s certificate. Each indenture describes or will describe the additional terms that may be established and we summarize the additional terms that may be established under “— Additional Terms of Debt Securities,” below.</w:t>
      </w:r>
    </w:p>
    <w:p>
      <w:pPr>
        <w:spacing w:after="0" w:line="19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have summarized the provisions of the senior indenture and any subordinated indenture that we may enter into below. The summary is not complete. You should read the senior indenture and any other indenture that we may enter into for provisions that may be important to you. The extent, if any, to which the provisions of the base senior indenture or any other base indenture that we may enter into apply to particular debt securities will be described in the prospectus supplement relating to those securities. You should read the prospectus supplement for more information regarding any particular issuance of debt securities.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Terms of Debt Securities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As described above, the terms of a particular series of debt securities we offer through this prospectus will be established by our Board of Trustees, or any committee thereof, when we issue the series. We will describe the terms of the series in a prospectus supplement. Unless we say otherwise in a prospectus supplement, each indenture provides or will provide that the terms that may be established include the following:</w:t>
      </w:r>
    </w:p>
    <w:p>
      <w:pPr>
        <w:spacing w:after="0" w:line="87"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Title. </w:t>
      </w:r>
      <w:r>
        <w:rPr>
          <w:rFonts w:ascii="Arial" w:cs="Arial" w:eastAsia="Arial" w:hAnsi="Arial"/>
          <w:sz w:val="18"/>
          <w:szCs w:val="18"/>
          <w:color w:val="auto"/>
        </w:rPr>
        <w:t>The title of the debt securities offered.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Amount. </w:t>
      </w:r>
      <w:r>
        <w:rPr>
          <w:rFonts w:ascii="Arial" w:cs="Arial" w:eastAsia="Arial" w:hAnsi="Arial"/>
          <w:sz w:val="18"/>
          <w:szCs w:val="18"/>
          <w:color w:val="auto"/>
        </w:rPr>
        <w:t>Any limit upon the total principal amount of the series of debt securities offered.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Maturity. </w:t>
      </w:r>
      <w:r>
        <w:rPr>
          <w:rFonts w:ascii="Arial" w:cs="Arial" w:eastAsia="Arial" w:hAnsi="Arial"/>
          <w:sz w:val="18"/>
          <w:szCs w:val="18"/>
          <w:color w:val="auto"/>
        </w:rPr>
        <w:t>The date or dates on which the principal of and premium, if any, on the offered debt securities will mature or the method of determining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date or dates.</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Rate. </w:t>
      </w:r>
      <w:r>
        <w:rPr>
          <w:rFonts w:ascii="Arial" w:cs="Arial" w:eastAsia="Arial" w:hAnsi="Arial"/>
          <w:sz w:val="18"/>
          <w:szCs w:val="18"/>
          <w:color w:val="auto"/>
        </w:rPr>
        <w:t>The rate or rates (which may be fixed or variable) at which the offered debt securities will bear interest, if any, or the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calculating such rate or rates.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Accrual. </w:t>
      </w:r>
      <w:r>
        <w:rPr>
          <w:rFonts w:ascii="Arial" w:cs="Arial" w:eastAsia="Arial" w:hAnsi="Arial"/>
          <w:sz w:val="18"/>
          <w:szCs w:val="18"/>
          <w:color w:val="auto"/>
        </w:rPr>
        <w:t>The date or dates from which interest will accrue or the method by which such date or dates will be determined.</w:t>
      </w:r>
    </w:p>
    <w:p>
      <w:pPr>
        <w:spacing w:after="0" w:line="130" w:lineRule="exact"/>
        <w:rPr>
          <w:rFonts w:ascii="Arial" w:cs="Arial" w:eastAsia="Arial" w:hAnsi="Arial"/>
          <w:sz w:val="18"/>
          <w:szCs w:val="18"/>
          <w:color w:val="auto"/>
        </w:rPr>
      </w:pPr>
    </w:p>
    <w:p>
      <w:pPr>
        <w:ind w:left="900" w:right="520" w:hanging="446"/>
        <w:spacing w:after="0" w:line="34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Interest Payment Dates. </w:t>
      </w:r>
      <w:r>
        <w:rPr>
          <w:rFonts w:ascii="Arial" w:cs="Arial" w:eastAsia="Arial" w:hAnsi="Arial"/>
          <w:sz w:val="16"/>
          <w:szCs w:val="16"/>
          <w:color w:val="auto"/>
        </w:rPr>
        <w:t>The date or dates on which interest will be payable and the record date or dates to determine the persons who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 payment, and the basis upon which interest shall be calculated if other than that of a 360-day year of twelve 30-day months.</w:t>
      </w:r>
    </w:p>
    <w:p>
      <w:pPr>
        <w:spacing w:after="0" w:line="29" w:lineRule="exact"/>
        <w:rPr>
          <w:rFonts w:ascii="Arial" w:cs="Arial" w:eastAsia="Arial" w:hAnsi="Arial"/>
          <w:sz w:val="16"/>
          <w:szCs w:val="16"/>
          <w:color w:val="auto"/>
        </w:rPr>
      </w:pPr>
    </w:p>
    <w:p>
      <w:pPr>
        <w:ind w:left="900" w:right="4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Place of Payment. </w:t>
      </w:r>
      <w:r>
        <w:rPr>
          <w:rFonts w:ascii="Arial" w:cs="Arial" w:eastAsia="Arial" w:hAnsi="Arial"/>
          <w:sz w:val="18"/>
          <w:szCs w:val="18"/>
          <w:color w:val="auto"/>
        </w:rPr>
        <w:t>The place or places where principal of, premium, if any, and interest, on the offered debt securities will be payable or at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offered debt securities may be surrendered for registration of transfer or exchange.</w:t>
      </w:r>
    </w:p>
    <w:p>
      <w:pPr>
        <w:spacing w:after="0" w:line="75" w:lineRule="exact"/>
        <w:rPr>
          <w:rFonts w:ascii="Arial" w:cs="Arial" w:eastAsia="Arial" w:hAnsi="Arial"/>
          <w:sz w:val="18"/>
          <w:szCs w:val="18"/>
          <w:color w:val="auto"/>
        </w:rPr>
      </w:pPr>
    </w:p>
    <w:p>
      <w:pPr>
        <w:jc w:val="both"/>
        <w:ind w:left="900" w:right="100" w:hanging="446"/>
        <w:spacing w:after="0" w:line="26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period or periods within which, the price or prices at which, the currency or currencies (if other than in U.S. dollars),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currency unit or units, in which, and the other terms and conditions upon which, the offered debt securities may be redeemed, in whole or in part, at our option, if we have that option.</w:t>
      </w:r>
    </w:p>
    <w:p>
      <w:pPr>
        <w:spacing w:after="0" w:line="86" w:lineRule="exact"/>
        <w:rPr>
          <w:rFonts w:ascii="Arial" w:cs="Arial" w:eastAsia="Arial" w:hAnsi="Arial"/>
          <w:sz w:val="18"/>
          <w:szCs w:val="18"/>
          <w:color w:val="auto"/>
        </w:rPr>
      </w:pPr>
    </w:p>
    <w:p>
      <w:pPr>
        <w:ind w:left="900" w:right="360" w:hanging="446"/>
        <w:spacing w:after="0" w:line="279" w:lineRule="auto"/>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Mandatory Redemption. </w:t>
      </w:r>
      <w:r>
        <w:rPr>
          <w:rFonts w:ascii="Arial" w:cs="Arial" w:eastAsia="Arial" w:hAnsi="Arial"/>
          <w:sz w:val="17"/>
          <w:szCs w:val="17"/>
          <w:color w:val="auto"/>
        </w:rPr>
        <w:t>The obligation, if any, we have to redeem or repurchase the offered debt securities pursuant to any sinking fund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similar provisions or upon the happening of a specified event or 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76" w:lineRule="exact"/>
        <w:rPr>
          <w:rFonts w:ascii="Arial" w:cs="Arial" w:eastAsia="Arial" w:hAnsi="Arial"/>
          <w:sz w:val="17"/>
          <w:szCs w:val="17"/>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The denominations in which the offered debt securities are authorized to be issued.</w:t>
      </w:r>
    </w:p>
    <w:p>
      <w:pPr>
        <w:spacing w:after="0" w:line="130"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Currency. </w:t>
      </w:r>
      <w:r>
        <w:rPr>
          <w:rFonts w:ascii="Arial" w:cs="Arial" w:eastAsia="Arial" w:hAnsi="Arial"/>
          <w:sz w:val="18"/>
          <w:szCs w:val="18"/>
          <w:color w:val="auto"/>
        </w:rPr>
        <w:t>The currency or currency unit in which the offered debt securities may be denominated and/or the currency or currencies,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92"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Indexed Principal. </w:t>
      </w:r>
      <w:r>
        <w:rPr>
          <w:rFonts w:ascii="Arial" w:cs="Arial" w:eastAsia="Arial" w:hAnsi="Arial"/>
          <w:sz w:val="18"/>
          <w:szCs w:val="18"/>
          <w:color w:val="auto"/>
        </w:rPr>
        <w:t>If the amount of principal of, or premium, if any, or interest on, the offered debt securities may be determined with reference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an index or pursuant to a formula or other method, the manner in which such amounts will be determined.</w:t>
      </w:r>
    </w:p>
    <w:p>
      <w:pPr>
        <w:spacing w:after="0" w:line="75" w:lineRule="exact"/>
        <w:rPr>
          <w:rFonts w:ascii="Arial" w:cs="Arial" w:eastAsia="Arial" w:hAnsi="Arial"/>
          <w:sz w:val="18"/>
          <w:szCs w:val="18"/>
          <w:color w:val="auto"/>
        </w:rPr>
      </w:pPr>
    </w:p>
    <w:p>
      <w:pPr>
        <w:ind w:left="900" w:right="52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on Acceleration. </w:t>
      </w:r>
      <w:r>
        <w:rPr>
          <w:rFonts w:ascii="Arial" w:cs="Arial" w:eastAsia="Arial" w:hAnsi="Arial"/>
          <w:sz w:val="18"/>
          <w:szCs w:val="18"/>
          <w:color w:val="auto"/>
        </w:rPr>
        <w:t>If other than the principal amount, the amount which will be payable upon declaration of the acceleration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maturity or the method by which such portion shall be determined.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Special Rights. </w:t>
      </w:r>
      <w:r>
        <w:rPr>
          <w:rFonts w:ascii="Arial" w:cs="Arial" w:eastAsia="Arial" w:hAnsi="Arial"/>
          <w:sz w:val="17"/>
          <w:szCs w:val="17"/>
          <w:color w:val="auto"/>
        </w:rPr>
        <w:t>Provisions, if any, granting special rights to the holders of the offered debt securities if certain specified events occur.</w:t>
      </w:r>
    </w:p>
    <w:p>
      <w:pPr>
        <w:spacing w:after="0" w:line="142" w:lineRule="exact"/>
        <w:rPr>
          <w:rFonts w:ascii="Arial" w:cs="Arial" w:eastAsia="Arial" w:hAnsi="Arial"/>
          <w:sz w:val="17"/>
          <w:szCs w:val="17"/>
          <w:color w:val="auto"/>
        </w:rPr>
      </w:pPr>
    </w:p>
    <w:p>
      <w:pPr>
        <w:ind w:left="900" w:right="62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Modifications to Indentures. </w:t>
      </w:r>
      <w:r>
        <w:rPr>
          <w:rFonts w:ascii="Arial" w:cs="Arial" w:eastAsia="Arial" w:hAnsi="Arial"/>
          <w:sz w:val="18"/>
          <w:szCs w:val="18"/>
          <w:color w:val="auto"/>
        </w:rPr>
        <w:t>Any addition to, or modification or deletion of, any event of default or any of the covenants specified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indenture with respect to the offered debt securities.</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“Gross-Up.” </w:t>
      </w:r>
      <w:r>
        <w:rPr>
          <w:rFonts w:ascii="Arial" w:cs="Arial" w:eastAsia="Arial" w:hAnsi="Arial"/>
          <w:sz w:val="18"/>
          <w:szCs w:val="18"/>
          <w:color w:val="auto"/>
        </w:rPr>
        <w:t>The circumstances, if any, under which we will pay additional amounts on the offered debt securities held by non-U.S. persons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taxes, assessments or similar charges.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Whether the offered debt securities will be issued in registered or bearer form or both.</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Dates of Certificates. </w:t>
      </w:r>
      <w:r>
        <w:rPr>
          <w:rFonts w:ascii="Arial" w:cs="Arial" w:eastAsia="Arial" w:hAnsi="Arial"/>
          <w:sz w:val="18"/>
          <w:szCs w:val="18"/>
          <w:color w:val="auto"/>
        </w:rPr>
        <w:t>The date as of which any offered debt securities in bearer form and any temporary global security representing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are dated, if other than the original issuance date of the offered debt securities.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Forms. </w:t>
      </w:r>
      <w:r>
        <w:rPr>
          <w:rFonts w:ascii="Arial" w:cs="Arial" w:eastAsia="Arial" w:hAnsi="Arial"/>
          <w:sz w:val="18"/>
          <w:szCs w:val="18"/>
          <w:color w:val="auto"/>
        </w:rPr>
        <w:t>The forms of the securities and interest coupons, if any, of the series.</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Registrar and Paying Agent. </w:t>
      </w:r>
      <w:r>
        <w:rPr>
          <w:rFonts w:ascii="Arial" w:cs="Arial" w:eastAsia="Arial" w:hAnsi="Arial"/>
          <w:sz w:val="18"/>
          <w:szCs w:val="18"/>
          <w:color w:val="auto"/>
        </w:rPr>
        <w:t>If other than the trustee under the applicable indenture, the identity of the registrar and any paying agent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offered debt securities.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Defeasance. </w:t>
      </w:r>
      <w:r>
        <w:rPr>
          <w:rFonts w:ascii="Arial" w:cs="Arial" w:eastAsia="Arial" w:hAnsi="Arial"/>
          <w:sz w:val="18"/>
          <w:szCs w:val="18"/>
          <w:color w:val="auto"/>
        </w:rPr>
        <w:t>Any means of defeasance or covenant defeasance that may be specified for the offered debt securities.</w:t>
      </w:r>
    </w:p>
    <w:p>
      <w:pPr>
        <w:spacing w:after="0" w:line="130" w:lineRule="exact"/>
        <w:rPr>
          <w:rFonts w:ascii="Arial" w:cs="Arial" w:eastAsia="Arial" w:hAnsi="Arial"/>
          <w:sz w:val="18"/>
          <w:szCs w:val="18"/>
          <w:color w:val="auto"/>
        </w:rPr>
      </w:pPr>
    </w:p>
    <w:p>
      <w:pPr>
        <w:ind w:left="900" w:right="22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 Securities. </w:t>
      </w:r>
      <w:r>
        <w:rPr>
          <w:rFonts w:ascii="Arial" w:cs="Arial" w:eastAsia="Arial" w:hAnsi="Arial"/>
          <w:sz w:val="18"/>
          <w:szCs w:val="18"/>
          <w:color w:val="auto"/>
        </w:rPr>
        <w:t>Whether the offered debt securities are to be issued in whole or in part in the form of one or more temporary or permanent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global 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92" w:lineRule="exact"/>
        <w:rPr>
          <w:rFonts w:ascii="Arial" w:cs="Arial" w:eastAsia="Arial" w:hAnsi="Arial"/>
          <w:sz w:val="18"/>
          <w:szCs w:val="18"/>
          <w:color w:val="auto"/>
        </w:rPr>
      </w:pPr>
    </w:p>
    <w:p>
      <w:pPr>
        <w:ind w:left="900" w:right="180" w:hanging="446"/>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Documentation. </w:t>
      </w:r>
      <w:r>
        <w:rPr>
          <w:rFonts w:ascii="Arial" w:cs="Arial" w:eastAsia="Arial" w:hAnsi="Arial"/>
          <w:sz w:val="18"/>
          <w:szCs w:val="18"/>
          <w:color w:val="auto"/>
        </w:rPr>
        <w:t>If the offered debt securities may be issued or delivered, or any installment of principal or interest may be paid, only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receipt of certain certificates or other documents or satisfaction of other conditions in addition to those specified in the applicable indenture, the form of those certificates, documents or conditions.</w:t>
      </w:r>
    </w:p>
    <w:p>
      <w:pPr>
        <w:spacing w:after="0" w:line="86" w:lineRule="exact"/>
        <w:rPr>
          <w:rFonts w:ascii="Arial" w:cs="Arial" w:eastAsia="Arial" w:hAnsi="Arial"/>
          <w:sz w:val="18"/>
          <w:szCs w:val="18"/>
          <w:color w:val="auto"/>
        </w:rPr>
      </w:pPr>
    </w:p>
    <w:p>
      <w:pPr>
        <w:ind w:left="900" w:right="440" w:hanging="446"/>
        <w:spacing w:after="0" w:line="308" w:lineRule="auto"/>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Payees. </w:t>
      </w:r>
      <w:r>
        <w:rPr>
          <w:rFonts w:ascii="Arial" w:cs="Arial" w:eastAsia="Arial" w:hAnsi="Arial"/>
          <w:sz w:val="17"/>
          <w:szCs w:val="17"/>
          <w:color w:val="auto"/>
        </w:rPr>
        <w:t>If other than as provided in the applicable indenture, the person to whom any interest on any registered security of the series will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payable and the manner in which, or the person to whom, any interest on any bearer securities of the series will be payable.</w:t>
      </w:r>
    </w:p>
    <w:p>
      <w:pPr>
        <w:spacing w:after="0" w:line="51" w:lineRule="exact"/>
        <w:rPr>
          <w:rFonts w:ascii="Arial" w:cs="Arial" w:eastAsia="Arial" w:hAnsi="Arial"/>
          <w:sz w:val="17"/>
          <w:szCs w:val="17"/>
          <w:color w:val="auto"/>
        </w:rPr>
      </w:pPr>
    </w:p>
    <w:p>
      <w:pPr>
        <w:ind w:left="900" w:right="320" w:hanging="446"/>
        <w:spacing w:after="0" w:line="308" w:lineRule="auto"/>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Definitions. </w:t>
      </w:r>
      <w:r>
        <w:rPr>
          <w:rFonts w:ascii="Arial" w:cs="Arial" w:eastAsia="Arial" w:hAnsi="Arial"/>
          <w:sz w:val="17"/>
          <w:szCs w:val="17"/>
          <w:color w:val="auto"/>
        </w:rPr>
        <w:t>Any definitions for the offered debt securities of that series that are different from or in addition to the definitions included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applicable indenture, including, without limitation, the definition of “unrestricted subsidiary” to be used for such series.</w:t>
      </w:r>
    </w:p>
    <w:p>
      <w:pPr>
        <w:spacing w:after="0" w:line="51" w:lineRule="exact"/>
        <w:rPr>
          <w:rFonts w:ascii="Arial" w:cs="Arial" w:eastAsia="Arial" w:hAnsi="Arial"/>
          <w:sz w:val="17"/>
          <w:szCs w:val="17"/>
          <w:color w:val="auto"/>
        </w:rPr>
      </w:pPr>
    </w:p>
    <w:p>
      <w:pPr>
        <w:ind w:left="900" w:right="140" w:hanging="446"/>
        <w:spacing w:after="0" w:line="34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Subordination. </w:t>
      </w:r>
      <w:r>
        <w:rPr>
          <w:rFonts w:ascii="Arial" w:cs="Arial" w:eastAsia="Arial" w:hAnsi="Arial"/>
          <w:sz w:val="16"/>
          <w:szCs w:val="16"/>
          <w:color w:val="auto"/>
        </w:rPr>
        <w:t>In the case of any subordinated indenture that we may enter into, the relative degree to which the offered debt securities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to or junior to other debt securities, whether currently outstanding or to be offered in the future, and to other debt, in right of payment.</w:t>
      </w:r>
    </w:p>
    <w:p>
      <w:pPr>
        <w:spacing w:after="0" w:line="29" w:lineRule="exact"/>
        <w:rPr>
          <w:rFonts w:ascii="Arial" w:cs="Arial" w:eastAsia="Arial" w:hAnsi="Arial"/>
          <w:sz w:val="16"/>
          <w:szCs w:val="16"/>
          <w:color w:val="auto"/>
        </w:rPr>
      </w:pPr>
    </w:p>
    <w:p>
      <w:pPr>
        <w:ind w:left="900" w:right="22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Guarantees. </w:t>
      </w:r>
      <w:r>
        <w:rPr>
          <w:rFonts w:ascii="Arial" w:cs="Arial" w:eastAsia="Arial" w:hAnsi="Arial"/>
          <w:sz w:val="18"/>
          <w:szCs w:val="18"/>
          <w:color w:val="auto"/>
        </w:rPr>
        <w:t>Whether the offered debt securities are guaranteed and, if so, the identity of the guarantors and the terms of the offered guarantees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whether and the extent to which the guarantees are subordinated to other debt of the guarantors).</w:t>
      </w:r>
    </w:p>
    <w:p>
      <w:pPr>
        <w:spacing w:after="0" w:line="75" w:lineRule="exact"/>
        <w:rPr>
          <w:rFonts w:ascii="Arial" w:cs="Arial" w:eastAsia="Arial" w:hAnsi="Arial"/>
          <w:sz w:val="18"/>
          <w:szCs w:val="18"/>
          <w:color w:val="auto"/>
        </w:rPr>
      </w:pPr>
    </w:p>
    <w:p>
      <w:pPr>
        <w:jc w:val="both"/>
        <w:ind w:left="900" w:right="180" w:hanging="446"/>
        <w:spacing w:after="0" w:line="286" w:lineRule="auto"/>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Conversion. </w:t>
      </w:r>
      <w:r>
        <w:rPr>
          <w:rFonts w:ascii="Arial" w:cs="Arial" w:eastAsia="Arial" w:hAnsi="Arial"/>
          <w:sz w:val="17"/>
          <w:szCs w:val="17"/>
          <w:color w:val="auto"/>
        </w:rPr>
        <w:t>The terms, if any, upon which the offered debt securities may be converted or exchanged into or for our common shares, preferred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or other securities or property, including, without limitation, the initial conversion price or rate, the conversion period, any adjustment of the applicable conversion price and any requirements relative to the reservation of such shares for purposes of conversion.</w:t>
      </w:r>
    </w:p>
    <w:p>
      <w:pPr>
        <w:spacing w:after="0" w:line="70" w:lineRule="exact"/>
        <w:rPr>
          <w:rFonts w:ascii="Arial" w:cs="Arial" w:eastAsia="Arial" w:hAnsi="Arial"/>
          <w:sz w:val="17"/>
          <w:szCs w:val="17"/>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Restrictions. </w:t>
      </w:r>
      <w:r>
        <w:rPr>
          <w:rFonts w:ascii="Arial" w:cs="Arial" w:eastAsia="Arial" w:hAnsi="Arial"/>
          <w:sz w:val="18"/>
          <w:szCs w:val="18"/>
          <w:color w:val="auto"/>
        </w:rPr>
        <w:t>Any restrictions on the registration, transfer or exchange of the offered debt securities.</w:t>
      </w:r>
    </w:p>
    <w:p>
      <w:pPr>
        <w:spacing w:after="0" w:line="130" w:lineRule="exact"/>
        <w:rPr>
          <w:rFonts w:ascii="Arial" w:cs="Arial" w:eastAsia="Arial" w:hAnsi="Arial"/>
          <w:sz w:val="18"/>
          <w:szCs w:val="18"/>
          <w:color w:val="auto"/>
        </w:rPr>
      </w:pPr>
    </w:p>
    <w:p>
      <w:pPr>
        <w:ind w:left="900" w:hanging="446"/>
        <w:spacing w:after="0" w:line="34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Terms. </w:t>
      </w:r>
      <w:r>
        <w:rPr>
          <w:rFonts w:ascii="Arial" w:cs="Arial" w:eastAsia="Arial" w:hAnsi="Arial"/>
          <w:sz w:val="16"/>
          <w:szCs w:val="16"/>
          <w:color w:val="auto"/>
        </w:rPr>
        <w:t>Any other terms not inconsistent with the terms of the applicable indenture pertaining to the offered debt securities or which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or advisable under U.S. laws or regulations or advisable, as we determine, in connection with marketing of securities of the series.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Securities and Related Matters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Debt securities may be offered in either registered or bearer form.</w:t>
      </w:r>
    </w:p>
    <w:p>
      <w:pPr>
        <w:spacing w:after="0" w:line="131" w:lineRule="exact"/>
        <w:rPr>
          <w:sz w:val="20"/>
          <w:szCs w:val="20"/>
          <w:color w:val="auto"/>
        </w:rPr>
      </w:pPr>
    </w:p>
    <w:p>
      <w:pPr>
        <w:ind w:left="900" w:right="380" w:hanging="446"/>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the debt securities are in registered form, we may treat the person named in the register as the owner of the debt securities for all purposes, including payment, exchange and transfer.</w:t>
      </w:r>
    </w:p>
    <w:p>
      <w:pPr>
        <w:spacing w:after="0" w:line="75" w:lineRule="exact"/>
        <w:rPr>
          <w:rFonts w:ascii="Arial" w:cs="Arial" w:eastAsia="Arial" w:hAnsi="Arial"/>
          <w:sz w:val="18"/>
          <w:szCs w:val="18"/>
          <w:color w:val="auto"/>
        </w:rPr>
      </w:pPr>
    </w:p>
    <w:p>
      <w:pPr>
        <w:jc w:val="both"/>
        <w:ind w:left="900" w:right="40" w:hanging="446"/>
        <w:spacing w:after="0" w:line="31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considerations relating to the offered debt securities in a prospectus supplement.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Unless we say otherwise in a prospectus supplement, we will issue debt securities in denominations of:</w:t>
      </w:r>
    </w:p>
    <w:p>
      <w:pPr>
        <w:spacing w:after="0" w:line="131"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 $1,000 (or multiples of $1,000) if we issue the debt securities in registered form;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 $5,000 (or multiples of $5,000) if we issue debt securities in bearer form.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Currencies and Indexed Securities. </w:t>
      </w:r>
      <w:r>
        <w:rPr>
          <w:rFonts w:ascii="Arial" w:cs="Arial" w:eastAsia="Arial" w:hAnsi="Arial"/>
          <w:sz w:val="18"/>
          <w:szCs w:val="18"/>
          <w:color w:val="auto"/>
        </w:rPr>
        <w:t>We may offer debt securities for which:</w:t>
      </w:r>
    </w:p>
    <w:p>
      <w:pPr>
        <w:spacing w:after="0" w:line="131"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purchase price is payable in a currency other than U.S. dollars;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securities are denominated in a currency other than U.S. dollars;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principal or interest of, or any other amount due on, the offered debt securities in a currency other than U.S. dollars.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other currency may be a currency unit composed of various currencies. Payments on debt securities may also be based on an index.</w:t>
      </w:r>
    </w:p>
    <w:p>
      <w:pPr>
        <w:spacing w:after="0" w:line="225"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b w:val="1"/>
          <w:bCs w:val="1"/>
          <w:i w:val="1"/>
          <w:iCs w:val="1"/>
          <w:color w:val="auto"/>
        </w:rPr>
        <w:t xml:space="preserve">Payment, Transfer and Exchange. </w:t>
      </w:r>
      <w:r>
        <w:rPr>
          <w:rFonts w:ascii="Arial" w:cs="Arial" w:eastAsia="Arial" w:hAnsi="Arial"/>
          <w:sz w:val="17"/>
          <w:szCs w:val="17"/>
          <w:color w:val="auto"/>
        </w:rPr>
        <w:t>Unless we say otherwise in a prospectus supplement, the office for paying principal, interest and other amounts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debt securities is U.S. Bank National Association, 214 North Tryon Street, 27</w:t>
      </w:r>
      <w:r>
        <w:rPr>
          <w:rFonts w:ascii="Arial" w:cs="Arial" w:eastAsia="Arial" w:hAnsi="Arial"/>
          <w:sz w:val="14"/>
          <w:szCs w:val="14"/>
          <w:color w:val="auto"/>
        </w:rPr>
        <w:t>th</w:t>
      </w:r>
      <w:r>
        <w:rPr>
          <w:rFonts w:ascii="Arial" w:cs="Arial" w:eastAsia="Arial" w:hAnsi="Arial"/>
          <w:sz w:val="17"/>
          <w:szCs w:val="17"/>
          <w:color w:val="auto"/>
        </w:rPr>
        <w:t xml:space="preserve"> Floor, Charlotte, North Carolina 28202. We will notify you of any change in the office’s location. At our option, however, we may make any interest payments on debt securities issued in registered form by:</w:t>
      </w:r>
    </w:p>
    <w:p>
      <w:pPr>
        <w:spacing w:after="0" w:line="71"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mailing checks to you at the address as it appears in the applicable register for the series of debt securities;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wire transfer of immediately available funds to an account you maintain located in the United States.</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Unless we say otherwise in a prospectus supplement, we will pay interest to the person whose name is in the register at the close of business on the regular record date for such interest.</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Unless we say otherwise in a prospectus supplement, payment of interest on bearer securities may be made by transfer to an account you maintain with a bank located outside the United States.</w:t>
      </w:r>
    </w:p>
    <w:p>
      <w:pPr>
        <w:spacing w:after="0" w:line="17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Unless we say otherwise in a prospectus supplement, you may transfer or exchange debt securities issued in registered form at an office or agency that we designate. You may transfer or exchange debt securities without service charge, although we may require you to pay any related tax or other governmental charge.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issue debt securities of a series in the form of one or more fully registered global securities. Each registered global security will:</w:t>
      </w:r>
    </w:p>
    <w:p>
      <w:pPr>
        <w:spacing w:after="0" w:line="131"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registered in the name of a depositary or a nominee for the depositary;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deposited with the depositary or nominee or a custodian therefor;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bear a legend regarding the restrictions on exchanges and registration of transfer and any such other appropriate matters.</w:t>
      </w:r>
    </w:p>
    <w:p>
      <w:pPr>
        <w:spacing w:after="0" w:line="225"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Unless we say otherwise in a prospectus supplement, each indenture contains or will contain the following covenants. Any additional material covenants applicable to any series of debt securities will be set forth in a prospectus supplement.</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b w:val="1"/>
          <w:bCs w:val="1"/>
          <w:i w:val="1"/>
          <w:iCs w:val="1"/>
          <w:color w:val="auto"/>
        </w:rPr>
        <w:t xml:space="preserve">Existence. </w:t>
      </w:r>
      <w:r>
        <w:rPr>
          <w:rFonts w:ascii="Arial" w:cs="Arial" w:eastAsia="Arial" w:hAnsi="Arial"/>
          <w:sz w:val="17"/>
          <w:szCs w:val="17"/>
          <w:color w:val="auto"/>
        </w:rPr>
        <w:t>Except as permitted under “Consolidation, Merger or Sale of Assets,” we will do or cause to be done all things necessary to preserve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keep 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b w:val="1"/>
          <w:bCs w:val="1"/>
          <w:i w:val="1"/>
          <w:iCs w:val="1"/>
          <w:color w:val="auto"/>
        </w:rPr>
        <w:t xml:space="preserve">Maintenance of Properties. </w:t>
      </w:r>
      <w:r>
        <w:rPr>
          <w:rFonts w:ascii="Arial" w:cs="Arial" w:eastAsia="Arial" w:hAnsi="Arial"/>
          <w:sz w:val="17"/>
          <w:szCs w:val="17"/>
          <w:color w:val="auto"/>
        </w:rPr>
        <w:t>We will cause all of our material properties used or useful in the conduct of our business to be maintained and kept in good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of Taxes and Other Claims. </w:t>
      </w:r>
      <w:r>
        <w:rPr>
          <w:rFonts w:ascii="Arial" w:cs="Arial" w:eastAsia="Arial" w:hAnsi="Arial"/>
          <w:sz w:val="18"/>
          <w:szCs w:val="18"/>
          <w:color w:val="auto"/>
        </w:rPr>
        <w:t>We will pay or discharge or cause to be paid or discharged, before they shall become delinquent:</w:t>
      </w:r>
    </w:p>
    <w:p>
      <w:pPr>
        <w:spacing w:after="0" w:line="131"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taxes, assessments and governmental charges levied or imposed upon us or upon our income, profits or property,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lawful claims for labor, materials and supplies which, if unpaid, might by law become a lien upon our property;</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70"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b w:val="1"/>
          <w:bCs w:val="1"/>
          <w:i w:val="1"/>
          <w:iCs w:val="1"/>
          <w:color w:val="auto"/>
        </w:rPr>
        <w:t xml:space="preserve">Provision of Financial Information. </w:t>
      </w:r>
      <w:r>
        <w:rPr>
          <w:rFonts w:ascii="Arial" w:cs="Arial" w:eastAsia="Arial" w:hAnsi="Arial"/>
          <w:sz w:val="16"/>
          <w:szCs w:val="16"/>
          <w:color w:val="auto"/>
        </w:rPr>
        <w:t>Whether or not we are subject to Section 13 or 15(d) of the Exchange Act, we will, within 15 days of each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 dates by which we would have been required to file annual reports, quarterly reports and other documents with the SEC if we were so subject:</w:t>
      </w:r>
    </w:p>
    <w:p>
      <w:pPr>
        <w:spacing w:after="0" w:line="29" w:lineRule="exact"/>
        <w:rPr>
          <w:sz w:val="20"/>
          <w:szCs w:val="20"/>
          <w:color w:val="auto"/>
        </w:rPr>
      </w:pPr>
    </w:p>
    <w:p>
      <w:pPr>
        <w:jc w:val="both"/>
        <w:ind w:left="900" w:right="200" w:hanging="446"/>
        <w:spacing w:after="0" w:line="264"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86"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75" w:lineRule="exact"/>
        <w:rPr>
          <w:rFonts w:ascii="Arial" w:cs="Arial" w:eastAsia="Arial" w:hAnsi="Arial"/>
          <w:sz w:val="18"/>
          <w:szCs w:val="18"/>
          <w:color w:val="auto"/>
        </w:rPr>
      </w:pPr>
    </w:p>
    <w:p>
      <w:pPr>
        <w:ind w:left="900" w:right="72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promptly, upon written request and payment of the reasonable cost of duplication and delivery, supply copies of those documents to any prospective holder.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121" w:lineRule="exact"/>
        <w:rPr>
          <w:sz w:val="20"/>
          <w:szCs w:val="20"/>
          <w:color w:val="auto"/>
        </w:rPr>
      </w:pPr>
    </w:p>
    <w:p>
      <w:pPr>
        <w:ind w:right="680" w:firstLine="456"/>
        <w:spacing w:after="0" w:line="342" w:lineRule="auto"/>
        <w:rPr>
          <w:sz w:val="20"/>
          <w:szCs w:val="20"/>
          <w:color w:val="auto"/>
        </w:rPr>
      </w:pPr>
      <w:r>
        <w:rPr>
          <w:rFonts w:ascii="Arial" w:cs="Arial" w:eastAsia="Arial" w:hAnsi="Arial"/>
          <w:sz w:val="16"/>
          <w:szCs w:val="16"/>
          <w:color w:val="auto"/>
        </w:rPr>
        <w:t>We may consolidate with, or sell, lease or convey all or substantially all of our assets, or merge with or into any other corporation, association, partnership, company or business trust, each of which we refer to herein as an entity, provided that we satisfy all of the following conditions:</w:t>
      </w:r>
    </w:p>
    <w:p>
      <w:pPr>
        <w:spacing w:after="0" w:line="29"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we must be the continuing entity, or</w:t>
      </w:r>
    </w:p>
    <w:p>
      <w:pPr>
        <w:spacing w:after="0" w:line="130" w:lineRule="exact"/>
        <w:rPr>
          <w:rFonts w:ascii="Arial" w:cs="Arial" w:eastAsia="Arial" w:hAnsi="Arial"/>
          <w:sz w:val="18"/>
          <w:szCs w:val="18"/>
          <w:color w:val="auto"/>
        </w:rPr>
      </w:pPr>
    </w:p>
    <w:p>
      <w:pPr>
        <w:ind w:left="1460" w:right="140" w:hanging="547"/>
        <w:spacing w:after="0" w:line="264" w:lineRule="auto"/>
        <w:tabs>
          <w:tab w:leader="none" w:pos="14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86"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transactions, no default or event of default under the debt securities shall have occurred and be continuing; and</w:t>
      </w:r>
    </w:p>
    <w:p>
      <w:pPr>
        <w:spacing w:after="0" w:line="75"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b w:val="1"/>
          <w:bCs w:val="1"/>
          <w:i w:val="1"/>
          <w:iCs w:val="1"/>
          <w:color w:val="auto"/>
        </w:rPr>
        <w:t xml:space="preserve">Generally. </w:t>
      </w:r>
      <w:r>
        <w:rPr>
          <w:rFonts w:ascii="Arial" w:cs="Arial" w:eastAsia="Arial" w:hAnsi="Arial"/>
          <w:sz w:val="18"/>
          <w:szCs w:val="18"/>
          <w:color w:val="auto"/>
        </w:rPr>
        <w:t>Unless we say otherwise in a prospectus supplement, the payment of principal, premium, if any, and interest on subordinated debt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8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Unless we say otherwise in a prospectus supplement, senior debt will be defined as the principal of and interest on, or substantially similar payments to be made by us in respect of, the following, whether outstanding at the date of execution of any subordinated indenture or thereafter incurred, created or assumed:</w:t>
      </w:r>
    </w:p>
    <w:p>
      <w:pPr>
        <w:spacing w:after="0" w:line="87"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indebtedness for money borrowed or represented by purchase-money obligations;</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indebtedness evidenced by notes, debentures, or bonds, or other securities issued under the provisions of an indenture, fiscal agency agreement or other instrument;</w:t>
      </w:r>
    </w:p>
    <w:p>
      <w:pPr>
        <w:spacing w:after="0" w:line="75" w:lineRule="exact"/>
        <w:rPr>
          <w:rFonts w:ascii="Arial" w:cs="Arial" w:eastAsia="Arial" w:hAnsi="Arial"/>
          <w:sz w:val="18"/>
          <w:szCs w:val="18"/>
          <w:color w:val="auto"/>
        </w:rPr>
      </w:pPr>
    </w:p>
    <w:p>
      <w:pPr>
        <w:ind w:left="900" w:right="760" w:hanging="446"/>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obligations as lessee under leases of property whether made as part of any sale and leaseback transaction to which we are a party or otherwise;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indebtedness of partnerships and joint ventures which is included in our consolidated financial statements;</w:t>
      </w:r>
    </w:p>
    <w:p>
      <w:pPr>
        <w:spacing w:after="0" w:line="130" w:lineRule="exact"/>
        <w:rPr>
          <w:rFonts w:ascii="Arial" w:cs="Arial" w:eastAsia="Arial" w:hAnsi="Arial"/>
          <w:sz w:val="18"/>
          <w:szCs w:val="18"/>
          <w:color w:val="auto"/>
        </w:rPr>
      </w:pPr>
    </w:p>
    <w:p>
      <w:pPr>
        <w:ind w:left="900" w:right="80" w:hanging="446"/>
        <w:spacing w:after="0" w:line="308" w:lineRule="auto"/>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51" w:lineRule="exact"/>
        <w:rPr>
          <w:rFonts w:ascii="Arial" w:cs="Arial" w:eastAsia="Arial" w:hAnsi="Arial"/>
          <w:sz w:val="17"/>
          <w:szCs w:val="17"/>
          <w:color w:val="auto"/>
        </w:rPr>
      </w:pPr>
    </w:p>
    <w:p>
      <w:pPr>
        <w:ind w:left="900" w:right="100" w:hanging="446"/>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binding commitment to fund any real estate investment or to fund any investment in any entity making a real estate investment, in each case other than</w:t>
      </w:r>
    </w:p>
    <w:p>
      <w:pPr>
        <w:spacing w:after="0" w:line="75" w:lineRule="exact"/>
        <w:rPr>
          <w:rFonts w:ascii="Arial" w:cs="Arial" w:eastAsia="Arial" w:hAnsi="Arial"/>
          <w:sz w:val="18"/>
          <w:szCs w:val="18"/>
          <w:color w:val="auto"/>
        </w:rPr>
      </w:pPr>
    </w:p>
    <w:p>
      <w:pPr>
        <w:ind w:left="1460" w:right="60" w:hanging="547"/>
        <w:spacing w:after="0" w:line="312" w:lineRule="auto"/>
        <w:tabs>
          <w:tab w:leader="none" w:pos="14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52" w:lineRule="exact"/>
        <w:rPr>
          <w:rFonts w:ascii="Arial" w:cs="Arial" w:eastAsia="Arial" w:hAnsi="Arial"/>
          <w:sz w:val="16"/>
          <w:szCs w:val="16"/>
          <w:color w:val="auto"/>
        </w:rPr>
      </w:pPr>
    </w:p>
    <w:p>
      <w:pPr>
        <w:ind w:left="1460" w:right="80" w:hanging="547"/>
        <w:spacing w:after="0" w:line="277" w:lineRule="auto"/>
        <w:tabs>
          <w:tab w:leader="none" w:pos="14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subordinated debt securities.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there will be no restrictions in any subordinated indenture upon the creation of additional senior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b w:val="1"/>
          <w:bCs w:val="1"/>
          <w:i w:val="1"/>
          <w:iCs w:val="1"/>
          <w:color w:val="auto"/>
        </w:rPr>
        <w:t xml:space="preserve">Payment Blockage for Payment Defaults. </w:t>
      </w:r>
      <w:r>
        <w:rPr>
          <w:rFonts w:ascii="Arial" w:cs="Arial" w:eastAsia="Arial" w:hAnsi="Arial"/>
          <w:sz w:val="18"/>
          <w:szCs w:val="18"/>
          <w:color w:val="auto"/>
        </w:rPr>
        <w:t>Unless we say otherwise in a prospectus supplement, if we have defaulted in the payment of any senior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may not:</w:t>
      </w:r>
    </w:p>
    <w:p>
      <w:pPr>
        <w:spacing w:after="0" w:line="76"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 any principal, premium, if any, or interest on subordinated debt securities;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purchase, redeem, defease, or otherwise acquire any subordinated debt securities.</w:t>
      </w:r>
    </w:p>
    <w:p>
      <w:pPr>
        <w:spacing w:after="0" w:line="225"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This prohibition will not affect any payment we have already made to defease debt securities, as described under “— Defeasance or Covenant Defeasance of Indentures,” below.</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We must resume payment on our subordinated debt securities, and make any payments we have missed, when one of the following has occurred:</w:t>
      </w:r>
    </w:p>
    <w:p>
      <w:pPr>
        <w:spacing w:after="0" w:line="142"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senior debt has been discharged or paid in full;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holders of senior debt have waived payment;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payment default has otherwise been cured or ceased to exist.</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Payment Blockage for Non-Payment Defaults. </w:t>
      </w:r>
      <w:r>
        <w:rPr>
          <w:rFonts w:ascii="Arial" w:cs="Arial" w:eastAsia="Arial" w:hAnsi="Arial"/>
          <w:sz w:val="18"/>
          <w:szCs w:val="18"/>
          <w:color w:val="auto"/>
        </w:rPr>
        <w:t>Unless we say otherwise in a prospectus supplement, we will also be prohibited from paying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or distributing any assets if:</w:t>
      </w:r>
    </w:p>
    <w:p>
      <w:pPr>
        <w:spacing w:after="0" w:line="76" w:lineRule="exact"/>
        <w:rPr>
          <w:sz w:val="20"/>
          <w:szCs w:val="20"/>
          <w:color w:val="auto"/>
        </w:rPr>
      </w:pPr>
    </w:p>
    <w:p>
      <w:pPr>
        <w:ind w:left="5660" w:right="2000" w:hanging="5206"/>
        <w:spacing w:after="0" w:line="449" w:lineRule="auto"/>
        <w:tabs>
          <w:tab w:leader="none" w:pos="89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have defaulted on senior debt in a way that does not involve a failure to pay amounts but accelerates payment; and 9</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and the trustee for the subordinated debt securities have received written notice of this default.</w:t>
      </w:r>
    </w:p>
    <w:p>
      <w:pPr>
        <w:spacing w:after="0" w:line="225"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Unless we say otherwise in a prospectus supplement, we will be required to suspend payments and distributions on our subordinated debt securities starting when we receive notice of the applicable default. We may resume payments on our subordinated debt securities, and make any payments we have missed, upon the earliest of:</w:t>
      </w:r>
    </w:p>
    <w:p>
      <w:pPr>
        <w:spacing w:after="0" w:line="87"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date that is 179 days after receipt of notice (unless we have previously been required to pay all amounts owing on the applicable senior debt);</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date the default and all other similar defaults as to which notice has been given shall have been cured, waived or shall have ceased to exist;</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date the applicable senior debt (and all other senior debt as to which notice has been given) shall have been discharged or paid in full; and</w:t>
      </w:r>
    </w:p>
    <w:p>
      <w:pPr>
        <w:spacing w:after="0" w:line="153" w:lineRule="exact"/>
        <w:rPr>
          <w:rFonts w:ascii="Arial" w:cs="Arial" w:eastAsia="Arial" w:hAnsi="Arial"/>
          <w:sz w:val="16"/>
          <w:szCs w:val="16"/>
          <w:color w:val="auto"/>
        </w:rPr>
      </w:pPr>
    </w:p>
    <w:p>
      <w:pPr>
        <w:ind w:left="90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7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12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Unless we say otherwise in a prospectus supplement, each of the following is an event of default as to any of our senior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subordinated debt securities:</w:t>
      </w:r>
    </w:p>
    <w:p>
      <w:pPr>
        <w:spacing w:after="0" w:line="170" w:lineRule="exact"/>
        <w:rPr>
          <w:sz w:val="20"/>
          <w:szCs w:val="20"/>
          <w:color w:val="auto"/>
        </w:rPr>
      </w:pPr>
    </w:p>
    <w:p>
      <w:pPr>
        <w:ind w:right="140" w:firstLine="464"/>
        <w:spacing w:after="0" w:line="277" w:lineRule="auto"/>
        <w:tabs>
          <w:tab w:leader="none" w:pos="627"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170" w:lineRule="exact"/>
        <w:rPr>
          <w:rFonts w:ascii="Arial" w:cs="Arial" w:eastAsia="Arial" w:hAnsi="Arial"/>
          <w:sz w:val="18"/>
          <w:szCs w:val="18"/>
          <w:color w:val="auto"/>
        </w:rPr>
      </w:pPr>
    </w:p>
    <w:p>
      <w:pPr>
        <w:ind w:right="280" w:firstLine="464"/>
        <w:spacing w:after="0" w:line="277" w:lineRule="auto"/>
        <w:tabs>
          <w:tab w:leader="none" w:pos="627"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225" w:lineRule="exact"/>
        <w:rPr>
          <w:rFonts w:ascii="Arial" w:cs="Arial" w:eastAsia="Arial" w:hAnsi="Arial"/>
          <w:sz w:val="18"/>
          <w:szCs w:val="18"/>
          <w:color w:val="auto"/>
        </w:rPr>
      </w:pPr>
    </w:p>
    <w:p>
      <w:pPr>
        <w:ind w:firstLine="464"/>
        <w:spacing w:after="0" w:line="264" w:lineRule="auto"/>
        <w:tabs>
          <w:tab w:leader="none" w:pos="627"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181" w:lineRule="exact"/>
        <w:rPr>
          <w:sz w:val="20"/>
          <w:szCs w:val="20"/>
          <w:color w:val="auto"/>
        </w:rPr>
      </w:pPr>
    </w:p>
    <w:p>
      <w:pPr>
        <w:ind w:left="700" w:hanging="23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us and the trustee by the holders of at least 25% in aggregate principal amount of the outstanding debt securities of the series.</w:t>
      </w:r>
    </w:p>
    <w:p>
      <w:pPr>
        <w:spacing w:after="0" w:line="225" w:lineRule="exact"/>
        <w:rPr>
          <w:sz w:val="20"/>
          <w:szCs w:val="20"/>
          <w:color w:val="auto"/>
        </w:rPr>
      </w:pPr>
    </w:p>
    <w:p>
      <w:pPr>
        <w:ind w:right="20" w:firstLine="464"/>
        <w:spacing w:after="0" w:line="271" w:lineRule="auto"/>
        <w:tabs>
          <w:tab w:leader="none" w:pos="633"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$25,000,000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$25,000,000,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178" w:lineRule="exact"/>
        <w:rPr>
          <w:rFonts w:ascii="Arial" w:cs="Arial" w:eastAsia="Arial" w:hAnsi="Arial"/>
          <w:sz w:val="17"/>
          <w:szCs w:val="17"/>
          <w:color w:val="auto"/>
        </w:rPr>
      </w:pPr>
    </w:p>
    <w:p>
      <w:pPr>
        <w:ind w:left="640" w:hanging="17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225" w:lineRule="exact"/>
        <w:rPr>
          <w:sz w:val="20"/>
          <w:szCs w:val="20"/>
          <w:color w:val="auto"/>
        </w:rPr>
      </w:pPr>
    </w:p>
    <w:p>
      <w:pPr>
        <w:ind w:left="5620" w:right="4740" w:hanging="5156"/>
        <w:spacing w:after="0" w:line="490" w:lineRule="auto"/>
        <w:tabs>
          <w:tab w:leader="none" w:pos="705" w:val="left"/>
        </w:tabs>
        <w:numPr>
          <w:ilvl w:val="0"/>
          <w:numId w:val="30"/>
        </w:numPr>
        <w:rPr>
          <w:rFonts w:ascii="Arial" w:cs="Arial" w:eastAsia="Arial" w:hAnsi="Arial"/>
          <w:sz w:val="17"/>
          <w:szCs w:val="17"/>
          <w:color w:val="auto"/>
        </w:rPr>
      </w:pPr>
      <w:r>
        <w:rPr>
          <w:rFonts w:ascii="Arial" w:cs="Arial" w:eastAsia="Arial" w:hAnsi="Arial"/>
          <w:sz w:val="17"/>
          <w:szCs w:val="17"/>
          <w:color w:val="auto"/>
        </w:rPr>
        <w:t>is for relief against us or any of our significant subsidiaries in an involuntary case, 10</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20" w:hanging="256"/>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appoints a receiver in respect of us or any of our significant subsidiaries or for all or substantially all of the property of any of us; or</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orders our liquidation or the liquidation of any of our significant subsidiaries, and the order or decree remains unstayed and in effect for 90 days.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 We or any of our significant subsidiaries do any of the following:</w:t>
      </w:r>
    </w:p>
    <w:p>
      <w:pPr>
        <w:spacing w:after="0" w:line="225" w:lineRule="exact"/>
        <w:rPr>
          <w:sz w:val="20"/>
          <w:szCs w:val="20"/>
          <w:color w:val="auto"/>
        </w:rPr>
      </w:pPr>
    </w:p>
    <w:p>
      <w:pPr>
        <w:ind w:left="700" w:hanging="23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225" w:lineRule="exact"/>
        <w:rPr>
          <w:rFonts w:ascii="Arial" w:cs="Arial" w:eastAsia="Arial" w:hAnsi="Arial"/>
          <w:sz w:val="18"/>
          <w:szCs w:val="18"/>
          <w:color w:val="auto"/>
        </w:rPr>
      </w:pPr>
    </w:p>
    <w:p>
      <w:pPr>
        <w:ind w:right="180" w:firstLine="464"/>
        <w:spacing w:after="0" w:line="277" w:lineRule="auto"/>
        <w:tabs>
          <w:tab w:leader="none" w:pos="711"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consent to the appointment of a receiver in respect of us or any of our significant subsidiaries for all or substantially all of our or its property; or</w:t>
      </w:r>
    </w:p>
    <w:p>
      <w:pPr>
        <w:spacing w:after="0" w:line="236" w:lineRule="exact"/>
        <w:rPr>
          <w:rFonts w:ascii="Arial" w:cs="Arial" w:eastAsia="Arial" w:hAnsi="Arial"/>
          <w:sz w:val="17"/>
          <w:szCs w:val="17"/>
          <w:color w:val="auto"/>
        </w:rPr>
      </w:pPr>
    </w:p>
    <w:p>
      <w:pPr>
        <w:ind w:left="720" w:hanging="256"/>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 Any other event of default provided with respect to the debt securities of that series.</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Waiver of Default. </w:t>
      </w:r>
      <w:r>
        <w:rPr>
          <w:rFonts w:ascii="Arial" w:cs="Arial" w:eastAsia="Arial" w:hAnsi="Arial"/>
          <w:sz w:val="18"/>
          <w:szCs w:val="18"/>
          <w:color w:val="auto"/>
        </w:rPr>
        <w:t>Unless we say otherwise in a prospectus supplement, holders of not less than a majority of the debt securities of a series may waive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past default except for:</w:t>
      </w:r>
    </w:p>
    <w:p>
      <w:pPr>
        <w:spacing w:after="0" w:line="76"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payment default;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default on any provision that requires the consent of all holders to modify.</w:t>
      </w:r>
    </w:p>
    <w:p>
      <w:pPr>
        <w:spacing w:after="0" w:line="225"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b w:val="1"/>
          <w:bCs w:val="1"/>
          <w:i w:val="1"/>
          <w:iCs w:val="1"/>
          <w:color w:val="auto"/>
        </w:rPr>
        <w:t xml:space="preserve">Acceleration of Payment. </w:t>
      </w:r>
      <w:r>
        <w:rPr>
          <w:rFonts w:ascii="Arial" w:cs="Arial" w:eastAsia="Arial" w:hAnsi="Arial"/>
          <w:sz w:val="16"/>
          <w:szCs w:val="16"/>
          <w:color w:val="auto"/>
        </w:rPr>
        <w:t>Unless we say otherwise in a prospectus supplement, each indenture provides or will provide that if an event of default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occurs and continues, the trustee or the holders of not less than 25% in aggregate principal amount of the debt securities of the applicable series outstanding may declare all unpaid principal of, premium, if 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15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b w:val="1"/>
          <w:bCs w:val="1"/>
          <w:i w:val="1"/>
          <w:iCs w:val="1"/>
          <w:color w:val="auto"/>
        </w:rPr>
        <w:t xml:space="preserve">Waiver of Acceleration. </w:t>
      </w:r>
      <w:r>
        <w:rPr>
          <w:rFonts w:ascii="Arial" w:cs="Arial" w:eastAsia="Arial" w:hAnsi="Arial"/>
          <w:sz w:val="17"/>
          <w:szCs w:val="17"/>
          <w:color w:val="auto"/>
        </w:rPr>
        <w:t>Unless we say otherwise in a prospectus supplement, each indenture provides or will provide that, after a declaration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acceleration, but 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71"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130" w:lineRule="exact"/>
        <w:rPr>
          <w:rFonts w:ascii="Arial" w:cs="Arial" w:eastAsia="Arial" w:hAnsi="Arial"/>
          <w:sz w:val="18"/>
          <w:szCs w:val="18"/>
          <w:color w:val="auto"/>
        </w:rPr>
      </w:pPr>
    </w:p>
    <w:p>
      <w:pPr>
        <w:ind w:left="1460" w:right="660" w:hanging="547"/>
        <w:spacing w:after="0" w:line="277" w:lineRule="auto"/>
        <w:tabs>
          <w:tab w:leader="none" w:pos="14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overdue interest and any additional amounts payable on all outstanding debt securities of the applicable series and any related coupons,</w:t>
      </w:r>
    </w:p>
    <w:p>
      <w:pPr>
        <w:spacing w:after="0" w:line="75" w:lineRule="exact"/>
        <w:rPr>
          <w:rFonts w:ascii="Arial" w:cs="Arial" w:eastAsia="Arial" w:hAnsi="Arial"/>
          <w:sz w:val="18"/>
          <w:szCs w:val="18"/>
          <w:color w:val="auto"/>
        </w:rPr>
      </w:pPr>
    </w:p>
    <w:p>
      <w:pPr>
        <w:ind w:left="1460" w:hanging="547"/>
        <w:spacing w:after="0" w:line="277" w:lineRule="auto"/>
        <w:tabs>
          <w:tab w:leader="none" w:pos="14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principal of and premium, if any, on any debt securities of the applicable series which have become due other than by such declaration of acceleration, plus interest thereon at the rate borne by the debt securities,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34"/>
        </w:numPr>
        <w:rPr>
          <w:rFonts w:ascii="Arial" w:cs="Arial" w:eastAsia="Arial" w:hAnsi="Arial"/>
          <w:sz w:val="17"/>
          <w:szCs w:val="17"/>
          <w:color w:val="auto"/>
        </w:rPr>
      </w:pPr>
      <w:r>
        <w:rPr>
          <w:rFonts w:ascii="Arial" w:cs="Arial" w:eastAsia="Arial" w:hAnsi="Arial"/>
          <w:sz w:val="17"/>
          <w:szCs w:val="17"/>
          <w:color w:val="auto"/>
        </w:rPr>
        <w:t>to the extent that payment of such interest is lawful, interest upon overdue interest at the rate borne by the debt securities, and</w:t>
      </w:r>
    </w:p>
    <w:p>
      <w:pPr>
        <w:spacing w:after="0" w:line="142" w:lineRule="exact"/>
        <w:rPr>
          <w:rFonts w:ascii="Arial" w:cs="Arial" w:eastAsia="Arial" w:hAnsi="Arial"/>
          <w:sz w:val="17"/>
          <w:szCs w:val="17"/>
          <w:color w:val="auto"/>
        </w:rPr>
      </w:pPr>
    </w:p>
    <w:p>
      <w:pPr>
        <w:ind w:left="1460" w:right="120" w:hanging="547"/>
        <w:spacing w:after="0" w:line="277" w:lineRule="auto"/>
        <w:tabs>
          <w:tab w:leader="none" w:pos="14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sums paid or advanced by the trustee under the indenture and the reasonable compensation, expenses, disbursements and advances of the trustee, its agents and counsel; and</w:t>
      </w:r>
    </w:p>
    <w:p>
      <w:pPr>
        <w:spacing w:after="0" w:line="75" w:lineRule="exact"/>
        <w:rPr>
          <w:rFonts w:ascii="Arial" w:cs="Arial" w:eastAsia="Arial" w:hAnsi="Arial"/>
          <w:sz w:val="18"/>
          <w:szCs w:val="18"/>
          <w:color w:val="auto"/>
        </w:rPr>
      </w:pPr>
    </w:p>
    <w:p>
      <w:pPr>
        <w:ind w:left="900" w:right="68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principal of the debt securities which have become due solely by such declaration of acceleration, have been cured or waived.</w:t>
      </w:r>
    </w:p>
    <w:p>
      <w:pPr>
        <w:spacing w:after="0" w:line="1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i w:val="1"/>
          <w:iCs w:val="1"/>
          <w:color w:val="auto"/>
        </w:rPr>
        <w:t xml:space="preserve">Notices of Default. </w:t>
      </w:r>
      <w:r>
        <w:rPr>
          <w:rFonts w:ascii="Arial" w:cs="Arial" w:eastAsia="Arial" w:hAnsi="Arial"/>
          <w:sz w:val="17"/>
          <w:szCs w:val="17"/>
          <w:color w:val="auto"/>
        </w:rPr>
        <w:t>Unless we say otherwise in a prospectus supplement, we are required to deliver to the trustee, on or before a date not more than 120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days after the end of each fiscal year, a certificate of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 however, that the trustee may withhold notice to the holders of any series of debt securities of any default with respect to such series (except a default in the payment of the principal of, and premium, if any, or interest on or any additional amounts with respect to any debt security of such series or in the payment of any sinking fund installment in respect of any debt security of such series) if the trustee considers such withholding to be in the interest of the holders.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b w:val="1"/>
          <w:bCs w:val="1"/>
          <w:i w:val="1"/>
          <w:iCs w:val="1"/>
          <w:color w:val="auto"/>
        </w:rPr>
        <w:t xml:space="preserve">Limitation on Suits. </w:t>
      </w:r>
      <w:r>
        <w:rPr>
          <w:rFonts w:ascii="Arial" w:cs="Arial" w:eastAsia="Arial" w:hAnsi="Arial"/>
          <w:sz w:val="17"/>
          <w:szCs w:val="17"/>
          <w:color w:val="auto"/>
        </w:rPr>
        <w:t>Unless we say otherwise in a prospectus supplement, each indenture provides or will provide that no holders of debt securities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series may institute any proceedings, judicial or otherwise, with respect to the indenture or for any remedy thereunder unless the trustee has failed to act for a period of 60 days after it has received a written request to institute proceedings in respect of an event of default from the holders of not less than 25% in aggregate principal amount of the debt securities of the applicable series outstanding together with an offer of indemnity from such holders that is reasonably satisfactory to the trustee and the trustee has received no direction inconsistent with such written request during such 60-day period from the holders of a majority in aggregate principal amount of the debt securities of the applicable series outstanding.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79"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b w:val="1"/>
          <w:bCs w:val="1"/>
          <w:i w:val="1"/>
          <w:iCs w:val="1"/>
          <w:color w:val="auto"/>
        </w:rPr>
        <w:t xml:space="preserve">Obligations of Trustee. </w:t>
      </w:r>
      <w:r>
        <w:rPr>
          <w:rFonts w:ascii="Arial" w:cs="Arial" w:eastAsia="Arial" w:hAnsi="Arial"/>
          <w:sz w:val="17"/>
          <w:szCs w:val="17"/>
          <w:color w:val="auto"/>
        </w:rPr>
        <w:t>Unless we say otherwise in a prospectus supplement, the trustee is under no obligation to exercise any of the rights or powers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66"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66"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or Covenant Defeasance of Indenture</w:t>
      </w:r>
    </w:p>
    <w:p>
      <w:pPr>
        <w:spacing w:after="0" w:line="12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87" w:lineRule="exact"/>
        <w:rPr>
          <w:sz w:val="20"/>
          <w:szCs w:val="20"/>
          <w:color w:val="auto"/>
        </w:rPr>
      </w:pPr>
    </w:p>
    <w:p>
      <w:pPr>
        <w:ind w:left="900" w:right="22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75" w:lineRule="exact"/>
        <w:rPr>
          <w:rFonts w:ascii="Arial" w:cs="Arial" w:eastAsia="Arial" w:hAnsi="Arial"/>
          <w:sz w:val="18"/>
          <w:szCs w:val="18"/>
          <w:color w:val="auto"/>
        </w:rPr>
      </w:pPr>
    </w:p>
    <w:p>
      <w:pPr>
        <w:ind w:left="900" w:right="200" w:hanging="446"/>
        <w:spacing w:after="0" w:line="34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22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will also be able to free ourselves from certain covenants that are described in an indenture by taking the actions described below. The discharge of obligations using this process is known as “covenant defeasance.” If 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Unless we say otherwise in a prospectus supplement, in order to exercise either defeasance or covenant defeasance as to the outstanding debt securities of a series:</w:t>
      </w:r>
    </w:p>
    <w:p>
      <w:pPr>
        <w:spacing w:after="0" w:line="76"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must irrevocably deposit with the trustee, in trust, for the benefit of the holders of the debt securities of the applicable series, an amount in</w:t>
      </w:r>
    </w:p>
    <w:p>
      <w:pPr>
        <w:spacing w:after="0" w:line="46" w:lineRule="exact"/>
        <w:rPr>
          <w:rFonts w:ascii="Arial" w:cs="Arial" w:eastAsia="Arial" w:hAnsi="Arial"/>
          <w:sz w:val="16"/>
          <w:szCs w:val="16"/>
          <w:color w:val="auto"/>
        </w:rPr>
      </w:pPr>
    </w:p>
    <w:p>
      <w:pPr>
        <w:ind w:left="900" w:right="160"/>
        <w:spacing w:after="0" w:line="323" w:lineRule="auto"/>
        <w:rPr>
          <w:rFonts w:ascii="Arial" w:cs="Arial" w:eastAsia="Arial" w:hAnsi="Arial"/>
          <w:sz w:val="16"/>
          <w:szCs w:val="16"/>
          <w:color w:val="auto"/>
        </w:rPr>
      </w:pPr>
      <w:r>
        <w:rPr>
          <w:rFonts w:ascii="Arial" w:cs="Arial" w:eastAsia="Arial" w:hAnsi="Arial"/>
          <w:sz w:val="16"/>
          <w:szCs w:val="16"/>
          <w:color w:val="auto"/>
        </w:rPr>
        <w:t>(i) currency, currencies or currency units in which those debt securities are then specified as payable at maturity, (ii) government obligations (as defined in the applicable indenture) or (iii) any combination thereof, as will be sufficient, without consideration of reinvestment of</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principal and interest,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87"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the case of defeasance, we will deliver to the trustee an opinion of counsel confirming that either: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we have received from, or there has been published by, the Internal Revenue Service a ruling, or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since the date of execution of the indenture, there has been a change in the applicable federal income tax law,</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87" w:lineRule="exact"/>
        <w:rPr>
          <w:sz w:val="20"/>
          <w:szCs w:val="20"/>
          <w:color w:val="auto"/>
        </w:rPr>
      </w:pPr>
    </w:p>
    <w:p>
      <w:pPr>
        <w:ind w:left="900" w:right="220" w:hanging="446"/>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92"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 default, event of default or event which with notice or lapse of time or both would become an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86"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75" w:lineRule="exact"/>
        <w:rPr>
          <w:rFonts w:ascii="Arial" w:cs="Arial" w:eastAsia="Arial" w:hAnsi="Arial"/>
          <w:sz w:val="18"/>
          <w:szCs w:val="18"/>
          <w:color w:val="auto"/>
        </w:rPr>
      </w:pPr>
    </w:p>
    <w:p>
      <w:pPr>
        <w:ind w:left="900" w:right="20" w:hanging="446"/>
        <w:spacing w:after="0" w:line="286" w:lineRule="auto"/>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registrations under the Investment Company Act have been effected.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 and Amendments</w:t>
      </w:r>
    </w:p>
    <w:p>
      <w:pPr>
        <w:spacing w:after="0" w:line="121"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Unless we say otherwise in a prospectus supplement, we and the trustee may modify and amend either indenture with the consent of the holders of a majority in aggregate principal amount of the outstanding debt 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52"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interest on, any debt security;</w:t>
      </w:r>
    </w:p>
    <w:p>
      <w:pPr>
        <w:spacing w:after="0" w:line="130"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reduce the principal amount thereof or the rate of interest thereon or any premium payable upon the redemption thereof, or change any obligation of ours to pay additional amounts under the indenture, except as contemplated in the indenture, or reduce the amount of the principal of an original issue discount security that would be due and payable upon a declaration of acceleration of the maturity thereof or the amount thereof provable in bankruptcy;</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adversely affect any right of repayment at the option of the holder of any series of outstanding debt security;</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 the place of repayment where, or the currency, currency unit or composite currency in which, the principal or premium, if any, of any debt security or the interest thereon is payable;</w:t>
      </w:r>
    </w:p>
    <w:p>
      <w:pPr>
        <w:spacing w:after="0" w:line="75" w:lineRule="exact"/>
        <w:rPr>
          <w:rFonts w:ascii="Arial" w:cs="Arial" w:eastAsia="Arial" w:hAnsi="Arial"/>
          <w:sz w:val="18"/>
          <w:szCs w:val="18"/>
          <w:color w:val="auto"/>
        </w:rPr>
      </w:pPr>
    </w:p>
    <w:p>
      <w:pPr>
        <w:ind w:left="900" w:right="82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such payment after the stated maturity of the debt security (or in the case of redemption, on or after the redemption date);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64"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 reduce the requirements for quorum or voting as provided in the indenture; or</w:t>
      </w:r>
    </w:p>
    <w:p>
      <w:pPr>
        <w:spacing w:after="0" w:line="86"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8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76" w:lineRule="exact"/>
        <w:rPr>
          <w:sz w:val="20"/>
          <w:szCs w:val="20"/>
          <w:color w:val="auto"/>
        </w:rPr>
      </w:pPr>
    </w:p>
    <w:p>
      <w:pPr>
        <w:ind w:left="900" w:right="140" w:hanging="446"/>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evidences the succession of another person to us and the assumption by any such successor of any covenants under the indenture and in the debt securities of any series;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adds to our covenants for the benefit of the holders of all or any series of debt securities or surrenders any of our rights or powers;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adds any additional event of default for the benefit of the holders of all or any series of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secures the debt securities of any series;</w:t>
      </w:r>
    </w:p>
    <w:p>
      <w:pPr>
        <w:spacing w:after="0" w:line="130" w:lineRule="exact"/>
        <w:rPr>
          <w:rFonts w:ascii="Arial" w:cs="Arial" w:eastAsia="Arial" w:hAnsi="Arial"/>
          <w:sz w:val="18"/>
          <w:szCs w:val="18"/>
          <w:color w:val="auto"/>
        </w:rPr>
      </w:pPr>
    </w:p>
    <w:p>
      <w:pPr>
        <w:ind w:left="900" w:hanging="446"/>
        <w:spacing w:after="0" w:line="25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 provided that any such action shall not adversely affect the interests of the holders of any series of outstanding debt securities in any material respect;</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or eliminates any provision affecting only debt securities not yet issued;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establishes the form or terms of debt securities of any series not yet issued;</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75"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92"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 Discount</w:t>
      </w:r>
    </w:p>
    <w:p>
      <w:pPr>
        <w:spacing w:after="0" w:line="121"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78"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does not provide for the payment of interest prior to maturity;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60" w:hanging="446"/>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 issued at a price lower than its face value and provides that upon redemption or acceleration of its stated maturity an amount less than its principal amount shall become due and payable.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Unless we say otherwise in a prospectus supplement, we will send notices to holders of debt securities by mail to the holder’s address as it appears in the register.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each indenture and the debt securities will be governed by the laws of the State of New York.</w:t>
      </w: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SHARES OF BENEFICIAL INTEREST</w:t>
      </w:r>
    </w:p>
    <w:p>
      <w:pPr>
        <w:spacing w:after="0" w:line="2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are a Maryland REIT. Your rights as a shareholder are governed by the Code of Maryland, including Title 8 of the Corporations and Associations Article, or Maryland REIT Law, our declaration of trust, our bylaws and the articles supplementary with respect to our Series 1 preferred shares. The following summary of the material terms, rights and preferences of the shares of beneficial interest is not complete and is subject to and qualified in its entirety by reference to the laws of the State of Maryland, including Maryland REIT law, our declaration of trust, bylaws and the articles supplementary with respect to our Series 1 preferred shares.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121"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Our declaration of trust allows us to issue up to 100,000,000 common shares of beneficial interest, par value $0.01 per share, and 15,000,000 preferred shares of beneficial interest, par value $0.01 per share. As of May 4, 2015, we had issued and outstanding 68,682,443 common shares, and 399,896 preferred shares, which are designated as 5.417% Series 1 Cumulative Convertible Preferred Shares, which we refer to as the Series 1 preferred shares.</w:t>
      </w:r>
    </w:p>
    <w:p>
      <w:pPr>
        <w:spacing w:after="0" w:line="14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Authority of the Board of Trustees Relating to Authorization and Classification of Shares. </w:t>
      </w:r>
      <w:r>
        <w:rPr>
          <w:rFonts w:ascii="Arial" w:cs="Arial" w:eastAsia="Arial" w:hAnsi="Arial"/>
          <w:sz w:val="18"/>
          <w:szCs w:val="18"/>
          <w:color w:val="auto"/>
        </w:rPr>
        <w:t>Our declaration of trust allows our Board of Trustees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take the following actions without approval by you or any shareholder:</w:t>
      </w:r>
    </w:p>
    <w:p>
      <w:pPr>
        <w:spacing w:after="0" w:line="76" w:lineRule="exact"/>
        <w:rPr>
          <w:sz w:val="20"/>
          <w:szCs w:val="20"/>
          <w:color w:val="auto"/>
        </w:rPr>
      </w:pPr>
    </w:p>
    <w:p>
      <w:pPr>
        <w:ind w:left="900" w:right="28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classify or reclassify any authorized but unissued common shares or preferred shares into one or more classes or series of shares of beneficial interest;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amend the declaration of trust to change the total number of shares of beneficial interest authorized;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amend the declaration of trust to change the authorized number of shares of any class or series of shares of beneficial interest.</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1 preferred shares or any other class or series of shares of beneficial interest and the provisions of our declaration of trust regarding</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and any other shares of beneficial interest having a priority over our common shares in the event of our liquidation, dissolution or winding up. As noted above under “—Authorized Shares,” our outstanding Series 1 preferred shares rank prior to our common shares with respect to the payment of dividends and as to the distribution of assets in the event of our liquidation, dissolution or winding up.</w:t>
      </w:r>
    </w:p>
    <w:p>
      <w:pPr>
        <w:spacing w:after="0" w:line="178"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outstanding common share owned by a shareholder entitles that holder to one vote on all matters submitted to a vote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including the election of trustees.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all of the votes cast at a meeting of shareholders duly called and at which a quorum is present can elect a trustee. The holders of the remaining shares will not be able to elect any trustees.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holder of a common share, you will not have any right to:</w:t>
      </w:r>
    </w:p>
    <w:p>
      <w:pPr>
        <w:spacing w:after="0" w:line="131"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convert your shares into any other security;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have any funds set aside for future payments;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require us to repurchase your shares;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purchase any of our securities, if other securities are offered for sale, other than as a member of the general public.</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87" w:lineRule="exact"/>
        <w:rPr>
          <w:sz w:val="20"/>
          <w:szCs w:val="20"/>
          <w:color w:val="auto"/>
        </w:rPr>
      </w:pPr>
    </w:p>
    <w:p>
      <w:pPr>
        <w:jc w:val="both"/>
        <w:ind w:left="900" w:right="120" w:hanging="446"/>
        <w:spacing w:after="0" w:line="259"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election of trustees (which requires a plurality of all the votes cast at a meeting of our shareholders at which a quorum is present), provided, however, that if any trustee does not receive a majority of all the votes cast where the number of nominees is the same as the number of trustees to be elected, such trustee shall tender his or her resignation within five business days after certification of the vote and such resignation shall be acted upon by our Board of Trustees within sixty days of such certification;</w:t>
      </w:r>
    </w:p>
    <w:p>
      <w:pPr>
        <w:spacing w:after="0" w:line="92"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92" w:lineRule="exact"/>
        <w:rPr>
          <w:rFonts w:ascii="Arial" w:cs="Arial" w:eastAsia="Arial" w:hAnsi="Arial"/>
          <w:sz w:val="18"/>
          <w:szCs w:val="18"/>
          <w:color w:val="auto"/>
        </w:rPr>
      </w:pPr>
    </w:p>
    <w:p>
      <w:pPr>
        <w:ind w:left="900" w:hanging="446"/>
        <w:spacing w:after="0" w:line="286" w:lineRule="auto"/>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70" w:lineRule="exact"/>
        <w:rPr>
          <w:rFonts w:ascii="Arial" w:cs="Arial" w:eastAsia="Arial" w:hAnsi="Arial"/>
          <w:sz w:val="17"/>
          <w:szCs w:val="17"/>
          <w:color w:val="auto"/>
        </w:rPr>
      </w:pPr>
    </w:p>
    <w:p>
      <w:pPr>
        <w:ind w:left="900" w:right="20" w:hanging="446"/>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termination, winding up of affairs and liquidation (which requires, after approval by a majority of the entire Board of Trustees, the affirmative vote of two-thirds of all the votes entitled to be cast on the matter); and</w:t>
      </w:r>
    </w:p>
    <w:p>
      <w:pPr>
        <w:spacing w:after="0" w:line="75"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declaration of trust permits the Board of Trustees to revoke our election to be taxed as a REIT under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you or the other shareholders, to:</w:t>
      </w:r>
    </w:p>
    <w:p>
      <w:pPr>
        <w:spacing w:after="0" w:line="92"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qualify as a real estate investment trust under Maryland REIT law or the Code;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increase or decrease the authorized aggregate number of shares and number of authorized shares of any class or series.</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w:t>
      </w:r>
    </w:p>
    <w:p>
      <w:pPr>
        <w:spacing w:after="0" w:line="181" w:lineRule="exact"/>
        <w:rPr>
          <w:sz w:val="20"/>
          <w:szCs w:val="20"/>
          <w:color w:val="auto"/>
        </w:rPr>
      </w:pPr>
    </w:p>
    <w:p>
      <w:pPr>
        <w:jc w:val="both"/>
        <w:ind w:right="260" w:firstLine="456"/>
        <w:spacing w:after="0" w:line="286" w:lineRule="auto"/>
        <w:rPr>
          <w:sz w:val="20"/>
          <w:szCs w:val="20"/>
          <w:color w:val="auto"/>
        </w:rPr>
      </w:pPr>
      <w:r>
        <w:rPr>
          <w:rFonts w:ascii="Arial" w:cs="Arial" w:eastAsia="Arial" w:hAnsi="Arial"/>
          <w:sz w:val="17"/>
          <w:szCs w:val="17"/>
          <w:b w:val="1"/>
          <w:bCs w:val="1"/>
          <w:i w:val="1"/>
          <w:iCs w:val="1"/>
          <w:color w:val="auto"/>
        </w:rPr>
        <w:t xml:space="preserve">Preemptive Rights. </w:t>
      </w:r>
      <w:r>
        <w:rPr>
          <w:rFonts w:ascii="Arial" w:cs="Arial" w:eastAsia="Arial" w:hAnsi="Arial"/>
          <w:sz w:val="17"/>
          <w:szCs w:val="17"/>
          <w:color w:val="auto"/>
        </w:rPr>
        <w:t>Under the declaration of trust, no holder of shares of beneficial interest has any preemptive rights to subscribe to any issuance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Stock Exchange Listing. </w:t>
      </w:r>
      <w:r>
        <w:rPr>
          <w:rFonts w:ascii="Arial" w:cs="Arial" w:eastAsia="Arial" w:hAnsi="Arial"/>
          <w:sz w:val="18"/>
          <w:szCs w:val="18"/>
          <w:color w:val="auto"/>
        </w:rPr>
        <w:t>The common shares are traded on the New York Stock Exchange under the trading symbol “FRT.”</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common shares is American Stock Transfer &amp; Trust Company, LLC, New York,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1 Preferred Shares</w:t>
      </w:r>
    </w:p>
    <w:p>
      <w:pPr>
        <w:spacing w:after="0" w:line="12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In March 2007, we issued 399,896 Series 1 preferred shares and we filed articles supplementary to our declaration of trust setting forth the terms of the Series 1 preferred shares. Below is a brief description of the terms of the Series 1 preferred shares, which is subject to and qualified in its entirety by reference to the articles supplementary.</w:t>
      </w:r>
    </w:p>
    <w:p>
      <w:pPr>
        <w:spacing w:after="0" w:line="18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b w:val="1"/>
          <w:bCs w:val="1"/>
          <w:i w:val="1"/>
          <w:iCs w:val="1"/>
          <w:color w:val="auto"/>
        </w:rPr>
        <w:t xml:space="preserve">Rank. </w:t>
      </w:r>
      <w:r>
        <w:rPr>
          <w:rFonts w:ascii="Arial" w:cs="Arial" w:eastAsia="Arial" w:hAnsi="Arial"/>
          <w:sz w:val="17"/>
          <w:szCs w:val="17"/>
          <w:color w:val="auto"/>
        </w:rPr>
        <w:t>The Series 1 preferred shares rank prior to the common shares with respect to the payment of dividends and the distribution of assets upon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liquidation, dissolution or winding up. Our declaration of trust provides that, unless full cumulative dividends on all outstanding Series 1 preferred shares and any other class or series of our shares of beneficial interest ranking, as to the payment of dividends and the distribution of assets upon liquidation, dissolution or winding up, on a parity with the Series 1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1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178"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Each Series 1 preferred share is entitled to receive, when, as and if authorized by our Board of Trustees out of funds legally available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purpose, cumulative preferential dividends payable in cash at a rate of 5.417% of the liquidation price of $25, which is equivalent to $1.35425 per annum.</w:t>
      </w:r>
    </w:p>
    <w:p>
      <w:pPr>
        <w:spacing w:after="0" w:line="124"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b w:val="1"/>
          <w:bCs w:val="1"/>
          <w:i w:val="1"/>
          <w:iCs w:val="1"/>
          <w:color w:val="auto"/>
        </w:rPr>
        <w:t xml:space="preserve">Liquidation Preference. </w:t>
      </w:r>
      <w:r>
        <w:rPr>
          <w:rFonts w:ascii="Arial" w:cs="Arial" w:eastAsia="Arial" w:hAnsi="Arial"/>
          <w:sz w:val="17"/>
          <w:szCs w:val="17"/>
          <w:color w:val="auto"/>
        </w:rPr>
        <w:t>In the event of our liquidation, dissolution or winding up, the holders of Series 1 preferred shares shall be entitled to receive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$25 per share, plus all accrued and unpaid dividends, before any distribution shall be made with respect to the common shares.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The Series 1 preferred shares shall have no voting rights.</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Subject to other applicable provisions within the articles supplementary for the Series 1 preferred shares, from the date of issuance,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Series 1 preferred shares shall be convertible, at the option of each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holder, into a number of fully paid and nonassessable common shares determined by dividing (A) the product obtained by multiplying (i) the number of Series 1 preferred shares being converted by (ii) liquidation price; by (B) the option conversion price as in effect immediately prior to the close of business on the option conversion date.</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1 preferred shares is American Stock Transfer &amp; Trust Company,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 New York.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addition to the Series 1 preferred shares, the terms of which are described above, we may issue one or more series of preferred shares. The following is a general description of the preferred shares that we may offer from time to time. The particular terms of the preferred shares being offered and the extent to which such general provisions may apply will be set forth in the applicable prospectus supplement.</w:t>
      </w:r>
    </w:p>
    <w:p>
      <w:pPr>
        <w:spacing w:after="0" w:line="18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Preferred shares may be offered and sold from time to time, in one or more series, as authorized by the Board of Trustees. The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Trustees 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Terms. </w:t>
      </w:r>
      <w:r>
        <w:rPr>
          <w:rFonts w:ascii="Arial" w:cs="Arial" w:eastAsia="Arial" w:hAnsi="Arial"/>
          <w:sz w:val="16"/>
          <w:szCs w:val="16"/>
          <w:color w:val="auto"/>
        </w:rPr>
        <w:t>You should refer to the prospectus supplement relating to the offering of any preferred shares for specific terms, including the following terms:</w:t>
      </w:r>
    </w:p>
    <w:p>
      <w:pPr>
        <w:spacing w:after="0" w:line="154"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title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number of preferred shares offered and the offering price of those preferred shares;</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dividend rate(s), period(s), amounts and/or payment date(s) or method(s) of calculation of any of those terms that apply to those preferred shares;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date from which dividends on those preferred shares will accumulate, if applicable;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terms and amount of a sinking fund, if any, for the purchase or redemption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redemption rights, including conditions, time(s) and the redemption price(s), if applicable,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voting rights, if any,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listing of those preferred shares on any securities exchange;</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relative ranking and preference of those preferred shares as to dividend rights and rights upon liquidation, dissolution or the winding up of our affairs;</w:t>
      </w:r>
    </w:p>
    <w:p>
      <w:pPr>
        <w:spacing w:after="0" w:line="75"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discussion of any additional federal income tax consequences applicable to those preferred shares; and</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limitations on direct or beneficial ownership and restrictions on transfer in addition to those described in “— Restrictions on Ownership and Transfer,” in each case as may be appropriate to preserve our status as a REIT.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17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Unless we say otherwise in a prospectus supplement, the preferred shares offered through that supplement will, with respect to dividend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rights upon our liquidation, dissolution or winding up, rank:</w:t>
      </w:r>
    </w:p>
    <w:p>
      <w:pPr>
        <w:spacing w:after="0" w:line="76"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senior to all classes or series of our common shares, and to all other equity securities ranking junior to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a parity with all of our equity securities ranking on a parity with the preferred shares;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junior to all of our equity securities ranking senior to the preferred shares.</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For purposes of this description of our preferred shares, the term “equity securities” does not include convertible debt securities that we may offer from time to time.</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Subject to any preferential rights of any outstanding shares or series of shares and to the provisions of our declaration of trust regarding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b w:val="1"/>
          <w:bCs w:val="1"/>
          <w:i w:val="1"/>
          <w:iCs w:val="1"/>
          <w:color w:val="auto"/>
        </w:rPr>
        <w:t xml:space="preserve">Redemption. </w:t>
      </w:r>
      <w:r>
        <w:rPr>
          <w:rFonts w:ascii="Arial" w:cs="Arial" w:eastAsia="Arial" w:hAnsi="Arial"/>
          <w:sz w:val="18"/>
          <w:szCs w:val="18"/>
          <w:color w:val="auto"/>
        </w:rPr>
        <w:t>If we provide for a redemption right in a prospectus supplement, the preferred shares offered through that supplement will be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mandatory redemption or redemption at our option, in whole or in part, in each case upon the terms, at the times and at the redemption prices set forth in that supplement.</w:t>
      </w:r>
    </w:p>
    <w:p>
      <w:pPr>
        <w:spacing w:after="0" w:line="18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i w:val="1"/>
          <w:iCs w:val="1"/>
          <w:color w:val="auto"/>
        </w:rPr>
        <w:t xml:space="preserve">Liquidation Preference. </w:t>
      </w:r>
      <w:r>
        <w:rPr>
          <w:rFonts w:ascii="Arial" w:cs="Arial" w:eastAsia="Arial" w:hAnsi="Arial"/>
          <w:sz w:val="17"/>
          <w:szCs w:val="17"/>
          <w:color w:val="auto"/>
        </w:rPr>
        <w:t>As to any liquidation preference applicable to preferred shares offered through this prospectus, the applicable supplement shall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that, upon the voluntary or involuntary liquidation, dissolution or winding up of our affairs, the holders of those preferred shares shall receive, before any 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shareholders,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187"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b w:val="1"/>
          <w:bCs w:val="1"/>
          <w:i w:val="1"/>
          <w:iCs w:val="1"/>
          <w:color w:val="auto"/>
        </w:rPr>
        <w:t xml:space="preserve">Voting Rights. </w:t>
      </w:r>
      <w:r>
        <w:rPr>
          <w:rFonts w:ascii="Arial" w:cs="Arial" w:eastAsia="Arial" w:hAnsi="Arial"/>
          <w:sz w:val="17"/>
          <w:szCs w:val="17"/>
          <w:color w:val="auto"/>
        </w:rPr>
        <w:t>Unless otherwise indicated in the applicable supplement, holders of preferred shares we issue in the future will not have any voting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rights, except as may be required by applicable law or any applicable rules and regulations of the New York Stock Exchange.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terms and conditions, if any, upon which any series of preferred shares is convertible into common shares will be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prospectus supplement relating to the offering of those preferred shares. These terms typically will include:</w:t>
      </w:r>
    </w:p>
    <w:p>
      <w:pPr>
        <w:spacing w:after="0" w:line="76"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number of common shares into which the preferred shares are convertible;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conversion price or rate (or manner of calculation thereof);</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conversion period;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provisions as to whether conversion will be at the option of the holders of the preferred shares or at our option;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events requiring an adjustment of the conversion price;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provisions affecting conversion in the event of the redemption of that series of preferred shares.</w:t>
      </w:r>
    </w:p>
    <w:p>
      <w:pPr>
        <w:spacing w:after="0" w:line="225"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We will identify the transfer agent and registrar for any additional series of preferred shares issued through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in a prospectus supplement.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 Shares</w:t>
      </w:r>
    </w:p>
    <w:p>
      <w:pPr>
        <w:spacing w:after="0" w:line="121"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We may issue receipts for depositary shares, each of which will represent a fractional interest of a share of a particular series of preferred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w:t>
      </w:r>
    </w:p>
    <w:p>
      <w:pPr>
        <w:spacing w:after="0" w:line="15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Dividends and Other Provisions. </w:t>
      </w:r>
      <w:r>
        <w:rPr>
          <w:rFonts w:ascii="Arial" w:cs="Arial" w:eastAsia="Arial" w:hAnsi="Arial"/>
          <w:sz w:val="18"/>
          <w:szCs w:val="18"/>
          <w:color w:val="auto"/>
        </w:rPr>
        <w:t>If you are a “record holder” (as defined below) of depositary receipts and we pay a cash dividend or other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87"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54"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Withdrawal of Preferred Shares. </w:t>
      </w:r>
      <w:r>
        <w:rPr>
          <w:rFonts w:ascii="Arial" w:cs="Arial" w:eastAsia="Arial" w:hAnsi="Arial"/>
          <w:sz w:val="18"/>
          <w:szCs w:val="18"/>
          <w:color w:val="auto"/>
        </w:rPr>
        <w:t>If you surrender your depositary receipts, the depositary will be required to deliver certificates to you evidencing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Redemption of Depositary Shares. </w:t>
      </w:r>
      <w:r>
        <w:rPr>
          <w:rFonts w:ascii="Arial" w:cs="Arial" w:eastAsia="Arial" w:hAnsi="Arial"/>
          <w:sz w:val="18"/>
          <w:szCs w:val="18"/>
          <w:color w:val="auto"/>
        </w:rPr>
        <w:t>If we redeem a series of preferred shares represented by depositary receipts, the depositary will redeem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Voting the Preferred Shares. </w:t>
      </w:r>
      <w:r>
        <w:rPr>
          <w:rFonts w:ascii="Arial" w:cs="Arial" w:eastAsia="Arial" w:hAnsi="Arial"/>
          <w:sz w:val="18"/>
          <w:szCs w:val="18"/>
          <w:color w:val="auto"/>
        </w:rPr>
        <w:t>When the depositary receives notice of any meeting at which the holders of preferred shares are entitled to vote,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depositary will mail information contained in the notice to you as a record holder of the depositary shares relating to the preferred shares. As a record holder of the depositary shares on the 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89"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Liquidation Preference. </w:t>
      </w:r>
      <w:r>
        <w:rPr>
          <w:rFonts w:ascii="Arial" w:cs="Arial" w:eastAsia="Arial" w:hAnsi="Arial"/>
          <w:sz w:val="18"/>
          <w:szCs w:val="18"/>
          <w:color w:val="auto"/>
        </w:rPr>
        <w:t>In the event of our liquidation, dissolution or winding up, whether voluntary or involuntary, you will be entitled, as a record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 of depositary shares, to the fraction of the liquidation preference accorded each applicable preferred share, as has been set forth in a prospectus supplement.</w:t>
      </w:r>
    </w:p>
    <w:p>
      <w:pPr>
        <w:spacing w:after="0" w:line="18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Conversion of Preferred Shares. </w:t>
      </w:r>
      <w:r>
        <w:rPr>
          <w:rFonts w:ascii="Arial" w:cs="Arial" w:eastAsia="Arial" w:hAnsi="Arial"/>
          <w:sz w:val="16"/>
          <w:szCs w:val="16"/>
          <w:color w:val="auto"/>
        </w:rPr>
        <w:t>Our depositary shares, as such, are not convertible into common shares or any of our other securities or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Amendment and Termination of the Deposit Agreement. </w:t>
      </w:r>
      <w:r>
        <w:rPr>
          <w:rFonts w:ascii="Arial" w:cs="Arial" w:eastAsia="Arial" w:hAnsi="Arial"/>
          <w:sz w:val="18"/>
          <w:szCs w:val="18"/>
          <w:color w:val="auto"/>
        </w:rPr>
        <w:t>We and the depositary may amend the form of depositary receipt and any provision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 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92"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redeem all outstanding depositary shares;</w:t>
      </w:r>
    </w:p>
    <w:p>
      <w:pPr>
        <w:spacing w:after="0" w:line="130" w:lineRule="exact"/>
        <w:rPr>
          <w:rFonts w:ascii="Arial" w:cs="Arial" w:eastAsia="Arial" w:hAnsi="Arial"/>
          <w:sz w:val="18"/>
          <w:szCs w:val="18"/>
          <w:color w:val="auto"/>
        </w:rPr>
      </w:pPr>
    </w:p>
    <w:p>
      <w:pPr>
        <w:ind w:left="900" w:right="160" w:hanging="446"/>
        <w:spacing w:after="0" w:line="308" w:lineRule="auto"/>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51" w:lineRule="exact"/>
        <w:rPr>
          <w:rFonts w:ascii="Arial" w:cs="Arial" w:eastAsia="Arial" w:hAnsi="Arial"/>
          <w:sz w:val="17"/>
          <w:szCs w:val="17"/>
          <w:color w:val="auto"/>
        </w:rPr>
      </w:pPr>
    </w:p>
    <w:p>
      <w:pPr>
        <w:ind w:left="900" w:right="740" w:hanging="446"/>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preferred share to which the depositary shares and agreement relate shall have been converted into shares of beneficial interest not represented by depositary shares.</w:t>
      </w:r>
    </w:p>
    <w:p>
      <w:pPr>
        <w:spacing w:after="0" w:line="170"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b w:val="1"/>
          <w:bCs w:val="1"/>
          <w:i w:val="1"/>
          <w:iCs w:val="1"/>
          <w:color w:val="auto"/>
        </w:rPr>
        <w:t xml:space="preserve">Resignation and Removal of Depositary. </w:t>
      </w:r>
      <w:r>
        <w:rPr>
          <w:rFonts w:ascii="Arial" w:cs="Arial" w:eastAsia="Arial" w:hAnsi="Arial"/>
          <w:sz w:val="16"/>
          <w:szCs w:val="16"/>
          <w:color w:val="auto"/>
        </w:rPr>
        <w:t>The depositary may resign at any time by delivering a notice to us of its election to do so. Additionally,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54"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Charges of Depositary. </w:t>
      </w:r>
      <w:r>
        <w:rPr>
          <w:rFonts w:ascii="Arial" w:cs="Arial" w:eastAsia="Arial" w:hAnsi="Arial"/>
          <w:sz w:val="18"/>
          <w:szCs w:val="18"/>
          <w:color w:val="auto"/>
        </w:rPr>
        <w:t>We will pay all transfer and other taxes and governmental charges arising solely from the existence of the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arrangements. 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Miscellaneous. </w:t>
      </w:r>
      <w:r>
        <w:rPr>
          <w:rFonts w:ascii="Arial" w:cs="Arial" w:eastAsia="Arial" w:hAnsi="Arial"/>
          <w:sz w:val="18"/>
          <w:szCs w:val="18"/>
          <w:color w:val="auto"/>
        </w:rPr>
        <w:t>The depositary will forward to you all reports and communications from us that we are required, or otherwise determine, to furnish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holders of the preferred shares. The holders of depositary receipts shall have the right to inspect the transfer books of the depositary and the list of holders of depositary receipts as provided in the applicable deposit agreement or as required by law.</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12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Restrictions on ownership and transfer of shares are important to ensure that we meet certain conditions under the Code to qualify as a REIT. For example, the Code contains the following requirements.</w:t>
      </w:r>
    </w:p>
    <w:p>
      <w:pPr>
        <w:spacing w:after="0" w:line="76" w:lineRule="exact"/>
        <w:rPr>
          <w:sz w:val="20"/>
          <w:szCs w:val="20"/>
          <w:color w:val="auto"/>
        </w:rPr>
      </w:pPr>
    </w:p>
    <w:p>
      <w:pPr>
        <w:ind w:left="900" w:right="20" w:hanging="446"/>
        <w:spacing w:after="0" w:line="312"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52" w:lineRule="exact"/>
        <w:rPr>
          <w:rFonts w:ascii="Arial" w:cs="Arial" w:eastAsia="Arial" w:hAnsi="Arial"/>
          <w:sz w:val="16"/>
          <w:szCs w:val="16"/>
          <w:color w:val="auto"/>
        </w:rPr>
      </w:pPr>
    </w:p>
    <w:p>
      <w:pPr>
        <w:ind w:left="900" w:right="180" w:hanging="446"/>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REIT’s stock or beneficial interests must be owned by 100 or more persons during at least 335 days of a taxable year of 12 months or during a proportionate part of a shorter taxable year.</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transfer of shares will be null and void, and the intended transferee will acquire no rights in such shares if the transfer:</w:t>
      </w:r>
    </w:p>
    <w:p>
      <w:pPr>
        <w:spacing w:after="0" w:line="131"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results in any person owning, directly or indirectly, shares in excess of the ownership limitation;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results in the shares being owned by fewer than 100 persons (determined without reference to any rules of attribution);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results in our being “closely held” (within the meaning of Section 856(h) of the Code);</w:t>
      </w:r>
    </w:p>
    <w:p>
      <w:pPr>
        <w:spacing w:after="0" w:line="130"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causes us to own, directly or constructively, 10% or more of the ownership interests in a tenant of our real property (within the meaning of Section 856(d)(2)(B) of the Code);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otherwise results in our failure to qualify as a REIT.</w:t>
      </w:r>
    </w:p>
    <w:p>
      <w:pPr>
        <w:spacing w:after="0" w:line="22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i w:val="1"/>
          <w:iCs w:val="1"/>
          <w:color w:val="auto"/>
        </w:rPr>
        <w:t>Automatic Transfer of Shares to Trust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certain exceptions described below, if any purported transfer of shares would violate any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described in the immediately preceding paragraph, then the transfer will be null and void, and those shares will be 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5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w:t>
      </w:r>
    </w:p>
    <w:p>
      <w:pPr>
        <w:spacing w:after="0" w:line="71"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price per share, if any, paid by the record holder for the shares;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no amount was paid for such shares (e.g., if such shares were received through a gift or devise),</w:t>
      </w:r>
    </w:p>
    <w:p>
      <w:pPr>
        <w:spacing w:after="0" w:line="130" w:lineRule="exact"/>
        <w:rPr>
          <w:rFonts w:ascii="Arial" w:cs="Arial" w:eastAsia="Arial" w:hAnsi="Arial"/>
          <w:sz w:val="18"/>
          <w:szCs w:val="18"/>
          <w:color w:val="auto"/>
        </w:rPr>
      </w:pPr>
    </w:p>
    <w:p>
      <w:pPr>
        <w:ind w:left="1460" w:right="580" w:hanging="547"/>
        <w:spacing w:after="0" w:line="277" w:lineRule="auto"/>
        <w:tabs>
          <w:tab w:leader="none" w:pos="14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price per share equal to the market price (which is calculated as defined in our declaration of trust) on the date the shares were received, or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price per share received by the trustee from the sale of such shares-in-trust.</w:t>
      </w:r>
    </w:p>
    <w:p>
      <w:pPr>
        <w:spacing w:after="0" w:line="22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87"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4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a shareholder owns more than 5% of the outstanding common shares or preferred shares, then the shareholder must notify us of its share ownership by January 30 of each year.</w:t>
      </w:r>
    </w:p>
    <w:p>
      <w:pPr>
        <w:spacing w:after="0" w:line="17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8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Board of Trustees has agreed to exempt from the ownership limitation BlackRock, Inc., or BlackRock, for itself, its subsidiaries and on behalf of investment funds and accounts for whom BlackRock acts as manager or investment advisor with respect to ownership of our equity shares. The Board of Trustees approved an exemption for BlackRock which permits BlackRock and its subsidiaries and investment funds and accounts combined, to the extent they comprise a group under SEC rules, to own up to 15.0% of our outstanding equity or common shares. BlackRock and each of its subsidiaries and investment funds and accounts will remain individually subject to the ownership limitation. The exemption will terminate upon at least 30 days notice given by us, with such notice not to be given before April 30, 2015.</w:t>
      </w:r>
    </w:p>
    <w:p>
      <w:pPr>
        <w:spacing w:after="0" w:line="193"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Board of Trustees has also agreed to exempt from the ownership limitation Cohen &amp; Steers Capital Management, Inc., or Cohen &amp; Steers, for itself, its affiliates and on behalf of the mutual funds and institutional investor client accounts it advises with respect to ownership of our common shares. The Board of Trustees approved an exemption for Cohen &amp; Steers which permits Cohen &amp; Steers and its affiliates and mutual funds and investor client accounts, combined, to own up to 15.0% of our outstanding common shares. The exemption will expire upon prior notice given by us to Cohen &amp; Steers in the event its mutual funds and investor client accounts no longer own at least 7.0% of our common shares for 180 days in any calendar year.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17" w:lineRule="exact"/>
        <w:rPr>
          <w:sz w:val="20"/>
          <w:szCs w:val="20"/>
          <w:color w:val="auto"/>
        </w:rPr>
      </w:pPr>
    </w:p>
    <w:p>
      <w:pPr>
        <w:ind w:right="20" w:firstLine="456"/>
        <w:spacing w:after="0" w:line="274" w:lineRule="auto"/>
        <w:rPr>
          <w:sz w:val="20"/>
          <w:szCs w:val="20"/>
          <w:color w:val="auto"/>
        </w:rPr>
      </w:pPr>
      <w:r>
        <w:rPr>
          <w:rFonts w:ascii="Arial" w:cs="Arial" w:eastAsia="Arial" w:hAnsi="Arial"/>
          <w:sz w:val="17"/>
          <w:szCs w:val="17"/>
          <w:b w:val="1"/>
          <w:bCs w:val="1"/>
          <w:i w:val="1"/>
          <w:iCs w:val="1"/>
          <w:color w:val="auto"/>
        </w:rPr>
        <w:t>Warrants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may issue warrants for the purchase of common or preferred shares. If we offer warrants, we will describe the terms in a prospectus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some of the warrant terms that could be described in a prospectus supplement:</w:t>
      </w:r>
    </w:p>
    <w:p>
      <w:pPr>
        <w:spacing w:after="0" w:line="131"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title of the warrant;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price or prices at which the warrant will be issued;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designation, number and terms of the preferred shares or common shares that may be purchased on exercise of the warrant;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date, if any, on and after which the warrant and the related securities will be separately transferable;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price at which each security purchasable on exercise of the warrant may be purchased;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dates on which the right to purchase the securities purchasable on exercise of the warrant will begin and end;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minimum or maximum number of securities that may be purchased at any one time;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anti-dilution protection;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other warrant terms, including terms relating to transferability, exchange or exercise of the warrant.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Maryland Law and our Declaration of Trust and Bylaws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following summary of certain provisions of the Maryland General Corporation Law and our declaration of trust and bylaws is not complete. You should read the Maryland General Corporation Law and our declaration of trust and bylaws for more complete information.</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provisions, together with the ability of the Board of Trustees to increase the number of authorized shares, in the aggregate or by class, and to issue preferred shares without further shareholder action, the transfer restrictions described under “— Restrictions on Ownership and Transfer” and the supermajority voting rights described under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w:t>
      </w:r>
    </w:p>
    <w:p>
      <w:pPr>
        <w:spacing w:after="0" w:line="185"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i w:val="1"/>
          <w:iCs w:val="1"/>
          <w:color w:val="auto"/>
        </w:rPr>
        <w:t>Business Combinations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Maryland law, as set forth in the Maryland General Corporation Law, limits our ability to enter into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90" w:lineRule="exact"/>
        <w:rPr>
          <w:sz w:val="20"/>
          <w:szCs w:val="20"/>
          <w:color w:val="auto"/>
        </w:rPr>
      </w:pPr>
    </w:p>
    <w:p>
      <w:pPr>
        <w:ind w:left="5620" w:right="2940" w:hanging="5166"/>
        <w:spacing w:after="0" w:line="449" w:lineRule="auto"/>
        <w:tabs>
          <w:tab w:leader="none" w:pos="896"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our outstanding voting shares; or 24</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20" w:hanging="446"/>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of our affiliates that beneficially owned, directly or indirectly, 10% or more of the voting power of our outstanding voting shares at any time within two years immediately prior to the applicable date in question.</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81"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We may engage in business combinations with an interested shareholder if at least five years have passed since the person became an interested shareholder, but only if the transaction is:</w:t>
      </w:r>
    </w:p>
    <w:p>
      <w:pPr>
        <w:spacing w:after="0" w:line="76"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recommended by our Board of Trustees;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approved by at least,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80% of our outstanding shares entitled to vote;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two-thirds of our outstanding shares entitled to vote that are not held by the interested shareholder or any of its affiliates.</w:t>
      </w:r>
    </w:p>
    <w:p>
      <w:pPr>
        <w:spacing w:after="0" w:line="22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Control Share Acquisitions. </w:t>
      </w:r>
      <w:r>
        <w:rPr>
          <w:rFonts w:ascii="Arial" w:cs="Arial" w:eastAsia="Arial" w:hAnsi="Arial"/>
          <w:sz w:val="18"/>
          <w:szCs w:val="18"/>
          <w:color w:val="auto"/>
        </w:rPr>
        <w:t>Our bylaws exempt acquisitions of our shares of beneficial interest by any person from “control share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8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“Control Shares” are shares that, if added to all other shares previously acquired, would entitle that person to exercise voting power, in electing trustees, within one of the following ranges of voting power:</w:t>
      </w:r>
    </w:p>
    <w:p>
      <w:pPr>
        <w:spacing w:after="0" w:line="76"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225"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70"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i w:val="1"/>
          <w:iCs w:val="1"/>
          <w:color w:val="auto"/>
        </w:rPr>
        <w:t>Duties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Maryland law, there is a presumption that the act of a trustee satisfies the required standard of care. An act of a trustee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relating to or affecting an acquisition or a potential acquisition of control is not subject under Maryland law to a higher duty or greater scrutiny than is applied to any other act of a trustee.</w:t>
      </w:r>
    </w:p>
    <w:p>
      <w:pPr>
        <w:spacing w:after="0" w:line="18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Number of Trustees. </w:t>
      </w:r>
      <w:r>
        <w:rPr>
          <w:rFonts w:ascii="Arial" w:cs="Arial" w:eastAsia="Arial" w:hAnsi="Arial"/>
          <w:sz w:val="18"/>
          <w:szCs w:val="18"/>
          <w:color w:val="auto"/>
        </w:rPr>
        <w:t>The number of trustees may be increased or decreased pursuant to the bylaws, provided that the total number of trustees may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less than five or more than 10. Under Maryland law and our declaration of trust, trustees are elected for one-year terms.</w:t>
      </w:r>
    </w:p>
    <w:p>
      <w:pPr>
        <w:spacing w:after="0" w:line="166"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i w:val="1"/>
          <w:iCs w:val="1"/>
          <w:color w:val="auto"/>
        </w:rPr>
        <w:t>Removal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declaration of trust, and subject to the rights of any holders of preferred shares, our trustees may remove a trustee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cause, as defined in our declaration of trust, by the vote of all the other trustees or the shareholders may remove a trustee, with or without cause, at any meeting of shareholders called for that purpose, either by:</w:t>
      </w:r>
    </w:p>
    <w:p>
      <w:pPr>
        <w:spacing w:after="0" w:line="86" w:lineRule="exact"/>
        <w:rPr>
          <w:sz w:val="20"/>
          <w:szCs w:val="20"/>
          <w:color w:val="auto"/>
        </w:rPr>
      </w:pPr>
    </w:p>
    <w:p>
      <w:pPr>
        <w:ind w:left="900" w:right="20" w:hanging="446"/>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66"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i w:val="1"/>
          <w:iCs w:val="1"/>
          <w:color w:val="auto"/>
        </w:rPr>
        <w:t>Vacancies on the Board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bylaws provide that, subject to the rights of any holders of preferred shares, any vacancy on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80" w:lineRule="exact"/>
        <w:rPr>
          <w:sz w:val="20"/>
          <w:szCs w:val="20"/>
          <w:color w:val="auto"/>
        </w:rPr>
      </w:pPr>
    </w:p>
    <w:p>
      <w:pPr>
        <w:ind w:right="140" w:firstLine="456"/>
        <w:spacing w:after="0" w:line="281" w:lineRule="auto"/>
        <w:rPr>
          <w:sz w:val="20"/>
          <w:szCs w:val="20"/>
          <w:color w:val="auto"/>
        </w:rPr>
      </w:pPr>
      <w:r>
        <w:rPr>
          <w:rFonts w:ascii="Arial" w:cs="Arial" w:eastAsia="Arial" w:hAnsi="Arial"/>
          <w:sz w:val="17"/>
          <w:szCs w:val="17"/>
          <w:b w:val="1"/>
          <w:bCs w:val="1"/>
          <w:i w:val="1"/>
          <w:iCs w:val="1"/>
          <w:color w:val="auto"/>
        </w:rPr>
        <w:t>Meetings of Shareholders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bylaws provide for an annual meeting of shareholders, to be held in May after delivery of the annual report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w:t>
      </w:r>
    </w:p>
    <w:p>
      <w:pPr>
        <w:spacing w:after="0" w:line="169"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Advance Notice for Shareholder Nominations and Shareholder New Business Proposals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bylaws require advance written notice for shareholders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Arial" w:cs="Arial" w:eastAsia="Arial" w:hAnsi="Arial"/>
          <w:sz w:val="15"/>
          <w:szCs w:val="15"/>
          <w:color w:val="auto"/>
        </w:rPr>
        <w:t>th</w:t>
      </w:r>
      <w:r>
        <w:rPr>
          <w:rFonts w:ascii="Arial" w:cs="Arial" w:eastAsia="Arial" w:hAnsi="Arial"/>
          <w:sz w:val="18"/>
          <w:szCs w:val="18"/>
          <w:color w:val="auto"/>
        </w:rPr>
        <w:t>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w:t>
      </w:r>
    </w:p>
    <w:p>
      <w:pPr>
        <w:spacing w:after="0" w:line="192"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For a special meeting, to nominate a trustee, a shareholder must deliver notice to our Secretary not earlier that the close of business on the 120</w:t>
      </w:r>
      <w:r>
        <w:rPr>
          <w:rFonts w:ascii="Arial" w:cs="Arial" w:eastAsia="Arial" w:hAnsi="Arial"/>
          <w:sz w:val="14"/>
          <w:szCs w:val="14"/>
          <w:color w:val="auto"/>
        </w:rPr>
        <w:t>th</w:t>
      </w:r>
      <w:r>
        <w:rPr>
          <w:rFonts w:ascii="Arial" w:cs="Arial" w:eastAsia="Arial" w:hAnsi="Arial"/>
          <w:sz w:val="17"/>
          <w:szCs w:val="17"/>
          <w:color w:val="auto"/>
        </w:rPr>
        <w:t xml:space="preserve"> day prior to the special meeting and not later than the close of business on the later of the 90</w:t>
      </w:r>
      <w:r>
        <w:rPr>
          <w:rFonts w:ascii="Arial" w:cs="Arial" w:eastAsia="Arial" w:hAnsi="Arial"/>
          <w:sz w:val="14"/>
          <w:szCs w:val="14"/>
          <w:color w:val="auto"/>
        </w:rPr>
        <w:t>th</w:t>
      </w:r>
      <w:r>
        <w:rPr>
          <w:rFonts w:ascii="Arial" w:cs="Arial" w:eastAsia="Arial" w:hAnsi="Arial"/>
          <w:sz w:val="17"/>
          <w:szCs w:val="17"/>
          <w:color w:val="auto"/>
        </w:rPr>
        <w:t xml:space="preserve"> day prior to the special meeting or the 10</w:t>
      </w:r>
      <w:r>
        <w:rPr>
          <w:rFonts w:ascii="Arial" w:cs="Arial" w:eastAsia="Arial" w:hAnsi="Arial"/>
          <w:sz w:val="14"/>
          <w:szCs w:val="14"/>
          <w:color w:val="auto"/>
        </w:rPr>
        <w:t>th</w:t>
      </w:r>
      <w:r>
        <w:rPr>
          <w:rFonts w:ascii="Arial" w:cs="Arial" w:eastAsia="Arial" w:hAnsi="Arial"/>
          <w:sz w:val="17"/>
          <w:szCs w:val="17"/>
          <w:color w:val="auto"/>
        </w:rPr>
        <w:t xml:space="preserve">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w:t>
      </w:r>
    </w:p>
    <w:p>
      <w:pPr>
        <w:spacing w:after="0" w:line="178"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b w:val="1"/>
          <w:bCs w:val="1"/>
          <w:i w:val="1"/>
          <w:iCs w:val="1"/>
          <w:color w:val="auto"/>
        </w:rPr>
        <w:t xml:space="preserve">Shareholder Liability and Indemnification. </w:t>
      </w:r>
      <w:r>
        <w:rPr>
          <w:rFonts w:ascii="Arial" w:cs="Arial" w:eastAsia="Arial" w:hAnsi="Arial"/>
          <w:sz w:val="17"/>
          <w:szCs w:val="17"/>
          <w:color w:val="auto"/>
        </w:rPr>
        <w:t>Under Maryland law, you will not be personally liable for any obligation of ours solely because you are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w:t>
      </w:r>
    </w:p>
    <w:p>
      <w:pPr>
        <w:spacing w:after="0" w:line="17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4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Limitation of Liability of Trustees and Officers. </w:t>
      </w:r>
      <w:r>
        <w:rPr>
          <w:rFonts w:ascii="Arial" w:cs="Arial" w:eastAsia="Arial" w:hAnsi="Arial"/>
          <w:sz w:val="18"/>
          <w:szCs w:val="18"/>
          <w:color w:val="auto"/>
        </w:rPr>
        <w:t>Our declaration of trust, to the maximum extent permitted under Maryland law in effect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w:t>
      </w:r>
    </w:p>
    <w:p>
      <w:pPr>
        <w:spacing w:after="0" w:line="92"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it is proved that the trustee or officer actually received an improper benefit or profit in money, property or services; or</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judgment or other final adjudication adverse to the person is entered in a proceeding based on a finding that the person’s action, or failure to act, was material to the cause of action adjudicated and was the result of active and deliberate dishonesty.</w:t>
      </w:r>
    </w:p>
    <w:p>
      <w:pPr>
        <w:spacing w:after="0" w:line="170"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b w:val="1"/>
          <w:bCs w:val="1"/>
          <w:i w:val="1"/>
          <w:iCs w:val="1"/>
          <w:color w:val="auto"/>
        </w:rPr>
        <w:t xml:space="preserve">Indemnification of Directors and Officers. </w:t>
      </w:r>
      <w:r>
        <w:rPr>
          <w:rFonts w:ascii="Arial" w:cs="Arial" w:eastAsia="Arial" w:hAnsi="Arial"/>
          <w:sz w:val="18"/>
          <w:szCs w:val="18"/>
          <w:color w:val="auto"/>
        </w:rPr>
        <w:t>Our declaration of trust permits us to indemnify and advance expenses to, to the maximum extent permitted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 (iii) 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229"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The following section summarizes the material federal income tax issues that you may consider relevant relating to our taxation as a REIT under the Code, and the acquisition, ownership, and disposition of our common, preferred, and depositary shares. If we offer one or more additional series of common shares or preferred shares, debt securities, depositary shares, or warrants to purchase debt or equity securities, the prospectus supplement would include information about additional material U.S. federal income tax considerations to holders of any of the offered securities.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Because this section is a summary, it does not address all of the tax issues that may be important to you. For example, the discussion of the tax treatment of our shareholders addresses only common or preferred shares held as capital assets (generally property held for investment) within the meaning of Section 1221 of the Code. This discussion is based on current law and does not purport to deal with all aspects of U.S. federal income taxation that may be relevant to a prospective shareholder in light of its particular circumstances.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persons that acquire shares in connection with employment or other performance of personal services, persons subject to the alternative minimum tax, persons that are, or that hold their shares through, partnerships or other pass-through entities, persons whose functional currency is not the U.S. dollar, persons that hold shares as part of a straddle, hedge, conversion, synthetic security or constructive sale transaction for U.S. federal income tax purposes, persons that purchase or sell shares as part of a wash sale for tax purposes, or non-U.S. individuals and foreign corporations (except to the extent discussed in “— Taxation of Non-U.S. Shareholders” below). In addition, this discussion is general in nature and is not exhaustive of all possible tax considerations, nor does it address any aspect of state, local or foreign taxation or any U.S. federal tax other than the income tax and, only to the extent specifically provided herein, certain excise taxes potentially applicable to REITs.</w:t>
      </w:r>
    </w:p>
    <w:p>
      <w:pPr>
        <w:spacing w:after="0" w:line="172" w:lineRule="exact"/>
        <w:rPr>
          <w:sz w:val="20"/>
          <w:szCs w:val="20"/>
          <w:color w:val="auto"/>
        </w:rPr>
      </w:pPr>
    </w:p>
    <w:p>
      <w:pPr>
        <w:ind w:right="540" w:firstLine="456"/>
        <w:spacing w:after="0" w:line="308" w:lineRule="auto"/>
        <w:rPr>
          <w:sz w:val="20"/>
          <w:szCs w:val="20"/>
          <w:color w:val="auto"/>
        </w:rPr>
      </w:pPr>
      <w:r>
        <w:rPr>
          <w:rFonts w:ascii="Arial" w:cs="Arial" w:eastAsia="Arial" w:hAnsi="Arial"/>
          <w:sz w:val="17"/>
          <w:szCs w:val="17"/>
          <w:color w:val="auto"/>
        </w:rPr>
        <w:t>This summary is based upon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14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a partnership, including an entity or arrangement that is treated as a partnership for U.S. federal income tax purposes, is a beneficial owner of our shares, the treatment of the partnership, and partners in the partnership, will generally depend on the status of the partner and the activities of the partnership. Partnerships holding shares, and partners in such partnerships, should consult their tax advisors with regard to the U.S. federal income tax treatment of an investment in our shares.</w:t>
      </w:r>
    </w:p>
    <w:p>
      <w:pPr>
        <w:spacing w:after="0" w:line="18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PROSPECTIVE INVESTORS SHOULD CONSULT THEIR TAX ADVISORS REGARDING THE SPECIFIC FEDERAL, STATE, LOCAL, FOREIGN AND OTHER TAX CONSEQUENCES TO THEM OF THE ACQUISITION, OWNERSHIP AND DISPOSITION OF OUR COMMON OR PREFERRED SHARES, OUR ELECTION TO BE TAXED AS A REIT AND THE EFFECT OF POTENTIAL CHANGES IN APPLICABLE TAX LAWS.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121"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124"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We elected to be taxed as a REIT under the federal income tax laws when we filed our 1962 federal income tax return. We have been organized and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color w:val="auto"/>
        </w:rPr>
        <w:t>In the opinion of our tax counsel, Pillsbury Winthrop Shaw Pittman LLP, (i) we qualified as a REIT under Sections 856 through 860 of the Code with respect to each of our taxable years ended through December 31, 2014;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diversity of share ownership, business, properties and operations. We may not, however, have met or continue to meet such requirements. You should be aware that opinions of counsel are not binding on the Internal Revenue Service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8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87" w:lineRule="exact"/>
        <w:rPr>
          <w:sz w:val="20"/>
          <w:szCs w:val="20"/>
          <w:color w:val="auto"/>
        </w:rPr>
      </w:pPr>
    </w:p>
    <w:p>
      <w:pPr>
        <w:ind w:left="900" w:right="340" w:hanging="446"/>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we may be subject to the “alternative minimum tax” on any items of tax preference that we do not distribute or allocate to our shareholders;</w:t>
      </w:r>
    </w:p>
    <w:p>
      <w:pPr>
        <w:spacing w:after="0" w:line="142" w:lineRule="exact"/>
        <w:rPr>
          <w:rFonts w:ascii="Arial" w:cs="Arial" w:eastAsia="Arial" w:hAnsi="Arial"/>
          <w:sz w:val="17"/>
          <w:szCs w:val="17"/>
          <w:color w:val="auto"/>
        </w:rPr>
      </w:pPr>
    </w:p>
    <w:p>
      <w:pPr>
        <w:jc w:val="both"/>
        <w:ind w:left="900" w:right="60" w:hanging="446"/>
        <w:spacing w:after="0" w:line="264"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will pay income tax at the highest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86"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subsidiaries that are C corporations, including our “taxable REIT subsidiaries,” generally will be required to pay federal corporate income tax on their earnings;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will pay a 100% excise tax on transactions with a taxable REIT subsidiary that are not conducted on an arm’s-length basis;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“—Requirements for REIT Qualification</w:t>
      </w:r>
    </w:p>
    <w:p>
      <w:pPr>
        <w:spacing w:after="0" w:line="46" w:lineRule="exact"/>
        <w:rPr>
          <w:rFonts w:ascii="Arial" w:cs="Arial" w:eastAsia="Arial" w:hAnsi="Arial"/>
          <w:sz w:val="16"/>
          <w:szCs w:val="16"/>
          <w:color w:val="auto"/>
        </w:rPr>
      </w:pPr>
    </w:p>
    <w:p>
      <w:pPr>
        <w:ind w:left="900"/>
        <w:spacing w:after="0" w:line="255" w:lineRule="auto"/>
        <w:rPr>
          <w:rFonts w:ascii="Arial" w:cs="Arial" w:eastAsia="Arial" w:hAnsi="Arial"/>
          <w:sz w:val="16"/>
          <w:szCs w:val="16"/>
          <w:color w:val="auto"/>
        </w:rPr>
      </w:pPr>
      <w:r>
        <w:rPr>
          <w:rFonts w:ascii="Arial" w:cs="Arial" w:eastAsia="Arial" w:hAnsi="Arial"/>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95" w:lineRule="exact"/>
        <w:rPr>
          <w:rFonts w:ascii="Arial" w:cs="Arial" w:eastAsia="Arial" w:hAnsi="Arial"/>
          <w:sz w:val="16"/>
          <w:szCs w:val="16"/>
          <w:color w:val="auto"/>
        </w:rPr>
      </w:pPr>
    </w:p>
    <w:p>
      <w:pPr>
        <w:ind w:left="900" w:right="40" w:hanging="446"/>
        <w:spacing w:after="0" w:line="259"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92" w:lineRule="exact"/>
        <w:rPr>
          <w:rFonts w:ascii="Arial" w:cs="Arial" w:eastAsia="Arial" w:hAnsi="Arial"/>
          <w:sz w:val="18"/>
          <w:szCs w:val="18"/>
          <w:color w:val="auto"/>
        </w:rPr>
      </w:pPr>
    </w:p>
    <w:p>
      <w:pPr>
        <w:ind w:left="900" w:right="160" w:hanging="446"/>
        <w:spacing w:after="0" w:line="286" w:lineRule="auto"/>
        <w:tabs>
          <w:tab w:leader="none" w:pos="9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59"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92"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130" w:lineRule="exact"/>
        <w:rPr>
          <w:rFonts w:ascii="Arial" w:cs="Arial" w:eastAsia="Arial" w:hAnsi="Arial"/>
          <w:sz w:val="18"/>
          <w:szCs w:val="18"/>
          <w:color w:val="auto"/>
        </w:rPr>
      </w:pPr>
    </w:p>
    <w:p>
      <w:pPr>
        <w:ind w:left="900" w:right="160" w:hanging="446"/>
        <w:spacing w:after="0" w:line="255"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 10-year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131"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130"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75" w:lineRule="exact"/>
        <w:rPr>
          <w:rFonts w:ascii="Arial" w:cs="Arial" w:eastAsia="Arial" w:hAnsi="Arial"/>
          <w:sz w:val="18"/>
          <w:szCs w:val="18"/>
          <w:color w:val="auto"/>
        </w:rPr>
      </w:pPr>
    </w:p>
    <w:p>
      <w:pPr>
        <w:ind w:left="900" w:right="940" w:hanging="446"/>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 and the amount of our distributions to shareholders.</w:t>
      </w:r>
    </w:p>
    <w:p>
      <w:pPr>
        <w:spacing w:after="0" w:line="17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“Description of Shares of Beneficial Ownership–Restrictions on Ownership and Transfer.”</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all of our direct corporate subsidiaries are qualified REIT subsidiaries, except for those that would qualify as taxable REIT subsidiaries or subsidiary REITs. Accordingly, our qualified REIT subsidiaries are not subject to federal corporate income taxation, though they may be subject to state and local taxation.</w:t>
      </w:r>
    </w:p>
    <w:p>
      <w:pPr>
        <w:spacing w:after="0" w:line="182"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An unincorporated domestic entity, such as a partnership or limited liability company, that has a single beneficial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owner. An unincorporated domestic entity, such as a partnership or a limited liability company, with two or more beneficial owners is generally treated as a partnership for federal income tax purposes. A REIT is treated as owning its proportionate share of the assets of any partnership (which includes any limited liability company treated as a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 subject to special rules relating to the 10% asset test described below.</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Income Tests. </w:t>
      </w:r>
      <w:r>
        <w:rPr>
          <w:rFonts w:ascii="Arial" w:cs="Arial" w:eastAsia="Arial" w:hAnsi="Arial"/>
          <w:sz w:val="18"/>
          <w:szCs w:val="18"/>
          <w:color w:val="auto"/>
        </w:rPr>
        <w:t>We must satisfy two gross income tests annually to maintain our qualification as a REIT:</w:t>
      </w:r>
    </w:p>
    <w:p>
      <w:pPr>
        <w:spacing w:after="0" w:line="131" w:lineRule="exact"/>
        <w:rPr>
          <w:sz w:val="20"/>
          <w:szCs w:val="20"/>
          <w:color w:val="auto"/>
        </w:rPr>
      </w:pPr>
    </w:p>
    <w:p>
      <w:pPr>
        <w:ind w:left="900" w:right="80" w:hanging="446"/>
        <w:spacing w:after="0" w:line="293"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and dividends or other distributions on and gain from the sale of shares in other REITs; and</w:t>
      </w:r>
    </w:p>
    <w:p>
      <w:pPr>
        <w:spacing w:after="0" w:line="70" w:lineRule="exact"/>
        <w:rPr>
          <w:rFonts w:ascii="Arial" w:cs="Arial" w:eastAsia="Arial" w:hAnsi="Arial"/>
          <w:sz w:val="16"/>
          <w:szCs w:val="16"/>
          <w:color w:val="auto"/>
        </w:rPr>
      </w:pPr>
    </w:p>
    <w:p>
      <w:pPr>
        <w:ind w:left="900" w:right="100" w:hanging="446"/>
        <w:spacing w:after="0" w:line="279" w:lineRule="auto"/>
        <w:tabs>
          <w:tab w:leader="none" w:pos="9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color w:val="auto"/>
        </w:rPr>
        <w:t>. Our primary source of income derives from leasing properties. There are various limitations on whether rent that we receive from 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that we own and lease to tenants will qualify as “rents from real property” (which is qualifying income for purposes of the 75% and 95% gross income tests) under the REIT tax rules:</w:t>
      </w:r>
    </w:p>
    <w:p>
      <w:pPr>
        <w:spacing w:after="0" w:line="87" w:lineRule="exact"/>
        <w:rPr>
          <w:sz w:val="20"/>
          <w:szCs w:val="20"/>
          <w:color w:val="auto"/>
        </w:rPr>
      </w:pPr>
    </w:p>
    <w:p>
      <w:pPr>
        <w:ind w:left="900" w:hanging="446"/>
        <w:spacing w:after="0" w:line="297"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If the rent is based, in whole or in part, on the income or profits of any person although, generally, rent may be based on a fixed percentage or percentages of receipts or sales, the rent will not qualify as “rents from real property.” Our leases provide for either fixed rent, sometimes with scheduled escalations, or a fixed minimum rent and a percentage of gross receipts in excess of some threshold. We have not entered into any lease based in whole or part on the net income of any person and on an ongoing basis will use our best efforts to avoid entering into such arrangements unless, in either instance, we have determined or we determine in our discretion that such arrangements will not jeopardize our status as a REIT;</w:t>
      </w:r>
    </w:p>
    <w:p>
      <w:pPr>
        <w:spacing w:after="0" w:line="63" w:lineRule="exact"/>
        <w:rPr>
          <w:rFonts w:ascii="Arial" w:cs="Arial" w:eastAsia="Arial" w:hAnsi="Arial"/>
          <w:sz w:val="16"/>
          <w:szCs w:val="16"/>
          <w:color w:val="auto"/>
        </w:rPr>
      </w:pPr>
    </w:p>
    <w:p>
      <w:pPr>
        <w:ind w:left="900" w:hanging="446"/>
        <w:spacing w:after="0" w:line="269" w:lineRule="auto"/>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we have not leased property to any related party tenant, except where we may rent to certain taxable REIT subsidiaries as described below, or where we have determined in our discretion that the rent received from such related party tenant is not material and will not jeopardize our status as a REIT. On an ongoing basis, we will use our best efforts not to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85" w:lineRule="exact"/>
        <w:rPr>
          <w:rFonts w:ascii="Arial" w:cs="Arial" w:eastAsia="Arial" w:hAnsi="Arial"/>
          <w:sz w:val="17"/>
          <w:szCs w:val="17"/>
          <w:color w:val="auto"/>
        </w:rPr>
      </w:pPr>
    </w:p>
    <w:p>
      <w:pPr>
        <w:ind w:left="900" w:right="100" w:hanging="446"/>
        <w:spacing w:after="0" w:line="273" w:lineRule="auto"/>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On an ongoing basis we use and will use our best efforts to ensure that all space leased to our taxable REIT subsidiaries meets these conditions, unless we determine in our discretion that the related party rent received from a taxable REIT subsidiary will not jeopardize our status as a REIT;</w:t>
      </w:r>
    </w:p>
    <w:p>
      <w:pPr>
        <w:spacing w:after="0" w:line="83" w:lineRule="exact"/>
        <w:rPr>
          <w:rFonts w:ascii="Arial" w:cs="Arial" w:eastAsia="Arial" w:hAnsi="Arial"/>
          <w:sz w:val="17"/>
          <w:szCs w:val="17"/>
          <w:color w:val="auto"/>
        </w:rPr>
      </w:pPr>
    </w:p>
    <w:p>
      <w:pPr>
        <w:ind w:left="900" w:right="60" w:hanging="446"/>
        <w:spacing w:after="0" w:line="272" w:lineRule="auto"/>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In general, we have not leased a significant amount of personal property under our current leases. If any incidental personal property has been leased, we believe that rent under each lease from the personal property has been no more than 15% of total rent from that lease, and on an ongoing basis we will use our best efforts to avoid leasing personal property in connection with a future lease except where rent from the personal property is no more than 15% of total rent from that lease, unless, in either instance, we have determined or we determine in our discretion that the amount of disqualified rent attributable to the personal property will not jeopardize our status as a REIT;</w:t>
      </w:r>
    </w:p>
    <w:p>
      <w:pPr>
        <w:spacing w:after="0" w:line="83" w:lineRule="exact"/>
        <w:rPr>
          <w:rFonts w:ascii="Arial" w:cs="Arial" w:eastAsia="Arial" w:hAnsi="Arial"/>
          <w:sz w:val="17"/>
          <w:szCs w:val="17"/>
          <w:color w:val="auto"/>
        </w:rPr>
      </w:pPr>
    </w:p>
    <w:p>
      <w:pPr>
        <w:ind w:left="900" w:right="140" w:hanging="446"/>
        <w:spacing w:after="0" w:line="270" w:lineRule="auto"/>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We may provide services directly, if the services are “usually or customarily rendered” in connection with the rental of space for occupancy only and are not otherwise considered to be provided for the tenant’s convenience. In addition, we may render directly a de minimis amount of “non-customary” services to the tenants of a property without disqualifying the income as “rents from real property,” as long as our income from the services does not exceed 1% of our income from the related property. We believe that we have not provided services to leased properties that have caused rents to be disqualified as rents from real property, and on an ongoing basis in the future, we will use our best efforts to determine in our discretion that any services provided will not cause rents to be disqualified as rents from real property, or unless, in either instance, we have determined or we determine in our discretion that the amount of disqualified rent resulting from such services will not jeopardize our status as a REIT.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i w:val="1"/>
          <w:iCs w:val="1"/>
          <w:color w:val="auto"/>
        </w:rPr>
        <w:t xml:space="preserve">Interest. </w:t>
      </w:r>
      <w:r>
        <w:rPr>
          <w:rFonts w:ascii="Arial" w:cs="Arial" w:eastAsia="Arial" w:hAnsi="Arial"/>
          <w:sz w:val="17"/>
          <w:szCs w:val="17"/>
          <w:color w:val="auto"/>
        </w:rPr>
        <w:t>For purposes of the gross income tests, the term “interest” generally does not include any amount received or accrued, directly or indirectly, if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7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However, in the case of acquisition of an existing loan, if the loan is secured by real property and other property and the highest principal amount of the loan outstanding during a taxable year exceeds the fair market value of the real property securing the loan as of the date we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 — that is, the amount by which the loan principal exceeds the value of the real estate that is security for the loan as of the date we agreed to acquire the loan.</w:t>
      </w:r>
    </w:p>
    <w:p>
      <w:pPr>
        <w:spacing w:after="0" w:line="166"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b w:val="1"/>
          <w:bCs w:val="1"/>
          <w:i w:val="1"/>
          <w:iCs w:val="1"/>
          <w:color w:val="auto"/>
        </w:rPr>
        <w:t xml:space="preserve">Dividends. </w:t>
      </w:r>
      <w:r>
        <w:rPr>
          <w:rFonts w:ascii="Arial" w:cs="Arial" w:eastAsia="Arial" w:hAnsi="Arial"/>
          <w:sz w:val="17"/>
          <w:szCs w:val="17"/>
          <w:color w:val="auto"/>
        </w:rPr>
        <w:t>Our share of any dividends received from any corporation (including any taxable REIT subsidiary, but excluding any REIT) in which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own an equity interest will qualify for purposes of the 95% gross income test but not for purposes of the 75% gross income test. Our share of any dividends received from any other REIT in which we own an equity interest will be qualifying income for purposes of both gross income tests.</w:t>
      </w:r>
    </w:p>
    <w:p>
      <w:pPr>
        <w:spacing w:after="0" w:line="166"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b w:val="1"/>
          <w:bCs w:val="1"/>
          <w:i w:val="1"/>
          <w:iCs w:val="1"/>
          <w:color w:val="auto"/>
        </w:rPr>
        <w:t xml:space="preserve">Tax on Income From Property Acquired in Foreclosure. </w:t>
      </w:r>
      <w:r>
        <w:rPr>
          <w:rFonts w:ascii="Arial" w:cs="Arial" w:eastAsia="Arial" w:hAnsi="Arial"/>
          <w:sz w:val="16"/>
          <w:szCs w:val="16"/>
          <w:color w:val="auto"/>
        </w:rPr>
        <w:t>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However, gross income from foreclosure property will qualify under the 75% and 95% gross income tests.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“Foreclosure property” is any real property (including interests in real property) and any personal property incident to such real property:</w:t>
      </w:r>
    </w:p>
    <w:p>
      <w:pPr>
        <w:spacing w:after="0" w:line="131" w:lineRule="exact"/>
        <w:rPr>
          <w:sz w:val="20"/>
          <w:szCs w:val="20"/>
          <w:color w:val="auto"/>
        </w:rPr>
      </w:pPr>
    </w:p>
    <w:p>
      <w:pPr>
        <w:ind w:left="900" w:right="120" w:hanging="446"/>
        <w:spacing w:after="0" w:line="308" w:lineRule="auto"/>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225"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87" w:lineRule="exact"/>
        <w:rPr>
          <w:sz w:val="20"/>
          <w:szCs w:val="20"/>
          <w:color w:val="auto"/>
        </w:rPr>
      </w:pPr>
    </w:p>
    <w:p>
      <w:pPr>
        <w:ind w:left="900" w:right="160" w:hanging="446"/>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75" w:lineRule="exact"/>
        <w:rPr>
          <w:rFonts w:ascii="Arial" w:cs="Arial" w:eastAsia="Arial" w:hAnsi="Arial"/>
          <w:sz w:val="18"/>
          <w:szCs w:val="18"/>
          <w:color w:val="auto"/>
        </w:rPr>
      </w:pPr>
    </w:p>
    <w:p>
      <w:pPr>
        <w:jc w:val="both"/>
        <w:ind w:left="900" w:right="180" w:hanging="446"/>
        <w:spacing w:after="0" w:line="264"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446"/>
        <w:spacing w:after="0" w:line="308" w:lineRule="auto"/>
        <w:tabs>
          <w:tab w:leader="none" w:pos="9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51" w:lineRule="exact"/>
        <w:rPr>
          <w:rFonts w:ascii="Arial" w:cs="Arial" w:eastAsia="Arial" w:hAnsi="Arial"/>
          <w:sz w:val="17"/>
          <w:szCs w:val="17"/>
          <w:color w:val="auto"/>
        </w:rPr>
      </w:pPr>
    </w:p>
    <w:p>
      <w:pPr>
        <w:ind w:left="900" w:right="140" w:hanging="446"/>
        <w:spacing w:after="0" w:line="264"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Tax on Prohibited Transactions. </w:t>
      </w:r>
      <w:r>
        <w:rPr>
          <w:rFonts w:ascii="Arial" w:cs="Arial" w:eastAsia="Arial" w:hAnsi="Arial"/>
          <w:sz w:val="18"/>
          <w:szCs w:val="18"/>
          <w:color w:val="auto"/>
        </w:rPr>
        <w:t>A REIT will incur a 100% tax on net income (taking into account foreign currency gains and losses) derived from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8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Code provides a safe harbor that, if met by us,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If the 7 sale limitation in (iii) above is not satisfied, substantially all of the marketing and development expenditures with respect to the property must be made through an independent contractor from whom we do not derive or receive any income. We believe we have complied with the terms of the safe harbor provision and we will attempt to comply with the terms of the safe harbor in the future, except where we determine in our discretion that a particular transaction will avoid prohibited transaction treatment regardless of the safe harbor. We may fail to comply with the safe-harbor provision and may sell or dispose of property that could be characterized as property held “primarily for sale to customers in the ordinary course of a trade or business.”</w:t>
      </w:r>
    </w:p>
    <w:p>
      <w:pPr>
        <w:spacing w:after="0" w:line="18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b w:val="1"/>
          <w:bCs w:val="1"/>
          <w:i w:val="1"/>
          <w:iCs w:val="1"/>
          <w:color w:val="auto"/>
        </w:rPr>
        <w:t xml:space="preserve">Tax and Deduction Limits on Certain Transactions with Taxable REIT Subsidiaries. </w:t>
      </w:r>
      <w:r>
        <w:rPr>
          <w:rFonts w:ascii="Arial" w:cs="Arial" w:eastAsia="Arial" w:hAnsi="Arial"/>
          <w:sz w:val="16"/>
          <w:szCs w:val="16"/>
          <w:color w:val="auto"/>
        </w:rPr>
        <w:t>A REIT will incur a 100% tax on certain transactions between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15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Hedging Transactions. </w:t>
      </w:r>
      <w:r>
        <w:rPr>
          <w:rFonts w:ascii="Arial" w:cs="Arial" w:eastAsia="Arial" w:hAnsi="Arial"/>
          <w:sz w:val="18"/>
          <w:szCs w:val="18"/>
          <w:color w:val="auto"/>
        </w:rPr>
        <w:t>Except to the extent provided by Treasury regulations, any income we derive from a hedging transaction (which may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entering into interest rate swaps, caps, and floors, options to purchase these items, and futures and forward contracts) which is clearly identified as such as specified in the Code and Treasury regulations, including gain from the sale or disposition of such a transaction, will not constitute gross income for purposes of either the 75% or 95% gross income test, and therefore will be exempt from these tests, but only to the extent that the transaction hedges indebtedness incurred or to be incurred by us to acquire or carry real estate assets or is entered into primarily to manage the risk of foreign currency fluctuations with respect to qualifying income under the 75% or 95% gross income test. Income from any hedging transaction not described above will likely be treated as nonqualifying for both the 75% and 95% gross income tests.</w:t>
      </w:r>
    </w:p>
    <w:p>
      <w:pPr>
        <w:spacing w:after="0" w:line="18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Like-Kind Exchanges. </w:t>
      </w:r>
      <w:r>
        <w:rPr>
          <w:rFonts w:ascii="Arial" w:cs="Arial" w:eastAsia="Arial" w:hAnsi="Arial"/>
          <w:sz w:val="18"/>
          <w:szCs w:val="18"/>
          <w:color w:val="auto"/>
        </w:rPr>
        <w:t>We may dispose of properties in transactions intended to qualify as like-kind exchanges under the Code. Such like-kind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exchanges 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Income Tests. </w:t>
      </w:r>
      <w:r>
        <w:rPr>
          <w:rFonts w:ascii="Arial" w:cs="Arial" w:eastAsia="Arial" w:hAnsi="Arial"/>
          <w:sz w:val="16"/>
          <w:szCs w:val="16"/>
          <w:color w:val="auto"/>
        </w:rPr>
        <w:t>If we fail to satisfy one or both of the 75% and 95% gross income tests for any taxable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w:t>
      </w:r>
    </w:p>
    <w:p>
      <w:pPr>
        <w:spacing w:after="0" w:line="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Asset Tests. </w:t>
      </w:r>
      <w:r>
        <w:rPr>
          <w:rFonts w:ascii="Arial" w:cs="Arial" w:eastAsia="Arial" w:hAnsi="Arial"/>
          <w:sz w:val="16"/>
          <w:szCs w:val="16"/>
          <w:color w:val="auto"/>
        </w:rPr>
        <w:t>To maintain our qualification as a REIT, we also must satisfy the following asset tests at the close of each quarter of each taxable year:</w:t>
      </w:r>
    </w:p>
    <w:p>
      <w:pPr>
        <w:spacing w:after="0" w:line="154" w:lineRule="exact"/>
        <w:rPr>
          <w:sz w:val="20"/>
          <w:szCs w:val="20"/>
          <w:color w:val="auto"/>
        </w:rPr>
      </w:pPr>
    </w:p>
    <w:p>
      <w:pPr>
        <w:ind w:left="900" w:right="400" w:hanging="446"/>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and money market funds), U.S. government securities, “real estate assets,” or qualifying temporary investments (the “75% asset test”).</w:t>
      </w:r>
    </w:p>
    <w:p>
      <w:pPr>
        <w:spacing w:after="0" w:line="75" w:lineRule="exact"/>
        <w:rPr>
          <w:rFonts w:ascii="Arial" w:cs="Arial" w:eastAsia="Arial" w:hAnsi="Arial"/>
          <w:sz w:val="18"/>
          <w:szCs w:val="18"/>
          <w:color w:val="auto"/>
        </w:rPr>
      </w:pPr>
    </w:p>
    <w:p>
      <w:pPr>
        <w:ind w:left="1460" w:right="260" w:hanging="547"/>
        <w:spacing w:after="0" w:line="277" w:lineRule="auto"/>
        <w:tabs>
          <w:tab w:leader="none" w:pos="14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stock in other REITs. We believe that our properties qualify as real estate assets.</w:t>
      </w:r>
    </w:p>
    <w:p>
      <w:pPr>
        <w:spacing w:after="0" w:line="75" w:lineRule="exact"/>
        <w:rPr>
          <w:rFonts w:ascii="Arial" w:cs="Arial" w:eastAsia="Arial" w:hAnsi="Arial"/>
          <w:sz w:val="18"/>
          <w:szCs w:val="18"/>
          <w:color w:val="auto"/>
        </w:rPr>
      </w:pPr>
    </w:p>
    <w:p>
      <w:pPr>
        <w:jc w:val="both"/>
        <w:ind w:left="1460" w:right="80" w:hanging="547"/>
        <w:spacing w:after="0" w:line="264" w:lineRule="auto"/>
        <w:tabs>
          <w:tab w:leader="none" w:pos="14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86" w:lineRule="exact"/>
        <w:rPr>
          <w:rFonts w:ascii="Arial" w:cs="Arial" w:eastAsia="Arial" w:hAnsi="Arial"/>
          <w:sz w:val="18"/>
          <w:szCs w:val="18"/>
          <w:color w:val="auto"/>
        </w:rPr>
      </w:pPr>
    </w:p>
    <w:p>
      <w:pPr>
        <w:ind w:left="1460" w:right="180" w:hanging="547"/>
        <w:spacing w:after="0" w:line="277" w:lineRule="auto"/>
        <w:tabs>
          <w:tab w:leader="none" w:pos="14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75" w:lineRule="exact"/>
        <w:rPr>
          <w:rFonts w:ascii="Arial" w:cs="Arial" w:eastAsia="Arial" w:hAnsi="Arial"/>
          <w:sz w:val="18"/>
          <w:szCs w:val="18"/>
          <w:color w:val="auto"/>
        </w:rPr>
      </w:pPr>
    </w:p>
    <w:p>
      <w:pPr>
        <w:ind w:left="900" w:hanging="446"/>
        <w:spacing w:after="0" w:line="287" w:lineRule="auto"/>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of other REITs,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any taxable REIT subsidiary, or any qualified REIT subsidiary (the “10% asset test”), (C) the value of our securities in one or more taxable REIT subsidiaries may not exceed 25% of the value of our total assets, and (D) no more than 25% of the value of our total assets may consist of the securities of taxable REIT subsidiaries and our assets that are not qualifying assets for purposes of the 75% asset test.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As described above, we may from time to time hold mortgage debt. Mortgage loans will generally qualify as real estate assets for purposes of the 75% asset test to the extent that they are secured by real property. However, if a loan is secured by real property and other property and the highest principal amount of a loan outstanding during a taxable year exceeds the fair market value of the real property securing the loan as of the date we agreed to acquire the loan, then a portion of such loan likely will not be a qualifying real estate asset. Under current law, it is not clear how to determine what portion of such a loan will be treated as a real estate asset. Under recently issued guidance, the IRS has stated that it will not challenge a REIT’s treatment of a loan as being, in part, a real estate asset for purposes of the 75% asset test if the REIT treats the loan as being a qualifying real estate asset in an amount equal to the lesser of (i) the greater of (a) the current fair market value of the real property securing the loan or (b) the fair market value of such property on the date the REIT acquires the loan, or (ii) the fair market value of the loan.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firstLine="456"/>
        <w:spacing w:after="0" w:line="288" w:lineRule="auto"/>
        <w:rPr>
          <w:sz w:val="20"/>
          <w:szCs w:val="20"/>
          <w:color w:val="auto"/>
        </w:rPr>
      </w:pPr>
      <w:r>
        <w:rPr>
          <w:rFonts w:ascii="Arial" w:cs="Arial" w:eastAsia="Arial" w:hAnsi="Arial"/>
          <w:sz w:val="16"/>
          <w:szCs w:val="16"/>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w:t>
      </w:r>
    </w:p>
    <w:p>
      <w:pPr>
        <w:ind w:right="300" w:firstLine="8"/>
        <w:spacing w:after="0" w:line="261" w:lineRule="auto"/>
        <w:tabs>
          <w:tab w:leader="none" w:pos="265" w:val="left"/>
        </w:tabs>
        <w:numPr>
          <w:ilvl w:val="0"/>
          <w:numId w:val="72"/>
        </w:numPr>
        <w:rPr>
          <w:rFonts w:ascii="Arial" w:cs="Arial" w:eastAsia="Arial" w:hAnsi="Arial"/>
          <w:sz w:val="18"/>
          <w:szCs w:val="18"/>
          <w:color w:val="auto"/>
        </w:rPr>
      </w:pPr>
      <w:r>
        <w:rPr>
          <w:rFonts w:ascii="Arial" w:cs="Arial" w:eastAsia="Arial" w:hAnsi="Arial"/>
          <w:sz w:val="18"/>
          <w:szCs w:val="18"/>
          <w:color w:val="auto"/>
        </w:rPr>
        <w:t>of the preceding sentence, we still could avoid disqualification as a REIT by eliminating any discrepancy within 30 days after the close of the calendar quarter in which the discrepancy arose.</w:t>
      </w:r>
    </w:p>
    <w:p>
      <w:pPr>
        <w:spacing w:after="0" w:line="18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Asset Tests. </w:t>
      </w:r>
      <w:r>
        <w:rPr>
          <w:rFonts w:ascii="Arial" w:cs="Arial" w:eastAsia="Arial" w:hAnsi="Arial"/>
          <w:sz w:val="16"/>
          <w:szCs w:val="16"/>
          <w:color w:val="auto"/>
        </w:rPr>
        <w:t>If we fail to satisfy one or more of the asset tests for any quarter of a taxable year,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 (ii) 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6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8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7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9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preferred shares or additional common shares to raise the cash necessary to make required distributions or, if possible, pay taxable dividends of our shares or debt securities.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may satisfy the 90% distribution requirement with taxable distributions of our shares or debt securities. The IRS has issued private letter rulings to other REITs treating certain distributions that are paid partly in cash and partly in shares as dividends that would satisfy the REIT annual distribution requirement and qualify for the dividends paid deduction for federal income tax purposes. Those rulings may be relied upon only by taxpayers to whom they were issued, but we could request a similar ruling from the IRS. In addition, the IRS previously issued a revenue procedure authorizing publicly traded REITs to make elective cash/share dividends, but that revenue procedure’s effectiveness has expired and does not apply to our current and future taxable years. Accordingly, it is unclear whether and to what extent we will be able to make taxable dividends payable in cash and shares. We have no current intention to make a taxable dividend payable in our shares or debt securities.</w:t>
      </w:r>
    </w:p>
    <w:p>
      <w:pPr>
        <w:spacing w:after="0" w:line="178"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b w:val="1"/>
          <w:bCs w:val="1"/>
          <w:i w:val="1"/>
          <w:iCs w:val="1"/>
          <w:color w:val="auto"/>
        </w:rPr>
        <w:t xml:space="preserve">Record Keeping Requirements. </w:t>
      </w:r>
      <w:r>
        <w:rPr>
          <w:rFonts w:ascii="Arial" w:cs="Arial" w:eastAsia="Arial" w:hAnsi="Arial"/>
          <w:sz w:val="18"/>
          <w:szCs w:val="18"/>
          <w:color w:val="auto"/>
        </w:rPr>
        <w:t>We must maintain certain records in order to qualify as a REIT. In addition, to avoid a monetary penalty, we must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 on an annual basis certain information from our shareholders designed to disclose the actual ownership of our outstanding shares. We have complied, and intend to continue to comply, with such requirements.</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8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b w:val="1"/>
          <w:bCs w:val="1"/>
          <w:i w:val="1"/>
          <w:iCs w:val="1"/>
          <w:color w:val="auto"/>
        </w:rPr>
        <w:t xml:space="preserve">Failure to Qualify. </w:t>
      </w:r>
      <w:r>
        <w:rPr>
          <w:rFonts w:ascii="Arial" w:cs="Arial" w:eastAsia="Arial" w:hAnsi="Arial"/>
          <w:sz w:val="17"/>
          <w:szCs w:val="17"/>
          <w:color w:val="auto"/>
        </w:rPr>
        <w:t>If we fail to qualify as a REIT in any taxable year, and no relief provision applied, we would be subject to federal income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any applicable alternative minimum tax) 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See “— Taxation of Taxable U.S. Shareholders —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As used herein, the term “taxable U.S. shareholder” means a taxable beneficial owner of our common or preferred shares that for U.S. federal income tax purposes is:</w:t>
      </w:r>
    </w:p>
    <w:p>
      <w:pPr>
        <w:spacing w:after="0" w:line="76"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130" w:lineRule="exact"/>
        <w:rPr>
          <w:rFonts w:ascii="Arial" w:cs="Arial" w:eastAsia="Arial" w:hAnsi="Arial"/>
          <w:sz w:val="18"/>
          <w:szCs w:val="18"/>
          <w:color w:val="auto"/>
        </w:rPr>
      </w:pPr>
    </w:p>
    <w:p>
      <w:pPr>
        <w:ind w:left="900" w:right="400" w:hanging="446"/>
        <w:spacing w:after="0" w:line="308" w:lineRule="auto"/>
        <w:tabs>
          <w:tab w:leader="none" w:pos="9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 trust if (A) a U.S. court is able to exercise primary supervision over the administration of such trust and one or more U.S. persons have the authority to control all substantial decisions of the trust, or (B) it has a valid election in effect to be treated as a U.S. person.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depositary receipts.</w:t>
      </w:r>
    </w:p>
    <w:p>
      <w:pPr>
        <w:spacing w:after="0" w:line="18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b w:val="1"/>
          <w:bCs w:val="1"/>
          <w:i w:val="1"/>
          <w:iCs w:val="1"/>
          <w:color w:val="auto"/>
        </w:rPr>
        <w:t xml:space="preserve">Dividends and Other Taxable U.S. Shareholder Distributions. </w:t>
      </w:r>
      <w:r>
        <w:rPr>
          <w:rFonts w:ascii="Arial" w:cs="Arial" w:eastAsia="Arial" w:hAnsi="Arial"/>
          <w:sz w:val="18"/>
          <w:szCs w:val="18"/>
          <w:color w:val="auto"/>
        </w:rPr>
        <w:t>As long as we qualify as a REIT, a taxable U.S. shareholder must take into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on our common or preferred shares out of our current and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maximum 20% tax rate for “qualified dividend income.”</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determining the extent to which a distribution constitutes a dividend for U.S.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78" w:lineRule="exact"/>
        <w:rPr>
          <w:sz w:val="20"/>
          <w:szCs w:val="20"/>
          <w:color w:val="auto"/>
        </w:rPr>
      </w:pPr>
    </w:p>
    <w:p>
      <w:pPr>
        <w:jc w:val="both"/>
        <w:ind w:right="80" w:firstLine="456"/>
        <w:spacing w:after="0" w:line="257" w:lineRule="auto"/>
        <w:rPr>
          <w:sz w:val="20"/>
          <w:szCs w:val="20"/>
          <w:color w:val="auto"/>
        </w:rPr>
      </w:pPr>
      <w:r>
        <w:rPr>
          <w:rFonts w:ascii="Arial" w:cs="Arial" w:eastAsia="Arial" w:hAnsi="Arial"/>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common or preferred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8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8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6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b w:val="1"/>
          <w:bCs w:val="1"/>
          <w:i w:val="1"/>
          <w:iCs w:val="1"/>
          <w:color w:val="auto"/>
        </w:rPr>
        <w:t xml:space="preserve">Taxation of Taxable U.S. Shareholders on the Disposition of Our Shares. </w:t>
      </w:r>
      <w:r>
        <w:rPr>
          <w:rFonts w:ascii="Arial" w:cs="Arial" w:eastAsia="Arial" w:hAnsi="Arial"/>
          <w:sz w:val="17"/>
          <w:szCs w:val="17"/>
          <w:color w:val="auto"/>
        </w:rPr>
        <w:t>In general, a taxable U.S. shareholder must treat any gain or loss realized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upon a taxable disposition of our common or preferred shares as long-term capital gain or loss if the taxable U.S. shareholder has held the shares for more than one year and otherwise as short-term capital gain or loss. A taxable U.S. shareholder will generally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 increased by the excess of net capital gains deemed distributed to the taxable U.S. shareholder (discussed above) less tax deemed paid on such gains and reduced by any returns of capital. However, a taxable U.S. shareholder must treat any loss upon a sale or exchange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w:t>
      </w:r>
    </w:p>
    <w:p>
      <w:pPr>
        <w:spacing w:after="0" w:line="147"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b w:val="1"/>
          <w:bCs w:val="1"/>
          <w:i w:val="1"/>
          <w:iCs w:val="1"/>
          <w:color w:val="auto"/>
        </w:rPr>
        <w:t xml:space="preserve">Capital Gains and Losses. </w:t>
      </w:r>
      <w:r>
        <w:rPr>
          <w:rFonts w:ascii="Arial" w:cs="Arial" w:eastAsia="Arial" w:hAnsi="Arial"/>
          <w:sz w:val="17"/>
          <w:szCs w:val="17"/>
          <w:color w:val="auto"/>
        </w:rPr>
        <w:t>A taxpayer generally must hold a capital asset for more than one year for gain or loss derived from its sale or exchange to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8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Redemption of Preferred Shares for Cash. </w:t>
      </w:r>
      <w:r>
        <w:rPr>
          <w:rFonts w:ascii="Arial" w:cs="Arial" w:eastAsia="Arial" w:hAnsi="Arial"/>
          <w:sz w:val="16"/>
          <w:szCs w:val="16"/>
          <w:color w:val="auto"/>
        </w:rPr>
        <w:t>The treatment accorded to any redemption by us for cash (as distinguished from a sale, exchange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w:t>
      </w:r>
    </w:p>
    <w:p>
      <w:pPr>
        <w:spacing w:after="0" w:line="2" w:lineRule="exact"/>
        <w:rPr>
          <w:sz w:val="20"/>
          <w:szCs w:val="20"/>
          <w:color w:val="auto"/>
        </w:rPr>
      </w:pPr>
    </w:p>
    <w:p>
      <w:pPr>
        <w:ind w:firstLine="8"/>
        <w:spacing w:after="0" w:line="269" w:lineRule="auto"/>
        <w:tabs>
          <w:tab w:leader="none" w:pos="215" w:val="left"/>
        </w:tabs>
        <w:numPr>
          <w:ilvl w:val="0"/>
          <w:numId w:val="74"/>
        </w:numPr>
        <w:rPr>
          <w:rFonts w:ascii="Arial" w:cs="Arial" w:eastAsia="Arial" w:hAnsi="Arial"/>
          <w:sz w:val="17"/>
          <w:szCs w:val="17"/>
          <w:color w:val="auto"/>
        </w:rPr>
      </w:pPr>
      <w:r>
        <w:rPr>
          <w:rFonts w:ascii="Arial" w:cs="Arial" w:eastAsia="Arial" w:hAnsi="Arial"/>
          <w:sz w:val="17"/>
          <w:szCs w:val="17"/>
          <w:color w:val="auto"/>
        </w:rPr>
        <w:t>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8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 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66"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Under proposed Treasury regulations, if any portion of the amount received by a taxable U.S. shareholder on a redemption of our preferred shares is treated as a distribution with respect to our shares but not as a taxable dividend, then such portion will be allocated to all shares held by the taxable U.S. shareholder just before the redemption on a pro rata, share-by-share, basis. The amount applied to each share will first reduce the taxable U.S.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shareholder’s basis in that share and any excess after the basis is reduced to zero will result in taxable gain. If the holder has different basis in its shares, then the amount allocated could reduce some of the basis in certain shares while reducing all the basis and giving rise to taxable gain in others. Thus the taxable U.S. shareholder could have gain even if the holder’s basis in all its shares exceeded such portion. The proposed Treasury regulations permit the transfer of basis in the redeemed shares of the preferred shares to the taxable U.S. shareholder’s remaining, unredeemed preferred shares (if any), but not to any other class of shares held (directly or indirectly) by the taxable U.S. shareholder. Instead, any unrecovered basis in the preferred shares would be treated as a deferred loss to be recognized when certain conditions are satisfied. The proposed Treasury regulations would be effective for transactions that occur after the date the regulations are published as final Treasury regulations. There can, however, be no assurance as to whether, when and in what particular form such proposed Treasury regulations will ultimately be finalized. We urge you to consult your tax advisor concerning the treatment of a cash redemption of our preferred shares.</w:t>
      </w:r>
    </w:p>
    <w:p>
      <w:pPr>
        <w:spacing w:after="0" w:line="18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Redemption or Conversion of Preferred Shares to Common Shares. </w:t>
      </w:r>
      <w:r>
        <w:rPr>
          <w:rFonts w:ascii="Arial" w:cs="Arial" w:eastAsia="Arial" w:hAnsi="Arial"/>
          <w:sz w:val="16"/>
          <w:szCs w:val="16"/>
          <w:color w:val="auto"/>
        </w:rPr>
        <w:t>Assuming that preferred shares will not be redeemed or converted at a time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distributions in arrears, in general, no gain or loss will be recognized for U.S. federal income tax purposes upon the redemption or conversion of our preferred shares at the option of the holder solely into common shares. The basis that a taxable U.S. shareholder will have for U.S. federal income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6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12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pursuant to the terms of a class of preferred shares, a taxable U.S. shareholder receives alternative consideration such as cash, securities or other property or assets (including any combination thereof) in lieu of common shares in connection with the conversion of the taxable U.S. shareholder’s preferred shares, the tax treatment of the receipt of any such other consideration will depend on the nature of the consideration and the structure of the transaction that gives rise to the right to receive such alternative consideration, and it may be a taxable exchange. Taxable U.S. shareholders converting their preferred shares should consult their tax advisors regarding the U.S. federal income tax consequences of any such conversion and of the ownership and disposition of the consideration received upon any such conversion.</w:t>
      </w:r>
    </w:p>
    <w:p>
      <w:pPr>
        <w:spacing w:after="0" w:line="193"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i w:val="1"/>
          <w:iCs w:val="1"/>
          <w:color w:val="auto"/>
        </w:rPr>
        <w:t xml:space="preserve">Adjustments to Conversion Price. </w:t>
      </w:r>
      <w:r>
        <w:rPr>
          <w:rFonts w:ascii="Arial" w:cs="Arial" w:eastAsia="Arial" w:hAnsi="Arial"/>
          <w:sz w:val="16"/>
          <w:szCs w:val="16"/>
          <w:color w:val="auto"/>
        </w:rPr>
        <w:t>Under Section 305 of the Code, holders of preferred shares may be deemed to have received a constructive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distribution of shares that is taxable as a dividend where the conversion ratio is adjusted to reflect a cash or property distribution with respect to the common shares into which it is convertible. An adjustment to the conversion price made pursuant 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reasonable adjustment formula that has the effect of preventing dilution of the interest of the holders, however, will generally not be considered to result in a constructive distribution of shares. Certain of the possible adjustments that may be provided in issuances of our preferred shares may not qualify as being pursuant to a </w:t>
      </w:r>
      <w:r>
        <w:rPr>
          <w:rFonts w:ascii="Arial" w:cs="Arial" w:eastAsia="Arial" w:hAnsi="Arial"/>
          <w:sz w:val="16"/>
          <w:szCs w:val="16"/>
          <w:i w:val="1"/>
          <w:iCs w:val="1"/>
          <w:color w:val="auto"/>
        </w:rPr>
        <w:t>bona fide</w:t>
      </w:r>
      <w:r>
        <w:rPr>
          <w:rFonts w:ascii="Arial" w:cs="Arial" w:eastAsia="Arial" w:hAnsi="Arial"/>
          <w:sz w:val="16"/>
          <w:szCs w:val="16"/>
          <w:color w:val="auto"/>
        </w:rPr>
        <w:t>, reasonable adjustment formula. In such a case, if a nonqualifying adjustment were made, the holders of preferred shares might be deemed to have received a taxable stock dividend.</w:t>
      </w:r>
    </w:p>
    <w:p>
      <w:pPr>
        <w:spacing w:after="0" w:line="165"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b w:val="1"/>
          <w:bCs w:val="1"/>
          <w:i w:val="1"/>
          <w:iCs w:val="1"/>
          <w:color w:val="auto"/>
        </w:rPr>
        <w:t xml:space="preserve">Passive Activity and Investment Income Limitations. </w:t>
      </w:r>
      <w:r>
        <w:rPr>
          <w:rFonts w:ascii="Arial" w:cs="Arial" w:eastAsia="Arial" w:hAnsi="Arial"/>
          <w:sz w:val="16"/>
          <w:szCs w:val="16"/>
          <w:color w:val="auto"/>
        </w:rPr>
        <w:t>Distributions from us and gain from the disposition of our common or preferred shares will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treated as passive 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or preferred shares generally will be treated as investment income for purposes of the investment income limitation.</w:t>
      </w:r>
    </w:p>
    <w:p>
      <w:pPr>
        <w:spacing w:after="0" w:line="154"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b w:val="1"/>
          <w:bCs w:val="1"/>
          <w:i w:val="1"/>
          <w:iCs w:val="1"/>
          <w:color w:val="auto"/>
        </w:rPr>
        <w:t xml:space="preserve">Medicare Tax on Unearned Income. </w:t>
      </w:r>
      <w:r>
        <w:rPr>
          <w:rFonts w:ascii="Arial" w:cs="Arial" w:eastAsia="Arial" w:hAnsi="Arial"/>
          <w:sz w:val="17"/>
          <w:szCs w:val="17"/>
          <w:color w:val="auto"/>
        </w:rPr>
        <w:t>Certain taxable U.S. shareholders who are individuals, estates or trusts are subject to a 3.8% Medicare tax on 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a portion of their “net investment income,” which may include all or a portion of their dividends on our common or preferred shares and net gains from the taxable disposition of their shares. Taxable U.S. shareholders that are individuals, estates or trusts should consult their tax advisors regarding the applicability of the Medicare tax to any of their income or gains in respect of our common or preferred shares.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Current Tax Rates. </w:t>
      </w:r>
      <w:r>
        <w:rPr>
          <w:rFonts w:ascii="Arial" w:cs="Arial" w:eastAsia="Arial" w:hAnsi="Arial"/>
          <w:sz w:val="18"/>
          <w:szCs w:val="18"/>
          <w:color w:val="auto"/>
        </w:rPr>
        <w:t>The maximum tax rate on the long-term capital gains of domestic non-corporate taxpayers is 20%. The maximum tax rate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“qualified dividend income” is the same as the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with respect to non-corporate taxpayers, the lower qualified dividend income/capital gains tax rate (at a maximum of 20%) does generally apply to:</w:t>
      </w:r>
    </w:p>
    <w:p>
      <w:pPr>
        <w:spacing w:after="0" w:line="99"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70"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b w:val="1"/>
          <w:bCs w:val="1"/>
          <w:i w:val="1"/>
          <w:iCs w:val="1"/>
          <w:color w:val="auto"/>
        </w:rPr>
        <w:t xml:space="preserve">Information Reporting and Backup Withholding. </w:t>
      </w:r>
      <w:r>
        <w:rPr>
          <w:rFonts w:ascii="Arial" w:cs="Arial" w:eastAsia="Arial" w:hAnsi="Arial"/>
          <w:sz w:val="17"/>
          <w:szCs w:val="17"/>
          <w:color w:val="auto"/>
        </w:rPr>
        <w:t>Taxable U.S. shareholders that are “exempt recipients” (such as corporations) generally will not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subject to U.S. backup withholding and related information reporting on payments of dividends on, and the proceeds from the disposition of, our common or preferred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28%)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 provided that the shareholder provides the required information to the IRS in a timely manner.</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121"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87"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75" w:lineRule="exact"/>
        <w:rPr>
          <w:rFonts w:ascii="Arial" w:cs="Arial" w:eastAsia="Arial" w:hAnsi="Arial"/>
          <w:sz w:val="18"/>
          <w:szCs w:val="18"/>
          <w:color w:val="auto"/>
        </w:rPr>
      </w:pPr>
    </w:p>
    <w:p>
      <w:pPr>
        <w:ind w:left="900" w:right="280" w:hanging="446"/>
        <w:spacing w:after="0" w:line="308" w:lineRule="auto"/>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14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rules governing U.S. federal income taxation of non-U.S. shareholders (defined below) are complex. This section is only a summary of such rules. We urge non-U.S. shareholders to consult their tax advisors to determine the impact of the U.S. federal, state, and local income tax laws on ownership of our common or preferred shares, including any reporting requirements. As used herein, the term “non-U.S. shareholder” means any taxable beneficial owner of our shares (other than a partnership or entity that is treated as a partnership for U.S. federal income tax purposes) that is not a taxable U.S. shareholder or exempt organization.</w:t>
      </w:r>
    </w:p>
    <w:p>
      <w:pPr>
        <w:spacing w:after="0" w:line="188"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i w:val="1"/>
          <w:iCs w:val="1"/>
          <w:color w:val="auto"/>
        </w:rPr>
        <w:t xml:space="preserve">Ordinary Dividends. </w:t>
      </w:r>
      <w:r>
        <w:rPr>
          <w:rFonts w:ascii="Arial" w:cs="Arial" w:eastAsia="Arial" w:hAnsi="Arial"/>
          <w:sz w:val="17"/>
          <w:szCs w:val="17"/>
          <w:color w:val="auto"/>
        </w:rPr>
        <w:t>A non-U.S. shareholder that receives a distribution that is not attributable to gain from our sale or exchange of “U.S. real property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interests” (as defined below) and that we do not designate as a capital gain dividend or retained capital gain will recognize ordinary income to the extent that we pay such distribution out of our current and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 the non-U.S. shareholder’s conduct of a U.S. trade or business (and, if required by an applicable income tax treaty, attributable to a U.S. permanent establishment maintained by the non-U.S. shareholder),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tax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or W-8BEN-E to us evidencing eligibility for that reduced rate, or (ii) the non-U.S. shareholder timely provides an IRS Form W-8ECI to us claiming that the distribution is effectively connected income.</w:t>
      </w:r>
    </w:p>
    <w:p>
      <w:pPr>
        <w:spacing w:after="0" w:line="188"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b w:val="1"/>
          <w:bCs w:val="1"/>
          <w:i w:val="1"/>
          <w:iCs w:val="1"/>
          <w:color w:val="auto"/>
        </w:rPr>
        <w:t>Return of Capital</w:t>
      </w:r>
      <w:r>
        <w:rPr>
          <w:rFonts w:ascii="Arial" w:cs="Arial" w:eastAsia="Arial" w:hAnsi="Arial"/>
          <w:sz w:val="17"/>
          <w:szCs w:val="17"/>
          <w:color w:val="auto"/>
        </w:rPr>
        <w:t>. A non-U.S. shareholder will not incur tax on a distribution to the extent it exceeds our current and accumulated earnings and profits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If we are treated as a “United States real property holding corporation,” we will be required to withhold 10% of any distribution that exceeds our current and accumulated earnings and profits. Consequently, although we intend to withhold at a rate of 30% on the entire amount of any distribution, to the extent we do not do so, we may withhold at a rate of 10% on any portion of a distribution not subject to withholding at a rate of 30%.</w:t>
      </w:r>
    </w:p>
    <w:p>
      <w:pPr>
        <w:spacing w:after="0" w:line="166"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b w:val="1"/>
          <w:bCs w:val="1"/>
          <w:i w:val="1"/>
          <w:iCs w:val="1"/>
          <w:color w:val="auto"/>
        </w:rPr>
        <w:t xml:space="preserve">Capital Gain Dividends. </w:t>
      </w:r>
      <w:r>
        <w:rPr>
          <w:rFonts w:ascii="Arial" w:cs="Arial" w:eastAsia="Arial" w:hAnsi="Arial"/>
          <w:sz w:val="17"/>
          <w:szCs w:val="17"/>
          <w:color w:val="auto"/>
        </w:rPr>
        <w:t>Provided that a particular class of our shares is “regularly traded” on an established securities market in the United States,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non-U.S. shareholder does not own more than 5%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7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If the foregoing exception does not apply, for example because the non-U.S. shareholder owns more than 5% of the relevant class of our shares, or because our shares are not regularly traded on an established securities market, the non-U.S. shareholder will incur tax on distributions that are attributable to gain from our sale or exchange of U.S. real property interests under the provisions of the Foreign Investment in 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may also be subject to the 30% branch profits tax unless the tax is reduced or eliminated by an applicable income tax treaty.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 amount of the distribution designated as a capital gain dividend. A non-U.S. shareholder may receive a credit against its FIRPTA tax liability for the amount we withhold.</w:t>
      </w:r>
    </w:p>
    <w:p>
      <w:pPr>
        <w:spacing w:after="0" w:line="17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i w:val="1"/>
          <w:iCs w:val="1"/>
          <w:color w:val="auto"/>
        </w:rPr>
        <w:t xml:space="preserve">Retention of Net Capital Gains. </w:t>
      </w:r>
      <w:r>
        <w:rPr>
          <w:rFonts w:ascii="Arial" w:cs="Arial" w:eastAsia="Arial" w:hAnsi="Arial"/>
          <w:sz w:val="17"/>
          <w:szCs w:val="17"/>
          <w:color w:val="auto"/>
        </w:rPr>
        <w:t>Although the law is not clear on the matter, it appears that amounts we designate as retained capital gains in respect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of the non-U.S. shareholder’s proportionate share of such tax paid by us exceeds its actual U.S. federal income tax liability, provided that 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7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b w:val="1"/>
          <w:bCs w:val="1"/>
          <w:i w:val="1"/>
          <w:iCs w:val="1"/>
          <w:color w:val="auto"/>
        </w:rPr>
        <w:t>Sale of Shares</w:t>
      </w:r>
      <w:r>
        <w:rPr>
          <w:rFonts w:ascii="Arial" w:cs="Arial" w:eastAsia="Arial" w:hAnsi="Arial"/>
          <w:sz w:val="17"/>
          <w:szCs w:val="17"/>
          <w:color w:val="auto"/>
        </w:rPr>
        <w:t>. A non-U.S. shareholder generally will not incur tax under FIRPTA on gain from the sale of its common or preferred shares as long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are a “domestically controlled REIT.” A “domestically controlled” REIT is a REIT in which at all times during a specified testing period non-U.S. persons held, directly or indirectly, less than 50% in value of our shares. We anticipate that we will continue to be a domestically controlled REIT, but there is no assurance that we will continue to be so. However, even if we are not, or cease to be, a domestically controlled REIT, a non-U.S. shareholder that owns, actually or constructively, 5% or less of a class of our of outstanding shares at all times during a specified testing period will not incur tax under FIRPTA on a sale of such shares if shares of such class are “regularly traded” on an established securities market. If neither of these exceptions were to apply, the gain on the sale of the common or preferred shares would be taxed under FIRPTA, in which case a non-U.S. shareholder would be required to file a U.S. federal income tax return and would be taxed in generally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10% of the purchase price.</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(and, if required by an applicable income tax treaty, is attributable to a U.S. permanent establishment maintained by the non-U.S. shareholder),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Wash Sales. </w:t>
      </w:r>
      <w:r>
        <w:rPr>
          <w:rFonts w:ascii="Arial" w:cs="Arial" w:eastAsia="Arial" w:hAnsi="Arial"/>
          <w:sz w:val="18"/>
          <w:szCs w:val="18"/>
          <w:color w:val="auto"/>
        </w:rPr>
        <w:t>In general, special wash sale rules apply if a shareholder owning more than 5% of our common or preferred shares avoids a taxable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of 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Information Reporting and Backup Withholding. </w:t>
      </w:r>
      <w:r>
        <w:rPr>
          <w:rFonts w:ascii="Arial" w:cs="Arial" w:eastAsia="Arial" w:hAnsi="Arial"/>
          <w:sz w:val="18"/>
          <w:szCs w:val="18"/>
          <w:color w:val="auto"/>
        </w:rPr>
        <w:t>We must report annually to the IRS and to each non-U.S. shareholder the amount of distributions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paid 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87"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Backup withholding (currently at the rate of 28%) and additional information reporting will generally not apply to distributions to 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U.S. person that is not an exempt recipient.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70" w:lineRule="exact"/>
        <w:rPr>
          <w:sz w:val="20"/>
          <w:szCs w:val="20"/>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130"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U.S. persons or if it is engaged in the conduct of a trade or business in the U.S.,</w:t>
      </w:r>
    </w:p>
    <w:p>
      <w:pPr>
        <w:spacing w:after="0" w:line="170"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timely supplied to the IRS.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b w:val="1"/>
          <w:bCs w:val="1"/>
          <w:i w:val="1"/>
          <w:iCs w:val="1"/>
          <w:color w:val="auto"/>
        </w:rPr>
        <w:t xml:space="preserve">Reporting and Withholding on Foreign Financial Accounts. </w:t>
      </w:r>
      <w:r>
        <w:rPr>
          <w:rFonts w:ascii="Arial" w:cs="Arial" w:eastAsia="Arial" w:hAnsi="Arial"/>
          <w:sz w:val="16"/>
          <w:szCs w:val="16"/>
          <w:color w:val="auto"/>
        </w:rPr>
        <w:t>Certain foreign financial institutions and non-financial foreign entities are subject 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30% U.S. federal withholding tax on dividends on our common or preferred shares unless (i) in the case of a foreign financial institution (which term generally includes investment funds), such institution enters into an agreement with the U.S. government (unless alternative procedures apply pursuant to an applicable intergovernmental agreement between the United States and the relevant foreign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and to withhold on certain payments, and (ii) in the case of a non-financial foreign entity, such entity provides the withholding agent with a certification identifying any direct and indirect U.S. owners of the entity. In addition, if such disclosure requirements are not satisfied, withholding at a 30% rate on gross proceeds from the sale or other disposition of our common or preferred shares by such foreign financial institutions and non-financial foreign entities will generally begin after December 31, 2016 (or such other date as may be specified in guidance issued by the U.S. Treasury Department). Under certain circumstances, a non-U.S. shareholder might be eligible for refunds or credits of such taxes. Prospective investors should consult their tax advisors regarding the possible implications of these withholding provisions on the acquisition, ownership and disposition of our common or preferred shares. We will not pay any additional amounts in respect of any amounts withheld.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Considerations</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b w:val="1"/>
          <w:bCs w:val="1"/>
          <w:i w:val="1"/>
          <w:iCs w:val="1"/>
          <w:color w:val="auto"/>
        </w:rPr>
        <w:t xml:space="preserve">State and Local Taxes. </w:t>
      </w:r>
      <w:r>
        <w:rPr>
          <w:rFonts w:ascii="Arial" w:cs="Arial" w:eastAsia="Arial" w:hAnsi="Arial"/>
          <w:sz w:val="16"/>
          <w:szCs w:val="16"/>
          <w:color w:val="auto"/>
        </w:rPr>
        <w:t>We and/or you may be subject to state and local tax in various states and localities, including those states and localities in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or you transact business, own property or reside. The state and local tax treatment in such jurisdictions may differ from the federal income tax treatment described above. Consequently, you should consult your tax advisors regarding the effect of state and local tax laws upon an investment in our securities.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sell the securities being offered by this prospectus in one or more of the following ways from time to time: (1) through underwriters or dealers;</w:t>
      </w:r>
    </w:p>
    <w:p>
      <w:pPr>
        <w:spacing w:after="0" w:line="46" w:lineRule="exact"/>
        <w:rPr>
          <w:sz w:val="20"/>
          <w:szCs w:val="20"/>
          <w:color w:val="auto"/>
        </w:rPr>
      </w:pPr>
    </w:p>
    <w:p>
      <w:pPr>
        <w:ind w:left="260" w:hanging="252"/>
        <w:spacing w:after="0"/>
        <w:tabs>
          <w:tab w:leader="none" w:pos="2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through agents; (3) in “at the market offerings” to or through a market maker or into an existing trading market or securities exchange or otherwise;</w:t>
      </w:r>
    </w:p>
    <w:p>
      <w:pPr>
        <w:spacing w:after="0" w:line="20" w:lineRule="exact"/>
        <w:rPr>
          <w:rFonts w:ascii="Arial" w:cs="Arial" w:eastAsia="Arial" w:hAnsi="Arial"/>
          <w:sz w:val="17"/>
          <w:szCs w:val="17"/>
          <w:color w:val="auto"/>
        </w:rPr>
      </w:pPr>
    </w:p>
    <w:p>
      <w:pPr>
        <w:ind w:right="20" w:firstLine="8"/>
        <w:spacing w:after="0" w:line="273" w:lineRule="auto"/>
        <w:tabs>
          <w:tab w:leader="none" w:pos="255" w:val="left"/>
        </w:tabs>
        <w:numPr>
          <w:ilvl w:val="0"/>
          <w:numId w:val="79"/>
        </w:numPr>
        <w:rPr>
          <w:rFonts w:ascii="Arial" w:cs="Arial" w:eastAsia="Arial" w:hAnsi="Arial"/>
          <w:sz w:val="17"/>
          <w:szCs w:val="17"/>
          <w:color w:val="auto"/>
        </w:rPr>
      </w:pPr>
      <w:r>
        <w:rPr>
          <w:rFonts w:ascii="Arial" w:cs="Arial" w:eastAsia="Arial" w:hAnsi="Arial"/>
          <w:sz w:val="17"/>
          <w:szCs w:val="17"/>
          <w:color w:val="auto"/>
        </w:rPr>
        <w:t>directly to purchasers or shareholders, (5) through a combination of any of these methods of sale or (6) through any other legally available means. In addition, the sales will be made at market prices prevailing at the time of sale, at prices related to such prevailing market prices, at a fixed price or prices, which may be changed or at negotiated prices.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methods by which we may distribute securities include:</w:t>
      </w:r>
    </w:p>
    <w:p>
      <w:pPr>
        <w:spacing w:after="0" w:line="131" w:lineRule="exact"/>
        <w:rPr>
          <w:sz w:val="20"/>
          <w:szCs w:val="20"/>
          <w:color w:val="auto"/>
        </w:rPr>
      </w:pPr>
    </w:p>
    <w:p>
      <w:pPr>
        <w:ind w:left="900" w:right="80" w:hanging="446"/>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purchases by a dealer as principal and resale by such dealer for its account pursuant to this prospectus or any prospectus supplement;</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ordinary broker transactions and transactions in which the broker solicits purchasers;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225"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4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6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70"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 laws of the jurisdiction to which the purchaser is subject. The underwriters and other agents will not have any responsibility in respect of the validity or performance of such contracts.</w:t>
      </w:r>
    </w:p>
    <w:p>
      <w:pPr>
        <w:spacing w:after="0" w:line="179"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The securities may or may not be listed on a national securities exchange or traded in the over-the-counter market (other than the common shares, which are quoted on the New York Stock Exchange). No assurance can be given as to the liquidity of the trading market for any such securities.</w:t>
      </w:r>
    </w:p>
    <w:p>
      <w:pPr>
        <w:spacing w:after="0" w:line="124"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If underwriters or dealers are used in the sale, until the distribution of the securities is completed, SEC rules may limit the ability of any such underwriters and selling group members to bid for and purchase the securities. As 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8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Certain of the underwriters or agents and their affiliates may engage in transactions with and perform services for us or our affiliates in the ordinary course of their respective businesses.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validity of the offered securities and the accuracy of the discussion under “Material Federal Income Tax Considerations” contained in this prospectus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The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 in giving said reports.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right="200" w:firstLine="456"/>
        <w:spacing w:after="0" w:line="257"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at the SEC’s Public Reference Room at 100 F Street, N.E., Washington, D.C. 20549. 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currently located at 20 Broad Street, New York, NY 10005.</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with the SEC under Sections 13(a), 13(c), 14, or 15(d) of the Exchange Act (File No. 1-07533) from the date of this prospectus until the termination of the offering of the securities described in this prospectus or the expiration of the registration statement.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2014, filed with the SEC on February 10, 2015;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Our Definitive Proxy Statement for our 2015 Annual Meeting of Shareholders, filed with the SEC on March 27, 2015;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2015, filed with the SEC on May 7, 2015;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Our Current Reports on Form 8-K filed with the SEC on February 10, 2015 (with disclosures under Item 5.02) and March 17, 2015;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Description of our common shares contained in the Registration Statement on Form 8-A/A, filed with the SEC on June 6, 2002.</w:t>
      </w:r>
    </w:p>
    <w:p>
      <w:pPr>
        <w:spacing w:after="0" w:line="22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89"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 xml:space="preserve">Copies of our SEC filings are available at no cost at our website, </w:t>
      </w:r>
      <w:r>
        <w:rPr>
          <w:rFonts w:ascii="Arial" w:cs="Arial" w:eastAsia="Arial" w:hAnsi="Arial"/>
          <w:sz w:val="17"/>
          <w:szCs w:val="17"/>
          <w:i w:val="1"/>
          <w:iCs w:val="1"/>
          <w:color w:val="auto"/>
        </w:rPr>
        <w:t>www.federalrealty.com</w:t>
      </w:r>
      <w:r>
        <w:rPr>
          <w:rFonts w:ascii="Arial" w:cs="Arial" w:eastAsia="Arial" w:hAnsi="Arial"/>
          <w:sz w:val="17"/>
          <w:szCs w:val="17"/>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998-8100</w:t>
      </w:r>
    </w:p>
    <w:p>
      <w:pPr>
        <w:spacing w:after="0" w:line="21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or jurisdiction where the offer is prohibited by law. You should not assume that the information in this prospectus, any prospectus supplement or any incorporated document is accurate as of any date other than the date of the document.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680"/>
        <w:spacing w:after="0"/>
        <w:rPr>
          <w:sz w:val="20"/>
          <w:szCs w:val="20"/>
          <w:color w:val="auto"/>
        </w:rPr>
      </w:pPr>
      <w:r>
        <w:rPr>
          <w:rFonts w:ascii="Arial" w:cs="Arial" w:eastAsia="Arial" w:hAnsi="Arial"/>
          <w:sz w:val="29"/>
          <w:szCs w:val="29"/>
          <w:b w:val="1"/>
          <w:bCs w:val="1"/>
          <w:color w:val="auto"/>
        </w:rPr>
        <w:t>1,000,000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340360</wp:posOffset>
            </wp:positionV>
            <wp:extent cx="2255520" cy="9093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25552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ind w:right="2459"/>
        <w:spacing w:after="0"/>
        <w:rPr>
          <w:sz w:val="20"/>
          <w:szCs w:val="20"/>
          <w:color w:val="auto"/>
        </w:rPr>
      </w:pPr>
      <w:r>
        <w:rPr>
          <w:rFonts w:ascii="Arial" w:cs="Arial" w:eastAsia="Arial" w:hAnsi="Arial"/>
          <w:sz w:val="25"/>
          <w:szCs w:val="25"/>
          <w:b w:val="1"/>
          <w:bCs w:val="1"/>
          <w:color w:val="auto"/>
        </w:rPr>
        <w:t>Common Shares of Beneficial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406400</wp:posOffset>
            </wp:positionV>
            <wp:extent cx="15176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120"/>
        <w:spacing w:after="0"/>
        <w:rPr>
          <w:sz w:val="20"/>
          <w:szCs w:val="20"/>
          <w:color w:val="auto"/>
        </w:rPr>
      </w:pPr>
      <w:r>
        <w:rPr>
          <w:rFonts w:ascii="Arial" w:cs="Arial" w:eastAsia="Arial" w:hAnsi="Arial"/>
          <w:sz w:val="29"/>
          <w:szCs w:val="29"/>
          <w:b w:val="1"/>
          <w:bCs w:val="1"/>
          <w:color w:val="auto"/>
        </w:rPr>
        <w:t>Citigroup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486410</wp:posOffset>
            </wp:positionV>
            <wp:extent cx="151765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120"/>
        <w:spacing w:after="0"/>
        <w:tabs>
          <w:tab w:leader="none" w:pos="5840" w:val="left"/>
        </w:tabs>
        <w:rPr>
          <w:sz w:val="20"/>
          <w:szCs w:val="20"/>
          <w:color w:val="auto"/>
        </w:rPr>
      </w:pPr>
      <w:r>
        <w:rPr>
          <w:rFonts w:ascii="Arial" w:cs="Arial" w:eastAsia="Arial" w:hAnsi="Arial"/>
          <w:sz w:val="18"/>
          <w:szCs w:val="18"/>
          <w:b w:val="1"/>
          <w:bCs w:val="1"/>
          <w:color w:val="auto"/>
        </w:rPr>
        <w:t>March</w:t>
        <w:tab/>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24662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lvl w:ilvl="1">
      <w:lvlJc w:val="left"/>
      <w:lvlText w:val="•"/>
      <w:numFmt w:val="bullet"/>
      <w:start w:val="1"/>
    </w:lvl>
  </w:abstractNum>
  <w:abstractNum w:abstractNumId="2">
    <w:nsid w:val="70A64E2A"/>
    <w:multiLevelType w:val="hybridMultilevel"/>
    <w:lvl w:ilvl="0">
      <w:lvlJc w:val="left"/>
      <w:lvlText w:val="(%1)"/>
      <w:numFmt w:val="decimal"/>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1)"/>
      <w:numFmt w:val="lowerLetter"/>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lvl w:ilvl="1">
      <w:lvlJc w:val="left"/>
      <w:lvlText w:val="•"/>
      <w:numFmt w:val="bullet"/>
      <w:start w:val="1"/>
    </w:lvl>
  </w:abstractNum>
  <w:abstractNum w:abstractNumId="20">
    <w:nsid w:val="1BA026FA"/>
    <w:multiLevelType w:val="hybridMultilevel"/>
    <w:lvl w:ilvl="0">
      <w:lvlJc w:val="left"/>
      <w:lvlText w:val="•"/>
      <w:numFmt w:val="bullet"/>
      <w:start w:val="1"/>
    </w:lvl>
    <w:lvl w:ilvl="1">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1."/>
      <w:numFmt w:val="decimal"/>
      <w:start w:val="1"/>
    </w:lvl>
  </w:abstractNum>
  <w:abstractNum w:abstractNumId="27">
    <w:nsid w:val="4F4EF005"/>
    <w:multiLevelType w:val="hybridMultilevel"/>
    <w:lvl w:ilvl="0">
      <w:lvlJc w:val="left"/>
      <w:lvlText w:val="(%1)"/>
      <w:numFmt w:val="lowerLetter"/>
      <w:start w:val="1"/>
    </w:lvl>
  </w:abstractNum>
  <w:abstractNum w:abstractNumId="28">
    <w:nsid w:val="23F9C13C"/>
    <w:multiLevelType w:val="hybridMultilevel"/>
    <w:lvl w:ilvl="0">
      <w:lvlJc w:val="left"/>
      <w:lvlText w:val="%1."/>
      <w:numFmt w:val="decimal"/>
      <w:start w:val="5"/>
    </w:lvl>
  </w:abstractNum>
  <w:abstractNum w:abstractNumId="29">
    <w:nsid w:val="649BB77C"/>
    <w:multiLevelType w:val="hybridMultilevel"/>
    <w:lvl w:ilvl="0">
      <w:lvlJc w:val="left"/>
      <w:lvlText w:val="(%1)"/>
      <w:numFmt w:val="lowerLetter"/>
      <w:start w:val="1"/>
    </w:lvl>
  </w:abstractNum>
  <w:abstractNum w:abstractNumId="30">
    <w:nsid w:val="275AC794"/>
    <w:multiLevelType w:val="hybridMultilevel"/>
    <w:lvl w:ilvl="0">
      <w:lvlJc w:val="left"/>
      <w:lvlText w:val="(%1)"/>
      <w:numFmt w:val="lowerLetter"/>
      <w:start w:val="2"/>
    </w:lvl>
  </w:abstractNum>
  <w:abstractNum w:abstractNumId="31">
    <w:nsid w:val="39386575"/>
    <w:multiLevelType w:val="hybridMultilevel"/>
    <w:lvl w:ilvl="0">
      <w:lvlJc w:val="left"/>
      <w:lvlText w:val="(%1)"/>
      <w:numFmt w:val="lowerLetter"/>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lvl w:ilvl="1">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
      <w:numFmt w:val="bullet"/>
      <w:start w:val="1"/>
    </w:lvl>
    <w:lvl w:ilvl="1">
      <w:lvlJc w:val="left"/>
      <w:lvlText w:val="•"/>
      <w:numFmt w:val="bullet"/>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
      <w:numFmt w:val="bullet"/>
      <w:start w:val="1"/>
    </w:lvl>
  </w:abstractNum>
  <w:abstractNum w:abstractNumId="40">
    <w:nsid w:val="10233C99"/>
    <w:multiLevelType w:val="hybridMultilevel"/>
    <w:lvl w:ilvl="0">
      <w:lvlJc w:val="left"/>
      <w:lvlText w:val="•"/>
      <w:numFmt w:val="bullet"/>
      <w:start w:val="1"/>
    </w:lvl>
  </w:abstractNum>
  <w:abstractNum w:abstractNumId="41">
    <w:nsid w:val="3F6AB60F"/>
    <w:multiLevelType w:val="hybridMultilevel"/>
    <w:lvl w:ilvl="0">
      <w:lvlJc w:val="left"/>
      <w:lvlText w:val="•"/>
      <w:numFmt w:val="bullet"/>
      <w:start w:val="1"/>
    </w:lvl>
  </w:abstractNum>
  <w:abstractNum w:abstractNumId="42">
    <w:nsid w:val="61574095"/>
    <w:multiLevelType w:val="hybridMultilevel"/>
    <w:lvl w:ilvl="0">
      <w:lvlJc w:val="left"/>
      <w:lvlText w:val="•"/>
      <w:numFmt w:val="bullet"/>
      <w:start w:val="1"/>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
      <w:numFmt w:val="bullet"/>
      <w:start w:val="1"/>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
      <w:numFmt w:val="bullet"/>
      <w:start w:val="1"/>
    </w:lvl>
  </w:abstractNum>
  <w:abstractNum w:abstractNumId="48">
    <w:nsid w:val="2F305DEF"/>
    <w:multiLevelType w:val="hybridMultilevel"/>
    <w:lvl w:ilvl="0">
      <w:lvlJc w:val="left"/>
      <w:lvlText w:val="•"/>
      <w:numFmt w:val="bullet"/>
      <w:start w:val="1"/>
    </w:lvl>
  </w:abstractNum>
  <w:abstractNum w:abstractNumId="49">
    <w:nsid w:val="25A70BF7"/>
    <w:multiLevelType w:val="hybridMultilevel"/>
    <w:lvl w:ilvl="0">
      <w:lvlJc w:val="left"/>
      <w:lvlText w:val="•"/>
      <w:numFmt w:val="bullet"/>
      <w:start w:val="1"/>
    </w:lvl>
  </w:abstractNum>
  <w:abstractNum w:abstractNumId="50">
    <w:nsid w:val="1DBABF00"/>
    <w:multiLevelType w:val="hybridMultilevel"/>
    <w:lvl w:ilvl="0">
      <w:lvlJc w:val="left"/>
      <w:lvlText w:val="•"/>
      <w:numFmt w:val="bullet"/>
      <w:start w:val="1"/>
    </w:lvl>
  </w:abstractNum>
  <w:abstractNum w:abstractNumId="51">
    <w:nsid w:val="4AD084E9"/>
    <w:multiLevelType w:val="hybridMultilevel"/>
    <w:lvl w:ilvl="0">
      <w:lvlJc w:val="left"/>
      <w:lvlText w:val="•"/>
      <w:numFmt w:val="bullet"/>
      <w:start w:val="1"/>
    </w:lvl>
  </w:abstractNum>
  <w:abstractNum w:abstractNumId="52">
    <w:nsid w:val="1F48EAA1"/>
    <w:multiLevelType w:val="hybridMultilevel"/>
    <w:lvl w:ilvl="0">
      <w:lvlJc w:val="left"/>
      <w:lvlText w:val="•"/>
      <w:numFmt w:val="bullet"/>
      <w:start w:val="1"/>
    </w:lvl>
  </w:abstractNum>
  <w:abstractNum w:abstractNumId="53">
    <w:nsid w:val="1381823A"/>
    <w:multiLevelType w:val="hybridMultilevel"/>
    <w:lvl w:ilvl="0">
      <w:lvlJc w:val="left"/>
      <w:lvlText w:val="•"/>
      <w:numFmt w:val="bullet"/>
      <w:start w:val="1"/>
    </w:lvl>
    <w:lvl w:ilvl="1">
      <w:lvlJc w:val="left"/>
      <w:lvlText w:val="•"/>
      <w:numFmt w:val="bullet"/>
      <w:start w:val="1"/>
    </w:lvl>
  </w:abstractNum>
  <w:abstractNum w:abstractNumId="54">
    <w:nsid w:val="5DB70AE5"/>
    <w:multiLevelType w:val="hybridMultilevel"/>
    <w:lvl w:ilvl="0">
      <w:lvlJc w:val="left"/>
      <w:lvlText w:val="•"/>
      <w:numFmt w:val="bullet"/>
      <w:start w:val="1"/>
    </w:lvl>
  </w:abstractNum>
  <w:abstractNum w:abstractNumId="55">
    <w:nsid w:val="100F8FCA"/>
    <w:multiLevelType w:val="hybridMultilevel"/>
    <w:lvl w:ilvl="0">
      <w:lvlJc w:val="left"/>
      <w:lvlText w:val="•"/>
      <w:numFmt w:val="bullet"/>
      <w:start w:val="1"/>
    </w:lvl>
  </w:abstractNum>
  <w:abstractNum w:abstractNumId="56">
    <w:nsid w:val="6590700B"/>
    <w:multiLevelType w:val="hybridMultilevel"/>
    <w:lvl w:ilvl="0">
      <w:lvlJc w:val="left"/>
      <w:lvlText w:val="•"/>
      <w:numFmt w:val="bullet"/>
      <w:start w:val="1"/>
    </w:lvl>
  </w:abstractNum>
  <w:abstractNum w:abstractNumId="57">
    <w:nsid w:val="15014ACB"/>
    <w:multiLevelType w:val="hybridMultilevel"/>
    <w:lvl w:ilvl="0">
      <w:lvlJc w:val="left"/>
      <w:lvlText w:val="•"/>
      <w:numFmt w:val="bullet"/>
      <w:start w:val="1"/>
    </w:lvl>
    <w:lvl w:ilvl="1">
      <w:lvlJc w:val="left"/>
      <w:lvlText w:val="•"/>
      <w:numFmt w:val="bullet"/>
      <w:start w:val="1"/>
    </w:lvl>
  </w:abstractNum>
  <w:abstractNum w:abstractNumId="58">
    <w:nsid w:val="5F5E7FD0"/>
    <w:multiLevelType w:val="hybridMultilevel"/>
    <w:lvl w:ilvl="0">
      <w:lvlJc w:val="left"/>
      <w:lvlText w:val="•"/>
      <w:numFmt w:val="bullet"/>
      <w:start w:val="1"/>
    </w:lvl>
  </w:abstractNum>
  <w:abstractNum w:abstractNumId="59">
    <w:nsid w:val="98A3148"/>
    <w:multiLevelType w:val="hybridMultilevel"/>
    <w:lvl w:ilvl="0">
      <w:lvlJc w:val="left"/>
      <w:lvlText w:val="•"/>
      <w:numFmt w:val="bullet"/>
      <w:start w:val="1"/>
    </w:lvl>
  </w:abstractNum>
  <w:abstractNum w:abstractNumId="60">
    <w:nsid w:val="799D0247"/>
    <w:multiLevelType w:val="hybridMultilevel"/>
    <w:lvl w:ilvl="0">
      <w:lvlJc w:val="left"/>
      <w:lvlText w:val="•"/>
      <w:numFmt w:val="bullet"/>
      <w:start w:val="1"/>
    </w:lvl>
  </w:abstractNum>
  <w:abstractNum w:abstractNumId="61">
    <w:nsid w:val="6B94764"/>
    <w:multiLevelType w:val="hybridMultilevel"/>
    <w:lvl w:ilvl="0">
      <w:lvlJc w:val="left"/>
      <w:lvlText w:val="•"/>
      <w:numFmt w:val="bullet"/>
      <w:start w:val="1"/>
    </w:lvl>
  </w:abstractNum>
  <w:abstractNum w:abstractNumId="62">
    <w:nsid w:val="42C296BD"/>
    <w:multiLevelType w:val="hybridMultilevel"/>
    <w:lvl w:ilvl="0">
      <w:lvlJc w:val="left"/>
      <w:lvlText w:val="•"/>
      <w:numFmt w:val="bullet"/>
      <w:start w:val="1"/>
    </w:lvl>
  </w:abstractNum>
  <w:abstractNum w:abstractNumId="63">
    <w:nsid w:val="168E121F"/>
    <w:multiLevelType w:val="hybridMultilevel"/>
    <w:lvl w:ilvl="0">
      <w:lvlJc w:val="left"/>
      <w:lvlText w:val="%1."/>
      <w:numFmt w:val="decimal"/>
      <w:start w:val="1"/>
    </w:lvl>
  </w:abstractNum>
  <w:abstractNum w:abstractNumId="64">
    <w:nsid w:val="1EBA5D23"/>
    <w:multiLevelType w:val="hybridMultilevel"/>
    <w:lvl w:ilvl="0">
      <w:lvlJc w:val="left"/>
      <w:lvlText w:val="•"/>
      <w:numFmt w:val="bullet"/>
      <w:start w:val="1"/>
    </w:lvl>
  </w:abstractNum>
  <w:abstractNum w:abstractNumId="65">
    <w:nsid w:val="661E3F1E"/>
    <w:multiLevelType w:val="hybridMultilevel"/>
    <w:lvl w:ilvl="0">
      <w:lvlJc w:val="left"/>
      <w:lvlText w:val="•"/>
      <w:numFmt w:val="bullet"/>
      <w:start w:val="1"/>
    </w:lvl>
  </w:abstractNum>
  <w:abstractNum w:abstractNumId="66">
    <w:nsid w:val="5DC79EA8"/>
    <w:multiLevelType w:val="hybridMultilevel"/>
    <w:lvl w:ilvl="0">
      <w:lvlJc w:val="left"/>
      <w:lvlText w:val="•"/>
      <w:numFmt w:val="bullet"/>
      <w:start w:val="1"/>
    </w:lvl>
  </w:abstractNum>
  <w:abstractNum w:abstractNumId="67">
    <w:nsid w:val="540A471C"/>
    <w:multiLevelType w:val="hybridMultilevel"/>
    <w:lvl w:ilvl="0">
      <w:lvlJc w:val="left"/>
      <w:lvlText w:val="•"/>
      <w:numFmt w:val="bullet"/>
      <w:start w:val="1"/>
    </w:lvl>
  </w:abstractNum>
  <w:abstractNum w:abstractNumId="68">
    <w:nsid w:val="7BD3EE7B"/>
    <w:multiLevelType w:val="hybridMultilevel"/>
    <w:lvl w:ilvl="0">
      <w:lvlJc w:val="left"/>
      <w:lvlText w:val="•"/>
      <w:numFmt w:val="bullet"/>
      <w:start w:val="1"/>
    </w:lvl>
  </w:abstractNum>
  <w:abstractNum w:abstractNumId="69">
    <w:nsid w:val="51D9C564"/>
    <w:multiLevelType w:val="hybridMultilevel"/>
    <w:lvl w:ilvl="0">
      <w:lvlJc w:val="left"/>
      <w:lvlText w:val="\emdash "/>
      <w:numFmt w:val="bullet"/>
      <w:start w:val="1"/>
    </w:lvl>
  </w:abstractNum>
  <w:abstractNum w:abstractNumId="70">
    <w:nsid w:val="613EFDC5"/>
    <w:multiLevelType w:val="hybridMultilevel"/>
    <w:lvl w:ilvl="0">
      <w:lvlJc w:val="left"/>
      <w:lvlText w:val="•"/>
      <w:numFmt w:val="bullet"/>
      <w:start w:val="1"/>
    </w:lvl>
    <w:lvl w:ilvl="1">
      <w:lvlJc w:val="left"/>
      <w:lvlText w:val="•"/>
      <w:numFmt w:val="bullet"/>
      <w:start w:val="1"/>
    </w:lvl>
  </w:abstractNum>
  <w:abstractNum w:abstractNumId="71">
    <w:nsid w:val="BF72B14"/>
    <w:multiLevelType w:val="hybridMultilevel"/>
    <w:lvl w:ilvl="0">
      <w:lvlJc w:val="left"/>
      <w:lvlText w:val="(%1)"/>
      <w:numFmt w:val="lowerRoman"/>
      <w:start w:val="2"/>
    </w:lvl>
  </w:abstractNum>
  <w:abstractNum w:abstractNumId="72">
    <w:nsid w:val="11447B73"/>
    <w:multiLevelType w:val="hybridMultilevel"/>
    <w:lvl w:ilvl="0">
      <w:lvlJc w:val="left"/>
      <w:lvlText w:val="•"/>
      <w:numFmt w:val="bullet"/>
      <w:start w:val="1"/>
    </w:lvl>
  </w:abstractNum>
  <w:abstractNum w:abstractNumId="73">
    <w:nsid w:val="42963E5A"/>
    <w:multiLevelType w:val="hybridMultilevel"/>
    <w:lvl w:ilvl="0">
      <w:lvlJc w:val="left"/>
      <w:lvlText w:val="(%1)"/>
      <w:numFmt w:val="lowerRoman"/>
      <w:start w:val="1"/>
    </w:lvl>
  </w:abstractNum>
  <w:abstractNum w:abstractNumId="74">
    <w:nsid w:val="A0382C5"/>
    <w:multiLevelType w:val="hybridMultilevel"/>
    <w:lvl w:ilvl="0">
      <w:lvlJc w:val="left"/>
      <w:lvlText w:val="•"/>
      <w:numFmt w:val="bullet"/>
      <w:start w:val="1"/>
    </w:lvl>
  </w:abstractNum>
  <w:abstractNum w:abstractNumId="75">
    <w:nsid w:val="8F2B15E"/>
    <w:multiLevelType w:val="hybridMultilevel"/>
    <w:lvl w:ilvl="0">
      <w:lvlJc w:val="left"/>
      <w:lvlText w:val="•"/>
      <w:numFmt w:val="bullet"/>
      <w:start w:val="1"/>
    </w:lvl>
  </w:abstractNum>
  <w:abstractNum w:abstractNumId="76">
    <w:nsid w:val="1A32234B"/>
    <w:multiLevelType w:val="hybridMultilevel"/>
    <w:lvl w:ilvl="0">
      <w:lvlJc w:val="left"/>
      <w:lvlText w:val="•"/>
      <w:numFmt w:val="bullet"/>
      <w:start w:val="1"/>
    </w:lvl>
  </w:abstractNum>
  <w:abstractNum w:abstractNumId="77">
    <w:nsid w:val="3B0FD379"/>
    <w:multiLevelType w:val="hybridMultilevel"/>
    <w:lvl w:ilvl="0">
      <w:lvlJc w:val="left"/>
      <w:lvlText w:val="(%1)"/>
      <w:numFmt w:val="decimal"/>
      <w:start w:val="2"/>
    </w:lvl>
  </w:abstractNum>
  <w:abstractNum w:abstractNumId="78">
    <w:nsid w:val="68EB2F63"/>
    <w:multiLevelType w:val="hybridMultilevel"/>
    <w:lvl w:ilvl="0">
      <w:lvlJc w:val="left"/>
      <w:lvlText w:val="(%1)"/>
      <w:numFmt w:val="decimal"/>
      <w:start w:val="4"/>
    </w:lvl>
  </w:abstractNum>
  <w:abstractNum w:abstractNumId="79">
    <w:nsid w:val="4962813B"/>
    <w:multiLevelType w:val="hybridMultilevel"/>
    <w:lvl w:ilvl="0">
      <w:lvlJc w:val="left"/>
      <w:lvlText w:val="•"/>
      <w:numFmt w:val="bullet"/>
      <w:start w:val="1"/>
    </w:lvl>
  </w:abstractNum>
  <w:abstractNum w:abstractNumId="80">
    <w:nsid w:val="60B6DF7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2019-12-05T05:37:08Z</dcterms:created>
  <dcterms:modified xsi:type="dcterms:W3CDTF">2019-12-05T05:37:08Z</dcterms:modified>
</cp:coreProperties>
</file>