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February 07, 2023</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OP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0"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Maryland (Federal Realty Investment Trust)</w:t>
            </w:r>
          </w:p>
        </w:tc>
        <w:tc>
          <w:tcPr>
            <w:tcW w:w="1700" w:type="dxa"/>
            <w:vAlign w:val="bottom"/>
          </w:tcPr>
          <w:p>
            <w:pPr>
              <w:jc w:val="right"/>
              <w:ind w:right="444"/>
              <w:spacing w:after="0"/>
              <w:rPr>
                <w:sz w:val="20"/>
                <w:szCs w:val="20"/>
                <w:color w:val="auto"/>
              </w:rPr>
            </w:pPr>
            <w:r>
              <w:rPr>
                <w:rFonts w:ascii="Arial" w:cs="Arial" w:eastAsia="Arial" w:hAnsi="Arial"/>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87-3916363</w:t>
            </w:r>
          </w:p>
        </w:tc>
      </w:tr>
      <w:tr>
        <w:trPr>
          <w:trHeight w:val="229"/>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Delaware (Federal Realty OP LP)</w:t>
            </w:r>
          </w:p>
        </w:tc>
        <w:tc>
          <w:tcPr>
            <w:tcW w:w="1700" w:type="dxa"/>
            <w:vAlign w:val="bottom"/>
          </w:tcPr>
          <w:p>
            <w:pPr>
              <w:jc w:val="right"/>
              <w:ind w:right="184"/>
              <w:spacing w:after="0"/>
              <w:rPr>
                <w:sz w:val="20"/>
                <w:szCs w:val="20"/>
                <w:color w:val="auto"/>
              </w:rPr>
            </w:pPr>
            <w:r>
              <w:rPr>
                <w:rFonts w:ascii="Arial" w:cs="Arial" w:eastAsia="Arial" w:hAnsi="Arial"/>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52-0782497</w:t>
            </w:r>
          </w:p>
        </w:tc>
      </w:tr>
      <w:tr>
        <w:trPr>
          <w:trHeight w:val="148"/>
        </w:trPr>
        <w:tc>
          <w:tcPr>
            <w:tcW w:w="4240" w:type="dxa"/>
            <w:vAlign w:val="bottom"/>
          </w:tcPr>
          <w:p>
            <w:pPr>
              <w:jc w:val="center"/>
              <w:ind w:right="884"/>
              <w:spacing w:after="0" w:line="148" w:lineRule="exact"/>
              <w:rPr>
                <w:sz w:val="20"/>
                <w:szCs w:val="20"/>
                <w:color w:val="auto"/>
              </w:rPr>
            </w:pPr>
            <w:r>
              <w:rPr>
                <w:rFonts w:ascii="Arial" w:cs="Arial" w:eastAsia="Arial" w:hAnsi="Arial"/>
                <w:sz w:val="13"/>
                <w:szCs w:val="13"/>
                <w:b w:val="1"/>
                <w:bCs w:val="1"/>
                <w:color w:val="auto"/>
                <w:w w:val="88"/>
              </w:rPr>
              <w:t>(State or other jurisdiction</w:t>
            </w:r>
          </w:p>
        </w:tc>
        <w:tc>
          <w:tcPr>
            <w:tcW w:w="1700" w:type="dxa"/>
            <w:vAlign w:val="bottom"/>
          </w:tcPr>
          <w:p>
            <w:pPr>
              <w:ind w:left="560"/>
              <w:spacing w:after="0" w:line="148" w:lineRule="exact"/>
              <w:rPr>
                <w:sz w:val="20"/>
                <w:szCs w:val="20"/>
                <w:color w:val="auto"/>
              </w:rPr>
            </w:pPr>
            <w:r>
              <w:rPr>
                <w:rFonts w:ascii="Arial" w:cs="Arial" w:eastAsia="Arial" w:hAnsi="Arial"/>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8"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240" w:type="dxa"/>
            <w:vAlign w:val="bottom"/>
          </w:tcPr>
          <w:p>
            <w:pPr>
              <w:jc w:val="center"/>
              <w:ind w:right="884"/>
              <w:spacing w:after="0"/>
              <w:rPr>
                <w:sz w:val="20"/>
                <w:szCs w:val="20"/>
                <w:color w:val="auto"/>
              </w:rPr>
            </w:pPr>
            <w:r>
              <w:rPr>
                <w:rFonts w:ascii="Arial" w:cs="Arial" w:eastAsia="Arial" w:hAnsi="Arial"/>
                <w:sz w:val="13"/>
                <w:szCs w:val="13"/>
                <w:b w:val="1"/>
                <w:bCs w:val="1"/>
                <w:color w:val="auto"/>
                <w:w w:val="88"/>
              </w:rPr>
              <w:t>of incorporation)</w:t>
            </w:r>
          </w:p>
        </w:tc>
        <w:tc>
          <w:tcPr>
            <w:tcW w:w="1700" w:type="dxa"/>
            <w:vAlign w:val="bottom"/>
          </w:tcPr>
          <w:p>
            <w:pPr>
              <w:ind w:left="540"/>
              <w:spacing w:after="0"/>
              <w:rPr>
                <w:sz w:val="20"/>
                <w:szCs w:val="20"/>
                <w:color w:val="auto"/>
              </w:rPr>
            </w:pPr>
            <w:r>
              <w:rPr>
                <w:rFonts w:ascii="Arial" w:cs="Arial" w:eastAsia="Arial" w:hAnsi="Arial"/>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442"/>
        </w:trPr>
        <w:tc>
          <w:tcPr>
            <w:tcW w:w="4240" w:type="dxa"/>
            <w:vAlign w:val="bottom"/>
          </w:tcPr>
          <w:p>
            <w:pPr>
              <w:ind w:left="2140"/>
              <w:spacing w:after="0"/>
              <w:rPr>
                <w:sz w:val="20"/>
                <w:szCs w:val="20"/>
                <w:color w:val="auto"/>
              </w:rPr>
            </w:pPr>
            <w:r>
              <w:rPr>
                <w:rFonts w:ascii="Arial" w:cs="Arial" w:eastAsia="Arial" w:hAnsi="Arial"/>
                <w:sz w:val="16"/>
                <w:szCs w:val="16"/>
                <w:b w:val="1"/>
                <w:bCs w:val="1"/>
                <w:color w:val="auto"/>
                <w:w w:val="98"/>
              </w:rPr>
              <w:t>909 Rose Avenue, Suite 200</w:t>
            </w:r>
          </w:p>
        </w:tc>
        <w:tc>
          <w:tcPr>
            <w:tcW w:w="1700" w:type="dxa"/>
            <w:vAlign w:val="bottom"/>
          </w:tcPr>
          <w:p>
            <w:pPr>
              <w:ind w:left="200"/>
              <w:spacing w:after="0"/>
              <w:rPr>
                <w:sz w:val="20"/>
                <w:szCs w:val="20"/>
                <w:color w:val="auto"/>
              </w:rPr>
            </w:pPr>
            <w:r>
              <w:rPr>
                <w:rFonts w:ascii="Arial" w:cs="Arial" w:eastAsia="Arial" w:hAnsi="Arial"/>
                <w:sz w:val="16"/>
                <w:szCs w:val="16"/>
                <w:b w:val="1"/>
                <w:bCs w:val="1"/>
                <w:color w:val="auto"/>
              </w:rPr>
              <w:t>North Bethesda,</w:t>
            </w: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Maryland</w:t>
            </w:r>
          </w:p>
        </w:tc>
        <w:tc>
          <w:tcPr>
            <w:tcW w:w="1900" w:type="dxa"/>
            <w:vAlign w:val="bottom"/>
          </w:tcPr>
          <w:p>
            <w:pPr>
              <w:jc w:val="right"/>
              <w:ind w:right="724"/>
              <w:spacing w:after="0"/>
              <w:rPr>
                <w:sz w:val="20"/>
                <w:szCs w:val="20"/>
                <w:color w:val="auto"/>
              </w:rPr>
            </w:pPr>
            <w:r>
              <w:rPr>
                <w:rFonts w:ascii="Arial" w:cs="Arial" w:eastAsia="Arial" w:hAnsi="Arial"/>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Arial" w:cs="Arial" w:eastAsia="Arial" w:hAnsi="Arial"/>
                <w:sz w:val="16"/>
                <w:szCs w:val="16"/>
                <w:b w:val="1"/>
                <w:bCs w:val="1"/>
                <w:color w:val="auto"/>
                <w:w w:val="94"/>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Arial" w:cs="Arial" w:eastAsia="Arial" w:hAnsi="Arial"/>
                <w:sz w:val="16"/>
                <w:szCs w:val="16"/>
                <w:b w:val="1"/>
                <w:bCs w:val="1"/>
                <w:color w:val="auto"/>
                <w:w w:val="96"/>
              </w:rPr>
              <w:t>(Zip Code)</w:t>
            </w:r>
          </w:p>
        </w:tc>
      </w:tr>
    </w:tbl>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301/998-8100</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40"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89"/>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4480" w:type="dxa"/>
            <w:vAlign w:val="bottom"/>
            <w:gridSpan w:val="3"/>
          </w:tcPr>
          <w:p>
            <w:pPr>
              <w:jc w:val="center"/>
              <w:ind w:left="99"/>
              <w:spacing w:after="0" w:line="171"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92"/>
              </w:rPr>
              <w:t>Rights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89"/>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91"/>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7020" w:type="dxa"/>
            <w:vAlign w:val="bottom"/>
            <w:gridSpan w:val="6"/>
          </w:tcPr>
          <w:p>
            <w:pPr>
              <w:jc w:val="center"/>
              <w:ind w:right="2380"/>
              <w:spacing w:after="0" w:line="171" w:lineRule="exact"/>
              <w:rPr>
                <w:sz w:val="20"/>
                <w:szCs w:val="20"/>
                <w:color w:val="auto"/>
              </w:rPr>
            </w:pPr>
            <w:r>
              <w:rPr>
                <w:rFonts w:ascii="Arial" w:cs="Arial" w:eastAsia="Arial" w:hAnsi="Arial"/>
                <w:sz w:val="16"/>
                <w:szCs w:val="16"/>
                <w:color w:val="auto"/>
                <w:w w:val="91"/>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88"/>
              </w:rPr>
              <w:t>value per share</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r>
    </w:tbl>
    <w:p>
      <w:pPr>
        <w:spacing w:after="0" w:line="212" w:lineRule="exact"/>
        <w:rPr>
          <w:sz w:val="24"/>
          <w:szCs w:val="24"/>
          <w:color w:val="auto"/>
        </w:rPr>
      </w:pPr>
    </w:p>
    <w:p>
      <w:pPr>
        <w:ind w:left="20" w:right="60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ind w:left="20"/>
        <w:spacing w:after="0" w:line="184" w:lineRule="exact"/>
        <w:tabs>
          <w:tab w:leader="none" w:pos="3740" w:val="left"/>
        </w:tabs>
        <w:rPr>
          <w:sz w:val="20"/>
          <w:szCs w:val="20"/>
          <w:color w:val="auto"/>
        </w:rPr>
      </w:pPr>
      <w:r>
        <w:rPr>
          <w:rFonts w:ascii="Arial" w:cs="Arial" w:eastAsia="Arial" w:hAnsi="Arial"/>
          <w:sz w:val="16"/>
          <w:szCs w:val="16"/>
          <w:color w:val="auto"/>
        </w:rPr>
        <w:t xml:space="preserve">Federal Realty Investment Trust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20" w:right="100"/>
        <w:spacing w:after="0"/>
        <w:rPr>
          <w:sz w:val="20"/>
          <w:szCs w:val="20"/>
          <w:color w:val="auto"/>
        </w:rPr>
      </w:pPr>
      <w:r>
        <w:rPr>
          <w:rFonts w:ascii="Arial" w:cs="Arial" w:eastAsia="Arial" w:hAnsi="Arial"/>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ind w:left="20"/>
        <w:spacing w:after="0" w:line="184" w:lineRule="exact"/>
        <w:tabs>
          <w:tab w:leader="none" w:pos="2980" w:val="left"/>
        </w:tabs>
        <w:rPr>
          <w:sz w:val="20"/>
          <w:szCs w:val="20"/>
          <w:color w:val="auto"/>
        </w:rPr>
      </w:pPr>
      <w:r>
        <w:rPr>
          <w:rFonts w:ascii="Arial" w:cs="Arial" w:eastAsia="Arial" w:hAnsi="Arial"/>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1" w:name="page2"/>
    <w:bookmarkEnd w:id="1"/>
    <w:p>
      <w:pPr>
        <w:ind w:right="60"/>
        <w:spacing w:after="0" w:line="267" w:lineRule="auto"/>
        <w:rPr>
          <w:sz w:val="20"/>
          <w:szCs w:val="20"/>
          <w:color w:val="auto"/>
        </w:rPr>
      </w:pPr>
      <w:r>
        <w:rPr>
          <w:rFonts w:ascii="Arial" w:cs="Arial" w:eastAsia="Arial" w:hAnsi="Arial"/>
          <w:sz w:val="20"/>
          <w:szCs w:val="20"/>
          <w:b w:val="1"/>
          <w:bCs w:val="1"/>
          <w:color w:val="auto"/>
        </w:rPr>
        <w:t>Item 5.02. Departure of Directors or Principal Officers; Election of Directors; Appointment of Principal Officers; Compensatory Arrangements of Certain Officers.</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On February 7, 2023, the Compensation Committee of the Board of Trustees of Federal Realty Investment Trust (the “Company”) approved modifying the compensation arrangement for Jeffrey S. Berkes, the Company’s President and Chief Operating Officer, to provide for an</w:t>
      </w:r>
    </w:p>
    <w:p>
      <w:pPr>
        <w:spacing w:after="0" w:line="1" w:lineRule="exact"/>
        <w:rPr>
          <w:sz w:val="20"/>
          <w:szCs w:val="20"/>
          <w:color w:val="auto"/>
        </w:rPr>
      </w:pPr>
    </w:p>
    <w:p>
      <w:pPr>
        <w:ind w:right="400"/>
        <w:spacing w:after="0" w:line="239" w:lineRule="auto"/>
        <w:rPr>
          <w:sz w:val="20"/>
          <w:szCs w:val="20"/>
          <w:color w:val="auto"/>
        </w:rPr>
      </w:pPr>
      <w:r>
        <w:rPr>
          <w:rFonts w:ascii="Arial" w:cs="Arial" w:eastAsia="Arial" w:hAnsi="Arial"/>
          <w:sz w:val="20"/>
          <w:szCs w:val="20"/>
          <w:color w:val="auto"/>
        </w:rPr>
        <w:t>annual bonus target of 125% of base salary. No other changes were made to the compensation arrangement for Mr. Berkes or any other named executive officers.</w:t>
      </w:r>
    </w:p>
    <w:p>
      <w:pPr>
        <w:spacing w:after="0" w:line="21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On February 7, 2023, the Board approved an amendment to the Company’s Amended and Restated Bylaws to provide that any Trustee who does not receive a majority of votes cast in an uncontested election will cease being a Trustee no later than ninety (90) days after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election. Previously, the Trustee was required to submit a resignation and the Board had the ability to reject that resignation for reasons</w:t>
      </w:r>
    </w:p>
    <w:p>
      <w:pPr>
        <w:spacing w:after="0" w:line="9" w:lineRule="exact"/>
        <w:rPr>
          <w:sz w:val="20"/>
          <w:szCs w:val="20"/>
          <w:color w:val="auto"/>
        </w:rPr>
      </w:pPr>
    </w:p>
    <w:p>
      <w:pPr>
        <w:ind w:right="420"/>
        <w:spacing w:after="0" w:line="227" w:lineRule="auto"/>
        <w:rPr>
          <w:sz w:val="20"/>
          <w:szCs w:val="20"/>
          <w:color w:val="auto"/>
        </w:rPr>
      </w:pPr>
      <w:r>
        <w:rPr>
          <w:rFonts w:ascii="Arial" w:cs="Arial" w:eastAsia="Arial" w:hAnsi="Arial"/>
          <w:sz w:val="20"/>
          <w:szCs w:val="20"/>
          <w:color w:val="auto"/>
        </w:rPr>
        <w:t>determined by the Board. A copy of the amended provisions from the Bylaws is filed as an exhibit to this report and is incorporated by reference into this Item 5.03.</w:t>
      </w:r>
    </w:p>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92" w:lineRule="exact"/>
        <w:rPr>
          <w:sz w:val="20"/>
          <w:szCs w:val="20"/>
          <w:color w:val="auto"/>
        </w:rPr>
      </w:pPr>
    </w:p>
    <w:p>
      <w:pPr>
        <w:ind w:right="320" w:firstLine="198"/>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FEDERAL REALTY INVESTMENT TRUST</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FEDERAL REALTY OP LP</w:t>
      </w:r>
    </w:p>
    <w:p>
      <w:pPr>
        <w:spacing w:after="0" w:line="303"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February 9, 2023</w:t>
      </w:r>
      <w:r>
        <w:rPr>
          <w:sz w:val="20"/>
          <w:szCs w:val="20"/>
          <w:color w:val="auto"/>
        </w:rPr>
        <w:tab/>
      </w:r>
      <w:r>
        <w:rPr>
          <w:rFonts w:ascii="Arial" w:cs="Arial" w:eastAsia="Arial" w:hAnsi="Arial"/>
          <w:sz w:val="18"/>
          <w:szCs w:val="18"/>
          <w:u w:val="single" w:color="auto"/>
          <w:color w:val="auto"/>
        </w:rPr>
        <w:t>/s/ Dawn M. Becker</w:t>
      </w:r>
    </w:p>
    <w:p>
      <w:pPr>
        <w:spacing w:after="0" w:line="297"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Dawn M. Becker</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Executive Vice President-General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80" w:type="dxa"/>
            <w:vAlign w:val="bottom"/>
          </w:tcPr>
          <w:p>
            <w:pPr>
              <w:ind w:left="2980"/>
              <w:spacing w:after="0"/>
              <w:rPr>
                <w:sz w:val="20"/>
                <w:szCs w:val="20"/>
                <w:color w:val="auto"/>
              </w:rPr>
            </w:pPr>
            <w:r>
              <w:rPr>
                <w:rFonts w:ascii="Arial" w:cs="Arial" w:eastAsia="Arial" w:hAnsi="Arial"/>
                <w:sz w:val="22"/>
                <w:szCs w:val="22"/>
                <w:color w:val="auto"/>
              </w:rPr>
              <w:t>EXHIBIT INDEX</w:t>
            </w:r>
          </w:p>
        </w:tc>
      </w:tr>
      <w:tr>
        <w:trPr>
          <w:trHeight w:val="557"/>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4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Section 8 of Article II and Section 1 of Article III of the Amended and Restated Bylaws, as amended</w:t>
            </w:r>
          </w:p>
        </w:tc>
      </w:tr>
      <w:tr>
        <w:trPr>
          <w:trHeight w:val="304"/>
        </w:trPr>
        <w:tc>
          <w:tcPr>
            <w:tcW w:w="1700" w:type="dxa"/>
            <w:vAlign w:val="bottom"/>
            <w:gridSpan w:val="2"/>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9"/>
              </w:rPr>
              <w:t>Cover Page Interactive Data File (the Cover Page Interactive Data File is embedded within the Inline XBRL document)</w:t>
            </w:r>
          </w:p>
        </w:tc>
      </w:tr>
    </w:tbl>
    <w:p>
      <w:pPr>
        <w:sectPr>
          <w:pgSz w:w="11900" w:h="16838" w:orient="portrait"/>
          <w:cols w:equalWidth="0" w:num="1">
            <w:col w:w="11180"/>
          </w:cols>
          <w:pgMar w:left="360" w:top="90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262626"/>
        </w:rPr>
        <w:t>Article II</w:t>
      </w:r>
    </w:p>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62626"/>
        </w:rPr>
        <w:t xml:space="preserve">Section 8. VOTING. </w:t>
      </w:r>
      <w:r>
        <w:rPr>
          <w:rFonts w:ascii="Arial" w:cs="Arial" w:eastAsia="Arial" w:hAnsi="Arial"/>
          <w:sz w:val="18"/>
          <w:szCs w:val="18"/>
          <w:color w:val="000000"/>
        </w:rPr>
        <w:t>In any uncontested election,</w:t>
      </w:r>
      <w:r>
        <w:rPr>
          <w:rFonts w:ascii="Arial" w:cs="Arial" w:eastAsia="Arial" w:hAnsi="Arial"/>
          <w:sz w:val="18"/>
          <w:szCs w:val="18"/>
          <w:color w:val="262626"/>
        </w:rPr>
        <w:t xml:space="preserve">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262626"/>
        </w:rPr>
        <w:t>Article III</w:t>
      </w:r>
    </w:p>
    <w:p>
      <w:pPr>
        <w:spacing w:after="0" w:line="24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262626"/>
        </w:rPr>
        <w:t>Section 1. GENERAL POWERS; QUALIFICATIONS; TRUSTEES HOLDING OVER. The business and affairs of the Trust shall be managed under the direction of its Board.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Notwithstanding the prior sentence, the term for a Trustee in an uncontested election who does not receive a majority of the votes cast with respect to such Trustee’s election shall expire on the date that is the earlier of: (a) 90 days after the date on which the voting results are determined; or (b) the date on which an individual is selected by the Board to fill the position held by such Trustee. At no time shall there be less than a majority of Trustees on the Board that fail to satisfy the definitions for independence as established from time to time in the Securities Exchange Act of 1934, the New York Stock Exchange’s Listed Company Manual and other laws, rules and regulations applicable to the Trust from time to time.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2023-02-09T15:46:09Z</dcterms:created>
  <dcterms:modified xsi:type="dcterms:W3CDTF">2023-02-09T15:46:09Z</dcterms:modified>
</cp:coreProperties>
</file>