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Washington, D.C. 20549</w:t>
      </w:r>
    </w:p>
    <w:p>
      <w:pPr>
        <w:spacing w:after="0" w:line="128"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FORM 8-K</w:t>
      </w:r>
    </w:p>
    <w:p>
      <w:pPr>
        <w:spacing w:after="0" w:line="168" w:lineRule="exact"/>
        <w:rPr>
          <w:sz w:val="24"/>
          <w:szCs w:val="24"/>
          <w:color w:val="auto"/>
        </w:rPr>
      </w:pPr>
    </w:p>
    <w:p>
      <w:pPr>
        <w:jc w:val="center"/>
        <w:ind w:right="-439"/>
        <w:spacing w:after="0"/>
        <w:rPr>
          <w:sz w:val="20"/>
          <w:szCs w:val="20"/>
          <w:color w:val="auto"/>
        </w:rPr>
      </w:pPr>
      <w:r>
        <w:rPr>
          <w:rFonts w:ascii="Arial" w:cs="Arial" w:eastAsia="Arial" w:hAnsi="Arial"/>
          <w:sz w:val="23"/>
          <w:szCs w:val="23"/>
          <w:b w:val="1"/>
          <w:bCs w:val="1"/>
          <w:color w:val="auto"/>
        </w:rPr>
        <w:t>CURRENT REPORT</w:t>
      </w:r>
    </w:p>
    <w:p>
      <w:pPr>
        <w:spacing w:after="0" w:line="186"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6"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Date of Report (Date of earliest event reported) September 30, 2017</w:t>
      </w:r>
    </w:p>
    <w:p>
      <w:pPr>
        <w:spacing w:after="0" w:line="200" w:lineRule="exact"/>
        <w:rPr>
          <w:sz w:val="24"/>
          <w:szCs w:val="24"/>
          <w:color w:val="auto"/>
        </w:rPr>
      </w:pPr>
    </w:p>
    <w:p>
      <w:pPr>
        <w:spacing w:after="0" w:line="368" w:lineRule="exact"/>
        <w:rPr>
          <w:sz w:val="24"/>
          <w:szCs w:val="24"/>
          <w:color w:val="auto"/>
        </w:rPr>
      </w:pPr>
    </w:p>
    <w:p>
      <w:pPr>
        <w:jc w:val="center"/>
        <w:ind w:right="-439"/>
        <w:spacing w:after="0"/>
        <w:rPr>
          <w:sz w:val="20"/>
          <w:szCs w:val="20"/>
          <w:color w:val="auto"/>
        </w:rPr>
      </w:pPr>
      <w:r>
        <w:rPr>
          <w:rFonts w:ascii="Arial" w:cs="Arial" w:eastAsia="Arial" w:hAnsi="Arial"/>
          <w:sz w:val="43"/>
          <w:szCs w:val="43"/>
          <w:b w:val="1"/>
          <w:bCs w:val="1"/>
          <w:color w:val="auto"/>
        </w:rPr>
        <w:t>Federal Realty Investment Trust</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tbl>
      <w:tblPr>
        <w:tblLayout w:type="fixed"/>
        <w:tblInd w:w="1560" w:type="dxa"/>
        <w:tblCellMar>
          <w:top w:w="0" w:type="dxa"/>
          <w:left w:w="0" w:type="dxa"/>
          <w:bottom w:w="0" w:type="dxa"/>
          <w:right w:w="0" w:type="dxa"/>
        </w:tblCellMar>
      </w:tblPr>
      <w:tr>
        <w:trPr>
          <w:trHeight w:val="234"/>
        </w:trPr>
        <w:tc>
          <w:tcPr>
            <w:tcW w:w="2660" w:type="dxa"/>
            <w:vAlign w:val="bottom"/>
          </w:tcPr>
          <w:p>
            <w:pPr>
              <w:jc w:val="center"/>
              <w:ind w:right="1168"/>
              <w:spacing w:after="0"/>
              <w:rPr>
                <w:sz w:val="20"/>
                <w:szCs w:val="20"/>
                <w:color w:val="auto"/>
              </w:rPr>
            </w:pPr>
            <w:r>
              <w:rPr>
                <w:rFonts w:ascii="Arial" w:cs="Arial" w:eastAsia="Arial" w:hAnsi="Arial"/>
                <w:sz w:val="18"/>
                <w:szCs w:val="18"/>
                <w:b w:val="1"/>
                <w:bCs w:val="1"/>
                <w:color w:val="auto"/>
                <w:w w:val="98"/>
              </w:rPr>
              <w:t>Maryland</w:t>
            </w:r>
          </w:p>
        </w:tc>
        <w:tc>
          <w:tcPr>
            <w:tcW w:w="3260" w:type="dxa"/>
            <w:vAlign w:val="bottom"/>
          </w:tcPr>
          <w:p>
            <w:pPr>
              <w:jc w:val="center"/>
              <w:spacing w:after="0"/>
              <w:rPr>
                <w:sz w:val="20"/>
                <w:szCs w:val="20"/>
                <w:color w:val="auto"/>
              </w:rPr>
            </w:pPr>
            <w:r>
              <w:rPr>
                <w:rFonts w:ascii="Arial" w:cs="Arial" w:eastAsia="Arial" w:hAnsi="Arial"/>
                <w:sz w:val="18"/>
                <w:szCs w:val="18"/>
                <w:b w:val="1"/>
                <w:bCs w:val="1"/>
                <w:color w:val="auto"/>
                <w:w w:val="90"/>
              </w:rPr>
              <w:t>1-07533</w:t>
            </w:r>
          </w:p>
        </w:tc>
        <w:tc>
          <w:tcPr>
            <w:tcW w:w="2280" w:type="dxa"/>
            <w:vAlign w:val="bottom"/>
          </w:tcPr>
          <w:p>
            <w:pPr>
              <w:jc w:val="center"/>
              <w:ind w:left="1208"/>
              <w:spacing w:after="0"/>
              <w:rPr>
                <w:sz w:val="20"/>
                <w:szCs w:val="20"/>
                <w:color w:val="auto"/>
              </w:rPr>
            </w:pPr>
            <w:r>
              <w:rPr>
                <w:rFonts w:ascii="Arial" w:cs="Arial" w:eastAsia="Arial" w:hAnsi="Arial"/>
                <w:sz w:val="18"/>
                <w:szCs w:val="18"/>
                <w:b w:val="1"/>
                <w:bCs w:val="1"/>
                <w:color w:val="auto"/>
                <w:w w:val="91"/>
              </w:rPr>
              <w:t>52-0782497</w:t>
            </w:r>
          </w:p>
        </w:tc>
      </w:tr>
      <w:tr>
        <w:trPr>
          <w:trHeight w:val="171"/>
        </w:trPr>
        <w:tc>
          <w:tcPr>
            <w:tcW w:w="2660" w:type="dxa"/>
            <w:vAlign w:val="bottom"/>
          </w:tcPr>
          <w:p>
            <w:pPr>
              <w:jc w:val="center"/>
              <w:ind w:right="1168"/>
              <w:spacing w:after="0"/>
              <w:rPr>
                <w:sz w:val="20"/>
                <w:szCs w:val="20"/>
                <w:color w:val="auto"/>
              </w:rPr>
            </w:pPr>
            <w:r>
              <w:rPr>
                <w:rFonts w:ascii="Arial" w:cs="Arial" w:eastAsia="Arial" w:hAnsi="Arial"/>
                <w:sz w:val="13"/>
                <w:szCs w:val="13"/>
                <w:b w:val="1"/>
                <w:bCs w:val="1"/>
                <w:color w:val="auto"/>
                <w:w w:val="87"/>
              </w:rPr>
              <w:t>(State or other jurisdiction</w:t>
            </w:r>
          </w:p>
        </w:tc>
        <w:tc>
          <w:tcPr>
            <w:tcW w:w="3260" w:type="dxa"/>
            <w:vAlign w:val="bottom"/>
          </w:tcPr>
          <w:p>
            <w:pPr>
              <w:jc w:val="center"/>
              <w:ind w:right="8"/>
              <w:spacing w:after="0"/>
              <w:rPr>
                <w:sz w:val="20"/>
                <w:szCs w:val="20"/>
                <w:color w:val="auto"/>
              </w:rPr>
            </w:pPr>
            <w:r>
              <w:rPr>
                <w:rFonts w:ascii="Arial" w:cs="Arial" w:eastAsia="Arial" w:hAnsi="Arial"/>
                <w:sz w:val="13"/>
                <w:szCs w:val="13"/>
                <w:b w:val="1"/>
                <w:bCs w:val="1"/>
                <w:color w:val="auto"/>
                <w:w w:val="84"/>
              </w:rPr>
              <w:t>(Commission</w:t>
            </w:r>
          </w:p>
        </w:tc>
        <w:tc>
          <w:tcPr>
            <w:tcW w:w="2280" w:type="dxa"/>
            <w:vAlign w:val="bottom"/>
          </w:tcPr>
          <w:p>
            <w:pPr>
              <w:jc w:val="center"/>
              <w:ind w:left="1208"/>
              <w:spacing w:after="0"/>
              <w:rPr>
                <w:sz w:val="20"/>
                <w:szCs w:val="20"/>
                <w:color w:val="auto"/>
              </w:rPr>
            </w:pPr>
            <w:r>
              <w:rPr>
                <w:rFonts w:ascii="Arial" w:cs="Arial" w:eastAsia="Arial" w:hAnsi="Arial"/>
                <w:sz w:val="13"/>
                <w:szCs w:val="13"/>
                <w:b w:val="1"/>
                <w:bCs w:val="1"/>
                <w:color w:val="auto"/>
                <w:w w:val="89"/>
              </w:rPr>
              <w:t>(IRS Employer</w:t>
            </w:r>
          </w:p>
        </w:tc>
      </w:tr>
      <w:tr>
        <w:trPr>
          <w:trHeight w:val="164"/>
        </w:trPr>
        <w:tc>
          <w:tcPr>
            <w:tcW w:w="2660" w:type="dxa"/>
            <w:vAlign w:val="bottom"/>
          </w:tcPr>
          <w:p>
            <w:pPr>
              <w:jc w:val="center"/>
              <w:ind w:right="1148"/>
              <w:spacing w:after="0"/>
              <w:rPr>
                <w:sz w:val="20"/>
                <w:szCs w:val="20"/>
                <w:color w:val="auto"/>
              </w:rPr>
            </w:pPr>
            <w:r>
              <w:rPr>
                <w:rFonts w:ascii="Arial" w:cs="Arial" w:eastAsia="Arial" w:hAnsi="Arial"/>
                <w:sz w:val="13"/>
                <w:szCs w:val="13"/>
                <w:b w:val="1"/>
                <w:bCs w:val="1"/>
                <w:color w:val="auto"/>
                <w:w w:val="88"/>
              </w:rPr>
              <w:t>of incorporation)</w:t>
            </w:r>
          </w:p>
        </w:tc>
        <w:tc>
          <w:tcPr>
            <w:tcW w:w="3260" w:type="dxa"/>
            <w:vAlign w:val="bottom"/>
          </w:tcPr>
          <w:p>
            <w:pPr>
              <w:jc w:val="center"/>
              <w:spacing w:after="0"/>
              <w:rPr>
                <w:sz w:val="20"/>
                <w:szCs w:val="20"/>
                <w:color w:val="auto"/>
              </w:rPr>
            </w:pPr>
            <w:r>
              <w:rPr>
                <w:rFonts w:ascii="Arial" w:cs="Arial" w:eastAsia="Arial" w:hAnsi="Arial"/>
                <w:sz w:val="13"/>
                <w:szCs w:val="13"/>
                <w:b w:val="1"/>
                <w:bCs w:val="1"/>
                <w:color w:val="auto"/>
                <w:w w:val="90"/>
              </w:rPr>
              <w:t>File Number)</w:t>
            </w:r>
          </w:p>
        </w:tc>
        <w:tc>
          <w:tcPr>
            <w:tcW w:w="2280" w:type="dxa"/>
            <w:vAlign w:val="bottom"/>
          </w:tcPr>
          <w:p>
            <w:pPr>
              <w:jc w:val="center"/>
              <w:ind w:left="1208"/>
              <w:spacing w:after="0"/>
              <w:rPr>
                <w:sz w:val="20"/>
                <w:szCs w:val="20"/>
                <w:color w:val="auto"/>
              </w:rPr>
            </w:pPr>
            <w:r>
              <w:rPr>
                <w:rFonts w:ascii="Arial" w:cs="Arial" w:eastAsia="Arial" w:hAnsi="Arial"/>
                <w:sz w:val="13"/>
                <w:szCs w:val="13"/>
                <w:b w:val="1"/>
                <w:bCs w:val="1"/>
                <w:color w:val="auto"/>
                <w:w w:val="91"/>
              </w:rPr>
              <w:t>Identification No.)</w:t>
            </w:r>
          </w:p>
        </w:tc>
      </w:tr>
    </w:tbl>
    <w:p>
      <w:pPr>
        <w:spacing w:after="0" w:line="200" w:lineRule="exact"/>
        <w:rPr>
          <w:sz w:val="24"/>
          <w:szCs w:val="24"/>
          <w:color w:val="auto"/>
        </w:rPr>
      </w:pPr>
    </w:p>
    <w:p>
      <w:pPr>
        <w:sectPr>
          <w:pgSz w:w="11900" w:h="16838" w:orient="portrait"/>
          <w:cols w:equalWidth="0" w:num="1">
            <w:col w:w="10980"/>
          </w:cols>
          <w:pgMar w:left="240" w:top="679" w:right="6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ind w:left="1280"/>
        <w:spacing w:after="0"/>
        <w:rPr>
          <w:sz w:val="20"/>
          <w:szCs w:val="20"/>
          <w:color w:val="auto"/>
        </w:rPr>
      </w:pPr>
      <w:r>
        <w:rPr>
          <w:rFonts w:ascii="Arial" w:cs="Arial" w:eastAsia="Arial" w:hAnsi="Arial"/>
          <w:sz w:val="16"/>
          <w:szCs w:val="16"/>
          <w:b w:val="1"/>
          <w:bCs w:val="1"/>
          <w:color w:val="auto"/>
        </w:rPr>
        <w:t>1626 East Jefferson Street, Rockville, 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20852-4041</w:t>
      </w:r>
    </w:p>
    <w:p>
      <w:pPr>
        <w:spacing w:after="0" w:line="86" w:lineRule="exact"/>
        <w:rPr>
          <w:sz w:val="24"/>
          <w:szCs w:val="24"/>
          <w:color w:val="auto"/>
        </w:rPr>
      </w:pPr>
    </w:p>
    <w:p>
      <w:pPr>
        <w:sectPr>
          <w:pgSz w:w="11900" w:h="16838" w:orient="portrait"/>
          <w:cols w:equalWidth="0" w:num="2">
            <w:col w:w="7280" w:space="720"/>
            <w:col w:w="2980"/>
          </w:cols>
          <w:pgMar w:left="240" w:top="679" w:right="679" w:bottom="1440" w:gutter="0" w:footer="0" w:header="0"/>
          <w:type w:val="continuous"/>
        </w:sectPr>
      </w:pPr>
    </w:p>
    <w:p>
      <w:pPr>
        <w:ind w:left="208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b w:val="1"/>
          <w:bCs w:val="1"/>
          <w:color w:val="auto"/>
        </w:rPr>
        <w:t>(Zip Code)</w:t>
      </w:r>
    </w:p>
    <w:p>
      <w:pPr>
        <w:spacing w:after="0" w:line="198" w:lineRule="exact"/>
        <w:rPr>
          <w:sz w:val="24"/>
          <w:szCs w:val="24"/>
          <w:color w:val="auto"/>
        </w:rPr>
      </w:pPr>
    </w:p>
    <w:p>
      <w:pPr>
        <w:sectPr>
          <w:pgSz w:w="11900" w:h="16838" w:orient="portrait"/>
          <w:cols w:equalWidth="0" w:num="2">
            <w:col w:w="7420" w:space="720"/>
            <w:col w:w="2840"/>
          </w:cols>
          <w:pgMar w:left="240" w:top="679" w:right="679" w:bottom="1440" w:gutter="0" w:footer="0" w:header="0"/>
          <w:type w:val="continuous"/>
        </w:sectPr>
      </w:pPr>
    </w:p>
    <w:p>
      <w:pPr>
        <w:ind w:left="3200"/>
        <w:spacing w:after="0"/>
        <w:rPr>
          <w:sz w:val="20"/>
          <w:szCs w:val="20"/>
          <w:color w:val="auto"/>
        </w:rPr>
      </w:pPr>
      <w:r>
        <w:rPr>
          <w:rFonts w:ascii="Arial" w:cs="Arial" w:eastAsia="Arial" w:hAnsi="Arial"/>
          <w:sz w:val="18"/>
          <w:szCs w:val="18"/>
          <w:b w:val="1"/>
          <w:bCs w:val="1"/>
          <w:color w:val="auto"/>
        </w:rPr>
        <w:t>Registrant's telephone number including area code: 301/998-8100</w:t>
      </w:r>
    </w:p>
    <w:p>
      <w:pPr>
        <w:spacing w:after="0" w:line="200" w:lineRule="exact"/>
        <w:rPr>
          <w:sz w:val="24"/>
          <w:szCs w:val="24"/>
          <w:color w:val="auto"/>
        </w:rPr>
      </w:pPr>
    </w:p>
    <w:p>
      <w:pPr>
        <w:spacing w:after="0" w:line="259" w:lineRule="exact"/>
        <w:rPr>
          <w:sz w:val="24"/>
          <w:szCs w:val="24"/>
          <w:color w:val="auto"/>
        </w:rPr>
      </w:pPr>
    </w:p>
    <w:p>
      <w:pPr>
        <w:ind w:firstLine="432"/>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900" w:hanging="440"/>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79" w:lineRule="exact"/>
        <w:rPr>
          <w:rFonts w:ascii="MS PGothic" w:cs="MS PGothic" w:eastAsia="MS PGothic" w:hAnsi="MS PGothic"/>
          <w:sz w:val="18"/>
          <w:szCs w:val="18"/>
          <w:color w:val="auto"/>
        </w:rPr>
      </w:pPr>
    </w:p>
    <w:p>
      <w:pPr>
        <w:ind w:left="900" w:hanging="440"/>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79" w:lineRule="exact"/>
        <w:rPr>
          <w:rFonts w:ascii="MS PGothic" w:cs="MS PGothic" w:eastAsia="MS PGothic" w:hAnsi="MS PGothic"/>
          <w:sz w:val="18"/>
          <w:szCs w:val="18"/>
          <w:color w:val="auto"/>
        </w:rPr>
      </w:pPr>
    </w:p>
    <w:p>
      <w:pPr>
        <w:ind w:left="900" w:hanging="440"/>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left="900" w:hanging="440"/>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rFonts w:ascii="MS PGothic" w:cs="MS PGothic" w:eastAsia="MS PGothic" w:hAnsi="MS PGothic"/>
          <w:sz w:val="18"/>
          <w:szCs w:val="18"/>
          <w:color w:val="auto"/>
        </w:rPr>
      </w:pPr>
    </w:p>
    <w:p>
      <w:pPr>
        <w:ind w:left="900" w:hanging="440"/>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Emerging growth company</w:t>
      </w:r>
    </w:p>
    <w:p>
      <w:pPr>
        <w:spacing w:after="0" w:line="198" w:lineRule="exact"/>
        <w:rPr>
          <w:rFonts w:ascii="MS PGothic" w:cs="MS PGothic" w:eastAsia="MS PGothic" w:hAnsi="MS PGothic"/>
          <w:sz w:val="18"/>
          <w:szCs w:val="18"/>
          <w:color w:val="auto"/>
        </w:rPr>
      </w:pPr>
    </w:p>
    <w:p>
      <w:pPr>
        <w:ind w:left="900" w:right="260" w:hanging="440"/>
        <w:spacing w:after="0" w:line="308" w:lineRule="auto"/>
        <w:tabs>
          <w:tab w:leader="none" w:pos="9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If an emerging growth company, indicate by checkmark if the registrant has elected not use the extended transition period for complying with any new or revised financial accounting standards provided pursuant to Section 13(a) of the Exchange Act.</w:t>
      </w:r>
    </w:p>
    <w:p>
      <w:pPr>
        <w:sectPr>
          <w:pgSz w:w="11900" w:h="16838" w:orient="portrait"/>
          <w:cols w:equalWidth="0" w:num="1">
            <w:col w:w="10980"/>
          </w:cols>
          <w:pgMar w:left="240" w:top="679" w:right="6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26" w:lineRule="exact"/>
        <w:rPr>
          <w:sz w:val="20"/>
          <w:szCs w:val="20"/>
          <w:color w:val="auto"/>
        </w:rPr>
      </w:pPr>
    </w:p>
    <w:p>
      <w:pPr>
        <w:ind w:firstLine="648"/>
        <w:spacing w:after="0" w:line="297" w:lineRule="auto"/>
        <w:rPr>
          <w:sz w:val="20"/>
          <w:szCs w:val="20"/>
          <w:color w:val="auto"/>
        </w:rPr>
      </w:pPr>
      <w:r>
        <w:rPr>
          <w:rFonts w:ascii="Arial" w:cs="Arial" w:eastAsia="Arial" w:hAnsi="Arial"/>
          <w:sz w:val="19"/>
          <w:szCs w:val="19"/>
          <w:color w:val="auto"/>
        </w:rPr>
        <w:t>The following information is being furnished under Item 2.02-Results of Operations and Financial Condition. This information, including the exhibits attached hereto, shall not be deemed “filed” for any purpose, including for the purposes of Section 18 of the Securities Exchange Act of 1934, as amended (the “Exchange Act”), or otherwise subject to the liabilities of that Section. The information in this Current Report on Form 8-K shall not be deemed incorporated by reference into any filing under the Securities Act of 1933, as amended, or under the Exchange Act, regardless of any general incorporation language in such filing.</w:t>
      </w:r>
    </w:p>
    <w:p>
      <w:pPr>
        <w:spacing w:after="0" w:line="147" w:lineRule="exact"/>
        <w:rPr>
          <w:sz w:val="20"/>
          <w:szCs w:val="20"/>
          <w:color w:val="auto"/>
        </w:rPr>
      </w:pPr>
    </w:p>
    <w:p>
      <w:pPr>
        <w:jc w:val="both"/>
        <w:ind w:right="200" w:firstLine="648"/>
        <w:spacing w:after="0" w:line="253" w:lineRule="auto"/>
        <w:rPr>
          <w:sz w:val="20"/>
          <w:szCs w:val="20"/>
          <w:color w:val="auto"/>
        </w:rPr>
      </w:pPr>
      <w:r>
        <w:rPr>
          <w:rFonts w:ascii="Arial" w:cs="Arial" w:eastAsia="Arial" w:hAnsi="Arial"/>
          <w:sz w:val="22"/>
          <w:szCs w:val="22"/>
          <w:color w:val="auto"/>
        </w:rPr>
        <w:t>On November 1, 2017, Federal Realty Investment Trust issued supplemental data pertaining to its operations, as well as a press release, to report its financial results for the quarter ended September 30, 2017. The supplemental data and press release are furnished as Exhibit 99.1 hereto.</w:t>
      </w:r>
    </w:p>
    <w:p>
      <w:pPr>
        <w:spacing w:after="0" w:line="180"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39"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19"/>
          <w:szCs w:val="19"/>
          <w:color w:val="auto"/>
        </w:rPr>
        <w:t>Exhibits</w:t>
      </w:r>
    </w:p>
    <w:p>
      <w:pPr>
        <w:spacing w:after="0" w:line="233" w:lineRule="exact"/>
        <w:rPr>
          <w:sz w:val="20"/>
          <w:szCs w:val="20"/>
          <w:color w:val="auto"/>
        </w:rPr>
      </w:pPr>
    </w:p>
    <w:p>
      <w:pPr>
        <w:ind w:left="1960"/>
        <w:spacing w:after="0"/>
        <w:tabs>
          <w:tab w:leader="none" w:pos="24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9"/>
          <w:szCs w:val="19"/>
          <w:color w:val="auto"/>
        </w:rPr>
        <w:t>Supplemental information at September 30, 2017 (including press release dated November 1,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SIGNATURES</w:t>
      </w:r>
    </w:p>
    <w:p>
      <w:pPr>
        <w:spacing w:after="0" w:line="200" w:lineRule="exact"/>
        <w:rPr>
          <w:sz w:val="20"/>
          <w:szCs w:val="20"/>
          <w:color w:val="auto"/>
        </w:rPr>
      </w:pPr>
    </w:p>
    <w:p>
      <w:pPr>
        <w:spacing w:after="0" w:line="242" w:lineRule="exact"/>
        <w:rPr>
          <w:sz w:val="20"/>
          <w:szCs w:val="20"/>
          <w:color w:val="auto"/>
        </w:rPr>
      </w:pPr>
    </w:p>
    <w:p>
      <w:pPr>
        <w:ind w:right="100" w:firstLine="648"/>
        <w:spacing w:after="0" w:line="263"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920"/>
        <w:spacing w:after="0"/>
        <w:rPr>
          <w:sz w:val="20"/>
          <w:szCs w:val="20"/>
          <w:color w:val="auto"/>
        </w:rPr>
      </w:pPr>
      <w:r>
        <w:rPr>
          <w:rFonts w:ascii="Arial" w:cs="Arial" w:eastAsia="Arial" w:hAnsi="Arial"/>
          <w:sz w:val="22"/>
          <w:szCs w:val="22"/>
          <w:b w:val="1"/>
          <w:bCs w:val="1"/>
          <w:color w:val="auto"/>
        </w:rPr>
        <w:t>FEDERAL REALTY INVESTMENT TRUST</w:t>
      </w:r>
    </w:p>
    <w:p>
      <w:pPr>
        <w:spacing w:after="0" w:line="374" w:lineRule="exact"/>
        <w:rPr>
          <w:sz w:val="20"/>
          <w:szCs w:val="20"/>
          <w:color w:val="auto"/>
        </w:rPr>
      </w:pPr>
    </w:p>
    <w:p>
      <w:pPr>
        <w:ind w:left="1120"/>
        <w:spacing w:after="0"/>
        <w:tabs>
          <w:tab w:leader="none" w:pos="1780" w:val="left"/>
          <w:tab w:leader="none" w:pos="4960" w:val="left"/>
        </w:tabs>
        <w:rPr>
          <w:sz w:val="20"/>
          <w:szCs w:val="20"/>
          <w:color w:val="auto"/>
        </w:rPr>
      </w:pPr>
      <w:r>
        <w:rPr>
          <w:rFonts w:ascii="Arial" w:cs="Arial" w:eastAsia="Arial" w:hAnsi="Arial"/>
          <w:sz w:val="22"/>
          <w:szCs w:val="22"/>
          <w:color w:val="auto"/>
        </w:rPr>
        <w:t>Date:</w:t>
        <w:tab/>
        <w:t>November 1, 2017</w:t>
      </w:r>
      <w:r>
        <w:rPr>
          <w:sz w:val="20"/>
          <w:szCs w:val="20"/>
          <w:color w:val="auto"/>
        </w:rPr>
        <w:tab/>
      </w:r>
      <w:r>
        <w:rPr>
          <w:rFonts w:ascii="Arial" w:cs="Arial" w:eastAsia="Arial" w:hAnsi="Arial"/>
          <w:sz w:val="19"/>
          <w:szCs w:val="19"/>
          <w:u w:val="single" w:color="auto"/>
          <w:color w:val="auto"/>
        </w:rPr>
        <w:t>/s/ Daniel Guglielmone</w:t>
      </w:r>
    </w:p>
    <w:p>
      <w:pPr>
        <w:spacing w:after="0" w:line="368"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Daniel Guglielmone</w:t>
      </w:r>
    </w:p>
    <w:p>
      <w:pPr>
        <w:spacing w:after="0" w:line="44"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Executive Vice President-</w:t>
      </w:r>
    </w:p>
    <w:p>
      <w:pPr>
        <w:spacing w:after="0" w:line="44"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Chief Financial Officer and Treasurer</w:t>
      </w:r>
    </w:p>
    <w:p>
      <w:pPr>
        <w:sectPr>
          <w:pgSz w:w="11900" w:h="16838" w:orient="portrait"/>
          <w:cols w:equalWidth="0" w:num="1">
            <w:col w:w="11380"/>
          </w:cols>
          <w:pgMar w:left="240" w:top="585" w:right="279" w:bottom="1440" w:gutter="0" w:footer="0" w:header="0"/>
        </w:sectPr>
      </w:pPr>
    </w:p>
    <w:bookmarkStart w:id="2" w:name="page3"/>
    <w:bookmarkEnd w:id="2"/>
    <w:p>
      <w:pPr>
        <w:jc w:val="right"/>
        <w:ind w:right="3719"/>
        <w:spacing w:after="0"/>
        <w:rPr>
          <w:sz w:val="20"/>
          <w:szCs w:val="20"/>
          <w:color w:val="auto"/>
        </w:rPr>
      </w:pPr>
      <w:r>
        <w:rPr>
          <w:rFonts w:ascii="Arial" w:cs="Arial" w:eastAsia="Arial" w:hAnsi="Arial"/>
          <w:sz w:val="22"/>
          <w:szCs w:val="22"/>
          <w:color w:val="auto"/>
        </w:rPr>
        <w:t>EXHIBIT INDEX</w:t>
      </w:r>
    </w:p>
    <w:p>
      <w:pPr>
        <w:spacing w:after="0" w:line="200" w:lineRule="exact"/>
        <w:rPr>
          <w:sz w:val="20"/>
          <w:szCs w:val="20"/>
          <w:color w:val="auto"/>
        </w:rPr>
      </w:pPr>
    </w:p>
    <w:p>
      <w:pPr>
        <w:spacing w:after="0" w:line="236" w:lineRule="exact"/>
        <w:rPr>
          <w:sz w:val="20"/>
          <w:szCs w:val="20"/>
          <w:color w:val="auto"/>
        </w:rPr>
      </w:pPr>
    </w:p>
    <w:p>
      <w:pPr>
        <w:spacing w:after="0"/>
        <w:tabs>
          <w:tab w:leader="none" w:pos="880" w:val="left"/>
        </w:tabs>
        <w:rPr>
          <w:sz w:val="20"/>
          <w:szCs w:val="20"/>
          <w:color w:val="auto"/>
        </w:rPr>
      </w:pPr>
      <w:r>
        <w:rPr>
          <w:rFonts w:ascii="Arial" w:cs="Arial" w:eastAsia="Arial" w:hAnsi="Arial"/>
          <w:sz w:val="22"/>
          <w:szCs w:val="22"/>
          <w:u w:val="single" w:color="auto"/>
          <w:color w:val="auto"/>
        </w:rPr>
        <w:t>Exh No.</w:t>
      </w:r>
      <w:r>
        <w:rPr>
          <w:sz w:val="20"/>
          <w:szCs w:val="20"/>
          <w:color w:val="auto"/>
        </w:rPr>
        <w:tab/>
      </w:r>
      <w:r>
        <w:rPr>
          <w:rFonts w:ascii="Arial" w:cs="Arial" w:eastAsia="Arial" w:hAnsi="Arial"/>
          <w:sz w:val="21"/>
          <w:szCs w:val="21"/>
          <w:u w:val="single" w:color="auto"/>
          <w:color w:val="auto"/>
        </w:rPr>
        <w:t>Exhibit</w:t>
      </w:r>
    </w:p>
    <w:p>
      <w:pPr>
        <w:spacing w:after="0" w:line="22" w:lineRule="exact"/>
        <w:rPr>
          <w:sz w:val="20"/>
          <w:szCs w:val="20"/>
          <w:color w:val="auto"/>
        </w:rPr>
      </w:pPr>
    </w:p>
    <w:p>
      <w:pPr>
        <w:spacing w:after="0"/>
        <w:tabs>
          <w:tab w:leader="none" w:pos="720" w:val="left"/>
        </w:tabs>
        <w:rPr>
          <w:rFonts w:ascii="Arial" w:cs="Arial" w:eastAsia="Arial" w:hAnsi="Arial"/>
          <w:sz w:val="16"/>
          <w:szCs w:val="16"/>
          <w:u w:val="single" w:color="auto"/>
          <w:color w:val="0000FF"/>
        </w:rPr>
      </w:pPr>
      <w:r>
        <w:rPr>
          <w:rFonts w:ascii="Arial" w:cs="Arial" w:eastAsia="Arial" w:hAnsi="Arial"/>
          <w:sz w:val="22"/>
          <w:szCs w:val="22"/>
          <w:color w:val="auto"/>
        </w:rPr>
        <w:t>99.1</w:t>
      </w:r>
      <w:r>
        <w:rPr>
          <w:sz w:val="20"/>
          <w:szCs w:val="20"/>
          <w:color w:val="auto"/>
        </w:rPr>
        <w:tab/>
      </w:r>
      <w:hyperlink w:anchor="page4">
        <w:r>
          <w:rPr>
            <w:rFonts w:ascii="Arial" w:cs="Arial" w:eastAsia="Arial" w:hAnsi="Arial"/>
            <w:sz w:val="16"/>
            <w:szCs w:val="16"/>
            <w:u w:val="single" w:color="auto"/>
            <w:color w:val="0000FF"/>
          </w:rPr>
          <w:t>Supplemental Information at September 30, 2017</w:t>
        </w:r>
      </w:hyperlink>
    </w:p>
    <w:p>
      <w:pPr>
        <w:sectPr>
          <w:pgSz w:w="11900" w:h="16838" w:orient="portrait"/>
          <w:cols w:equalWidth="0" w:num="1">
            <w:col w:w="10219"/>
          </w:cols>
          <w:pgMar w:left="240" w:top="591"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SUPPLEMENTAL INFORMATION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30, 2017</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1</w:t>
            </w:r>
          </w:p>
        </w:tc>
        <w:tc>
          <w:tcPr>
            <w:tcW w:w="8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Third Quarter 2017 Earnings Press Release</w:t>
            </w:r>
          </w:p>
        </w:tc>
        <w:tc>
          <w:tcPr>
            <w:tcW w:w="200" w:type="dxa"/>
            <w:vAlign w:val="bottom"/>
            <w:gridSpan w:val="3"/>
            <w:shd w:val="clear" w:color="auto" w:fill="CCEEFF"/>
          </w:tcPr>
          <w:p>
            <w:pPr>
              <w:jc w:val="right"/>
              <w:ind w:right="20"/>
              <w:spacing w:after="0"/>
              <w:rPr>
                <w:rFonts w:ascii="Arial" w:cs="Arial" w:eastAsia="Arial" w:hAnsi="Arial"/>
                <w:sz w:val="18"/>
                <w:szCs w:val="18"/>
                <w:color w:val="0000EE"/>
              </w:rPr>
            </w:pPr>
            <w:hyperlink w:anchor="page6">
              <w:r>
                <w:rPr>
                  <w:rFonts w:ascii="Arial" w:cs="Arial" w:eastAsia="Arial" w:hAnsi="Arial"/>
                  <w:sz w:val="18"/>
                  <w:szCs w:val="18"/>
                  <w:color w:val="0000EE"/>
                </w:rPr>
                <w:t>3</w:t>
              </w:r>
            </w:hyperlink>
          </w:p>
        </w:tc>
      </w:tr>
      <w:tr>
        <w:trPr>
          <w:trHeight w:val="270"/>
        </w:trPr>
        <w:tc>
          <w:tcPr>
            <w:tcW w:w="500" w:type="dxa"/>
            <w:vAlign w:val="bottom"/>
            <w:tcBorders>
              <w:top w:val="single" w:sz="8" w:color="CCEEFF"/>
            </w:tcBorders>
          </w:tcPr>
          <w:p>
            <w:pPr>
              <w:spacing w:after="0"/>
              <w:rPr>
                <w:sz w:val="23"/>
                <w:szCs w:val="23"/>
                <w:color w:val="auto"/>
              </w:rPr>
            </w:pPr>
          </w:p>
        </w:tc>
        <w:tc>
          <w:tcPr>
            <w:tcW w:w="87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2</w:t>
            </w:r>
          </w:p>
        </w:tc>
        <w:tc>
          <w:tcPr>
            <w:tcW w:w="87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Financial Highlights</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500" w:type="dxa"/>
            <w:vAlign w:val="bottom"/>
          </w:tcPr>
          <w:p>
            <w:pPr>
              <w:spacing w:after="0"/>
              <w:rPr>
                <w:sz w:val="17"/>
                <w:szCs w:val="17"/>
                <w:color w:val="auto"/>
              </w:rPr>
            </w:pPr>
          </w:p>
        </w:tc>
        <w:tc>
          <w:tcPr>
            <w:tcW w:w="8760" w:type="dxa"/>
            <w:vAlign w:val="bottom"/>
          </w:tcPr>
          <w:p>
            <w:pPr>
              <w:ind w:left="1140"/>
              <w:spacing w:after="0" w:line="202" w:lineRule="exact"/>
              <w:rPr>
                <w:sz w:val="20"/>
                <w:szCs w:val="20"/>
                <w:color w:val="auto"/>
              </w:rPr>
            </w:pPr>
            <w:r>
              <w:rPr>
                <w:rFonts w:ascii="Arial" w:cs="Arial" w:eastAsia="Arial" w:hAnsi="Arial"/>
                <w:sz w:val="18"/>
                <w:szCs w:val="18"/>
                <w:color w:val="auto"/>
              </w:rPr>
              <w:t>Consolidated Income Statements</w:t>
            </w:r>
          </w:p>
        </w:tc>
        <w:tc>
          <w:tcPr>
            <w:tcW w:w="200" w:type="dxa"/>
            <w:vAlign w:val="bottom"/>
            <w:gridSpan w:val="3"/>
          </w:tcPr>
          <w:p>
            <w:pPr>
              <w:jc w:val="right"/>
              <w:ind w:right="20"/>
              <w:spacing w:after="0" w:line="202" w:lineRule="exact"/>
              <w:rPr>
                <w:rFonts w:ascii="Arial" w:cs="Arial" w:eastAsia="Arial" w:hAnsi="Arial"/>
                <w:sz w:val="18"/>
                <w:szCs w:val="18"/>
                <w:color w:val="0000EE"/>
              </w:rPr>
            </w:pPr>
            <w:hyperlink w:anchor="page10">
              <w:r>
                <w:rPr>
                  <w:rFonts w:ascii="Arial" w:cs="Arial" w:eastAsia="Arial" w:hAnsi="Arial"/>
                  <w:sz w:val="18"/>
                  <w:szCs w:val="18"/>
                  <w:color w:val="0000EE"/>
                </w:rPr>
                <w:t>7</w:t>
              </w:r>
            </w:hyperlink>
          </w:p>
        </w:tc>
      </w:tr>
      <w:tr>
        <w:trPr>
          <w:trHeight w:val="48"/>
        </w:trPr>
        <w:tc>
          <w:tcPr>
            <w:tcW w:w="500" w:type="dxa"/>
            <w:vAlign w:val="bottom"/>
          </w:tcPr>
          <w:p>
            <w:pPr>
              <w:spacing w:after="0"/>
              <w:rPr>
                <w:sz w:val="4"/>
                <w:szCs w:val="4"/>
                <w:color w:val="auto"/>
              </w:rPr>
            </w:pPr>
          </w:p>
        </w:tc>
        <w:tc>
          <w:tcPr>
            <w:tcW w:w="8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500" w:type="dxa"/>
            <w:vAlign w:val="bottom"/>
            <w:shd w:val="clear" w:color="auto" w:fill="CCEEFF"/>
          </w:tcPr>
          <w:p>
            <w:pPr>
              <w:spacing w:after="0"/>
              <w:rPr>
                <w:sz w:val="17"/>
                <w:szCs w:val="17"/>
                <w:color w:val="auto"/>
              </w:rPr>
            </w:pPr>
          </w:p>
        </w:tc>
        <w:tc>
          <w:tcPr>
            <w:tcW w:w="8760" w:type="dxa"/>
            <w:vAlign w:val="bottom"/>
            <w:shd w:val="clear" w:color="auto" w:fill="CCEEFF"/>
          </w:tcPr>
          <w:p>
            <w:pPr>
              <w:ind w:left="1140"/>
              <w:spacing w:after="0" w:line="202" w:lineRule="exact"/>
              <w:rPr>
                <w:sz w:val="20"/>
                <w:szCs w:val="20"/>
                <w:color w:val="auto"/>
              </w:rPr>
            </w:pPr>
            <w:r>
              <w:rPr>
                <w:rFonts w:ascii="Arial" w:cs="Arial" w:eastAsia="Arial" w:hAnsi="Arial"/>
                <w:sz w:val="18"/>
                <w:szCs w:val="18"/>
                <w:color w:val="auto"/>
              </w:rPr>
              <w:t>Consolidated Balance Sheets</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11">
              <w:r>
                <w:rPr>
                  <w:rFonts w:ascii="Arial" w:cs="Arial" w:eastAsia="Arial" w:hAnsi="Arial"/>
                  <w:sz w:val="18"/>
                  <w:szCs w:val="18"/>
                  <w:color w:val="0000EE"/>
                </w:rPr>
                <w:t>8</w:t>
              </w:r>
            </w:hyperlink>
          </w:p>
        </w:tc>
      </w:tr>
      <w:tr>
        <w:trPr>
          <w:trHeight w:val="48"/>
        </w:trPr>
        <w:tc>
          <w:tcPr>
            <w:tcW w:w="500" w:type="dxa"/>
            <w:vAlign w:val="bottom"/>
            <w:tcBorders>
              <w:top w:val="single" w:sz="8" w:color="CCEEFF"/>
            </w:tcBorders>
            <w:shd w:val="clear" w:color="auto" w:fill="CCEEFF"/>
          </w:tcPr>
          <w:p>
            <w:pPr>
              <w:spacing w:after="0"/>
              <w:rPr>
                <w:sz w:val="4"/>
                <w:szCs w:val="4"/>
                <w:color w:val="auto"/>
              </w:rPr>
            </w:pPr>
          </w:p>
        </w:tc>
        <w:tc>
          <w:tcPr>
            <w:tcW w:w="87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500" w:type="dxa"/>
            <w:vAlign w:val="bottom"/>
          </w:tcPr>
          <w:p>
            <w:pPr>
              <w:spacing w:after="0"/>
              <w:rPr>
                <w:sz w:val="17"/>
                <w:szCs w:val="17"/>
                <w:color w:val="auto"/>
              </w:rPr>
            </w:pPr>
          </w:p>
        </w:tc>
        <w:tc>
          <w:tcPr>
            <w:tcW w:w="8760" w:type="dxa"/>
            <w:vAlign w:val="bottom"/>
          </w:tcPr>
          <w:p>
            <w:pPr>
              <w:ind w:left="1140"/>
              <w:spacing w:after="0" w:line="202" w:lineRule="exact"/>
              <w:rPr>
                <w:sz w:val="20"/>
                <w:szCs w:val="20"/>
                <w:color w:val="auto"/>
              </w:rPr>
            </w:pPr>
            <w:r>
              <w:rPr>
                <w:rFonts w:ascii="Arial" w:cs="Arial" w:eastAsia="Arial" w:hAnsi="Arial"/>
                <w:sz w:val="18"/>
                <w:szCs w:val="18"/>
                <w:color w:val="auto"/>
              </w:rPr>
              <w:t>Funds From Operations / Summary of Capital Expenditures</w:t>
            </w:r>
          </w:p>
        </w:tc>
        <w:tc>
          <w:tcPr>
            <w:tcW w:w="200" w:type="dxa"/>
            <w:vAlign w:val="bottom"/>
            <w:gridSpan w:val="3"/>
          </w:tcPr>
          <w:p>
            <w:pPr>
              <w:jc w:val="right"/>
              <w:ind w:right="20"/>
              <w:spacing w:after="0" w:line="202" w:lineRule="exact"/>
              <w:rPr>
                <w:rFonts w:ascii="Arial" w:cs="Arial" w:eastAsia="Arial" w:hAnsi="Arial"/>
                <w:sz w:val="18"/>
                <w:szCs w:val="18"/>
                <w:color w:val="0000EE"/>
              </w:rPr>
            </w:pPr>
            <w:hyperlink w:anchor="page12">
              <w:r>
                <w:rPr>
                  <w:rFonts w:ascii="Arial" w:cs="Arial" w:eastAsia="Arial" w:hAnsi="Arial"/>
                  <w:sz w:val="18"/>
                  <w:szCs w:val="18"/>
                  <w:color w:val="0000EE"/>
                </w:rPr>
                <w:t>9</w:t>
              </w:r>
            </w:hyperlink>
          </w:p>
        </w:tc>
      </w:tr>
      <w:tr>
        <w:trPr>
          <w:trHeight w:val="48"/>
        </w:trPr>
        <w:tc>
          <w:tcPr>
            <w:tcW w:w="500" w:type="dxa"/>
            <w:vAlign w:val="bottom"/>
          </w:tcPr>
          <w:p>
            <w:pPr>
              <w:spacing w:after="0"/>
              <w:rPr>
                <w:sz w:val="4"/>
                <w:szCs w:val="4"/>
                <w:color w:val="auto"/>
              </w:rPr>
            </w:pPr>
          </w:p>
        </w:tc>
        <w:tc>
          <w:tcPr>
            <w:tcW w:w="8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500" w:type="dxa"/>
            <w:vAlign w:val="bottom"/>
            <w:shd w:val="clear" w:color="auto" w:fill="CCEEFF"/>
          </w:tcPr>
          <w:p>
            <w:pPr>
              <w:spacing w:after="0"/>
              <w:rPr>
                <w:sz w:val="17"/>
                <w:szCs w:val="17"/>
                <w:color w:val="auto"/>
              </w:rPr>
            </w:pPr>
          </w:p>
        </w:tc>
        <w:tc>
          <w:tcPr>
            <w:tcW w:w="8760" w:type="dxa"/>
            <w:vAlign w:val="bottom"/>
            <w:shd w:val="clear" w:color="auto" w:fill="CCEEFF"/>
          </w:tcPr>
          <w:p>
            <w:pPr>
              <w:ind w:left="1140"/>
              <w:spacing w:after="0" w:line="202" w:lineRule="exact"/>
              <w:rPr>
                <w:sz w:val="20"/>
                <w:szCs w:val="20"/>
                <w:color w:val="auto"/>
              </w:rPr>
            </w:pPr>
            <w:r>
              <w:rPr>
                <w:rFonts w:ascii="Arial" w:cs="Arial" w:eastAsia="Arial" w:hAnsi="Arial"/>
                <w:sz w:val="18"/>
                <w:szCs w:val="18"/>
                <w:color w:val="auto"/>
              </w:rPr>
              <w:t>Market Data</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13">
              <w:r>
                <w:rPr>
                  <w:rFonts w:ascii="Arial" w:cs="Arial" w:eastAsia="Arial" w:hAnsi="Arial"/>
                  <w:sz w:val="18"/>
                  <w:szCs w:val="18"/>
                  <w:color w:val="0000EE"/>
                  <w:w w:val="79"/>
                </w:rPr>
                <w:t>10</w:t>
              </w:r>
            </w:hyperlink>
          </w:p>
        </w:tc>
      </w:tr>
      <w:tr>
        <w:trPr>
          <w:trHeight w:val="48"/>
        </w:trPr>
        <w:tc>
          <w:tcPr>
            <w:tcW w:w="500" w:type="dxa"/>
            <w:vAlign w:val="bottom"/>
            <w:tcBorders>
              <w:top w:val="single" w:sz="8" w:color="CCEEFF"/>
            </w:tcBorders>
            <w:shd w:val="clear" w:color="auto" w:fill="CCEEFF"/>
          </w:tcPr>
          <w:p>
            <w:pPr>
              <w:spacing w:after="0"/>
              <w:rPr>
                <w:sz w:val="4"/>
                <w:szCs w:val="4"/>
                <w:color w:val="auto"/>
              </w:rPr>
            </w:pPr>
          </w:p>
        </w:tc>
        <w:tc>
          <w:tcPr>
            <w:tcW w:w="87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500" w:type="dxa"/>
            <w:vAlign w:val="bottom"/>
          </w:tcPr>
          <w:p>
            <w:pPr>
              <w:spacing w:after="0"/>
              <w:rPr>
                <w:sz w:val="17"/>
                <w:szCs w:val="17"/>
                <w:color w:val="auto"/>
              </w:rPr>
            </w:pPr>
          </w:p>
        </w:tc>
        <w:tc>
          <w:tcPr>
            <w:tcW w:w="8760" w:type="dxa"/>
            <w:vAlign w:val="bottom"/>
          </w:tcPr>
          <w:p>
            <w:pPr>
              <w:ind w:left="1140"/>
              <w:spacing w:after="0" w:line="202" w:lineRule="exact"/>
              <w:rPr>
                <w:sz w:val="20"/>
                <w:szCs w:val="20"/>
                <w:color w:val="auto"/>
              </w:rPr>
            </w:pPr>
            <w:r>
              <w:rPr>
                <w:rFonts w:ascii="Arial" w:cs="Arial" w:eastAsia="Arial" w:hAnsi="Arial"/>
                <w:sz w:val="18"/>
                <w:szCs w:val="18"/>
                <w:color w:val="auto"/>
              </w:rPr>
              <w:t>Components of Rental Income</w:t>
            </w:r>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14">
              <w:r>
                <w:rPr>
                  <w:rFonts w:ascii="Arial" w:cs="Arial" w:eastAsia="Arial" w:hAnsi="Arial"/>
                  <w:sz w:val="18"/>
                  <w:szCs w:val="18"/>
                  <w:color w:val="0000EE"/>
                  <w:w w:val="79"/>
                </w:rPr>
                <w:t>11</w:t>
              </w:r>
            </w:hyperlink>
          </w:p>
        </w:tc>
      </w:tr>
      <w:tr>
        <w:trPr>
          <w:trHeight w:val="48"/>
        </w:trPr>
        <w:tc>
          <w:tcPr>
            <w:tcW w:w="500" w:type="dxa"/>
            <w:vAlign w:val="bottom"/>
          </w:tcPr>
          <w:p>
            <w:pPr>
              <w:spacing w:after="0"/>
              <w:rPr>
                <w:sz w:val="4"/>
                <w:szCs w:val="4"/>
                <w:color w:val="auto"/>
              </w:rPr>
            </w:pPr>
          </w:p>
        </w:tc>
        <w:tc>
          <w:tcPr>
            <w:tcW w:w="876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500" w:type="dxa"/>
            <w:vAlign w:val="bottom"/>
            <w:shd w:val="clear" w:color="auto" w:fill="CCEEFF"/>
          </w:tcPr>
          <w:p>
            <w:pPr>
              <w:spacing w:after="0"/>
              <w:rPr>
                <w:sz w:val="17"/>
                <w:szCs w:val="17"/>
                <w:color w:val="auto"/>
              </w:rPr>
            </w:pPr>
          </w:p>
        </w:tc>
        <w:tc>
          <w:tcPr>
            <w:tcW w:w="8760" w:type="dxa"/>
            <w:vAlign w:val="bottom"/>
            <w:shd w:val="clear" w:color="auto" w:fill="CCEEFF"/>
          </w:tcPr>
          <w:p>
            <w:pPr>
              <w:ind w:left="1140"/>
              <w:spacing w:after="0" w:line="202" w:lineRule="exact"/>
              <w:rPr>
                <w:sz w:val="20"/>
                <w:szCs w:val="20"/>
                <w:color w:val="auto"/>
              </w:rPr>
            </w:pPr>
            <w:r>
              <w:rPr>
                <w:rFonts w:ascii="Arial" w:cs="Arial" w:eastAsia="Arial" w:hAnsi="Arial"/>
                <w:sz w:val="18"/>
                <w:szCs w:val="18"/>
                <w:color w:val="auto"/>
              </w:rPr>
              <w:t>Comparable Property Information</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15">
              <w:r>
                <w:rPr>
                  <w:rFonts w:ascii="Arial" w:cs="Arial" w:eastAsia="Arial" w:hAnsi="Arial"/>
                  <w:sz w:val="18"/>
                  <w:szCs w:val="18"/>
                  <w:color w:val="0000EE"/>
                  <w:w w:val="79"/>
                </w:rPr>
                <w:t>12</w:t>
              </w:r>
            </w:hyperlink>
          </w:p>
        </w:tc>
      </w:tr>
      <w:tr>
        <w:trPr>
          <w:trHeight w:val="48"/>
        </w:trPr>
        <w:tc>
          <w:tcPr>
            <w:tcW w:w="500" w:type="dxa"/>
            <w:vAlign w:val="bottom"/>
            <w:tcBorders>
              <w:top w:val="single" w:sz="8" w:color="CCEEFF"/>
            </w:tcBorders>
            <w:shd w:val="clear" w:color="auto" w:fill="CCEEFF"/>
          </w:tcPr>
          <w:p>
            <w:pPr>
              <w:spacing w:after="0"/>
              <w:rPr>
                <w:sz w:val="4"/>
                <w:szCs w:val="4"/>
                <w:color w:val="auto"/>
              </w:rPr>
            </w:pPr>
          </w:p>
        </w:tc>
        <w:tc>
          <w:tcPr>
            <w:tcW w:w="87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6011545"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11545" cy="171450"/>
                    </a:xfrm>
                    <a:prstGeom prst="rect">
                      <a:avLst/>
                    </a:prstGeom>
                    <a:noFill/>
                  </pic:spPr>
                </pic:pic>
              </a:graphicData>
            </a:graphic>
          </wp:anchor>
        </w:drawing>
      </w:r>
    </w:p>
    <w:p>
      <w:pPr>
        <w:spacing w:after="0" w:line="263" w:lineRule="exact"/>
        <w:rPr>
          <w:sz w:val="20"/>
          <w:szCs w:val="20"/>
          <w:color w:val="auto"/>
        </w:rPr>
      </w:pPr>
    </w:p>
    <w:p>
      <w:pPr>
        <w:ind w:left="900" w:hanging="873"/>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Summary of Debt</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Pr>
          <w:p>
            <w:pPr>
              <w:spacing w:after="0"/>
              <w:rPr>
                <w:sz w:val="17"/>
                <w:szCs w:val="17"/>
                <w:color w:val="auto"/>
              </w:rPr>
            </w:pPr>
          </w:p>
        </w:tc>
        <w:tc>
          <w:tcPr>
            <w:tcW w:w="8720" w:type="dxa"/>
            <w:vAlign w:val="bottom"/>
          </w:tcPr>
          <w:p>
            <w:pPr>
              <w:ind w:left="1100"/>
              <w:spacing w:after="0"/>
              <w:rPr>
                <w:sz w:val="20"/>
                <w:szCs w:val="20"/>
                <w:color w:val="auto"/>
              </w:rPr>
            </w:pPr>
            <w:r>
              <w:rPr>
                <w:rFonts w:ascii="Arial" w:cs="Arial" w:eastAsia="Arial" w:hAnsi="Arial"/>
                <w:sz w:val="18"/>
                <w:szCs w:val="18"/>
                <w:color w:val="auto"/>
              </w:rPr>
              <w:t>Summary of Outstanding Debt and Capital Lease Obligations</w:t>
            </w:r>
          </w:p>
        </w:tc>
        <w:tc>
          <w:tcPr>
            <w:tcW w:w="200" w:type="dxa"/>
            <w:vAlign w:val="bottom"/>
            <w:gridSpan w:val="2"/>
          </w:tcPr>
          <w:p>
            <w:pPr>
              <w:jc w:val="right"/>
              <w:ind w:right="20"/>
              <w:spacing w:after="0"/>
              <w:rPr>
                <w:rFonts w:ascii="Arial" w:cs="Arial" w:eastAsia="Arial" w:hAnsi="Arial"/>
                <w:sz w:val="18"/>
                <w:szCs w:val="18"/>
                <w:color w:val="0000EE"/>
                <w:w w:val="79"/>
              </w:rPr>
            </w:pPr>
            <w:hyperlink w:anchor="page17">
              <w:r>
                <w:rPr>
                  <w:rFonts w:ascii="Arial" w:cs="Arial" w:eastAsia="Arial" w:hAnsi="Arial"/>
                  <w:sz w:val="18"/>
                  <w:szCs w:val="18"/>
                  <w:color w:val="0000EE"/>
                  <w:w w:val="79"/>
                </w:rPr>
                <w:t>13</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540" w:type="dxa"/>
            <w:vAlign w:val="bottom"/>
            <w:shd w:val="clear" w:color="auto" w:fill="CCEEFF"/>
          </w:tcPr>
          <w:p>
            <w:pPr>
              <w:spacing w:after="0"/>
              <w:rPr>
                <w:sz w:val="21"/>
                <w:szCs w:val="21"/>
                <w:color w:val="auto"/>
              </w:rPr>
            </w:pPr>
          </w:p>
        </w:tc>
        <w:tc>
          <w:tcPr>
            <w:tcW w:w="8720" w:type="dxa"/>
            <w:vAlign w:val="bottom"/>
            <w:shd w:val="clear" w:color="auto" w:fill="CCEEFF"/>
          </w:tcPr>
          <w:p>
            <w:pPr>
              <w:ind w:left="1100"/>
              <w:spacing w:after="0" w:line="202" w:lineRule="exact"/>
              <w:rPr>
                <w:sz w:val="20"/>
                <w:szCs w:val="20"/>
                <w:color w:val="auto"/>
              </w:rPr>
            </w:pPr>
            <w:r>
              <w:rPr>
                <w:rFonts w:ascii="Arial" w:cs="Arial" w:eastAsia="Arial" w:hAnsi="Arial"/>
                <w:sz w:val="18"/>
                <w:szCs w:val="18"/>
                <w:color w:val="auto"/>
              </w:rPr>
              <w:t>Summary of Debt Maturities</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20">
              <w:r>
                <w:rPr>
                  <w:rFonts w:ascii="Arial" w:cs="Arial" w:eastAsia="Arial" w:hAnsi="Arial"/>
                  <w:sz w:val="18"/>
                  <w:szCs w:val="18"/>
                  <w:color w:val="0000EE"/>
                  <w:w w:val="79"/>
                </w:rPr>
                <w:t>15</w:t>
              </w:r>
            </w:hyperlink>
          </w:p>
        </w:tc>
      </w:tr>
      <w:tr>
        <w:trPr>
          <w:trHeight w:val="270"/>
        </w:trPr>
        <w:tc>
          <w:tcPr>
            <w:tcW w:w="540" w:type="dxa"/>
            <w:vAlign w:val="bottom"/>
            <w:tcBorders>
              <w:top w:val="single" w:sz="8" w:color="CCEEFF"/>
            </w:tcBorders>
          </w:tcPr>
          <w:p>
            <w:pPr>
              <w:spacing w:after="0"/>
              <w:rPr>
                <w:sz w:val="23"/>
                <w:szCs w:val="23"/>
                <w:color w:val="auto"/>
              </w:rPr>
            </w:pPr>
          </w:p>
        </w:tc>
        <w:tc>
          <w:tcPr>
            <w:tcW w:w="8720" w:type="dxa"/>
            <w:vAlign w:val="bottom"/>
            <w:tcBorders>
              <w:top w:val="single" w:sz="8" w:color="CCEEFF"/>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4</w:t>
            </w:r>
          </w:p>
        </w:tc>
        <w:tc>
          <w:tcPr>
            <w:tcW w:w="87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Summary of Redevelopment Opportunities</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21">
              <w:r>
                <w:rPr>
                  <w:rFonts w:ascii="Arial" w:cs="Arial" w:eastAsia="Arial" w:hAnsi="Arial"/>
                  <w:sz w:val="18"/>
                  <w:szCs w:val="18"/>
                  <w:color w:val="0000EE"/>
                  <w:w w:val="79"/>
                </w:rPr>
                <w:t>16</w:t>
              </w:r>
            </w:hyperlink>
          </w:p>
        </w:tc>
      </w:tr>
      <w:tr>
        <w:trPr>
          <w:trHeight w:val="324"/>
        </w:trPr>
        <w:tc>
          <w:tcPr>
            <w:tcW w:w="540" w:type="dxa"/>
            <w:vAlign w:val="bottom"/>
            <w:tcBorders>
              <w:top w:val="single" w:sz="8" w:color="CCEEFF"/>
            </w:tcBorders>
          </w:tcPr>
          <w:p>
            <w:pPr>
              <w:spacing w:after="0"/>
              <w:rPr>
                <w:sz w:val="24"/>
                <w:szCs w:val="24"/>
                <w:color w:val="auto"/>
              </w:rPr>
            </w:pPr>
          </w:p>
        </w:tc>
        <w:tc>
          <w:tcPr>
            <w:tcW w:w="8720" w:type="dxa"/>
            <w:vAlign w:val="bottom"/>
            <w:tcBorders>
              <w:top w:val="single" w:sz="8" w:color="CCEEFF"/>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50"/>
        </w:trPr>
        <w:tc>
          <w:tcPr>
            <w:tcW w:w="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5</w:t>
            </w:r>
          </w:p>
        </w:tc>
        <w:tc>
          <w:tcPr>
            <w:tcW w:w="87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Assembly Row, Pike &amp; Rose, and Santana Row</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22">
              <w:r>
                <w:rPr>
                  <w:rFonts w:ascii="Arial" w:cs="Arial" w:eastAsia="Arial" w:hAnsi="Arial"/>
                  <w:sz w:val="18"/>
                  <w:szCs w:val="18"/>
                  <w:color w:val="0000EE"/>
                  <w:w w:val="79"/>
                </w:rPr>
                <w:t>17</w:t>
              </w:r>
            </w:hyperlink>
          </w:p>
        </w:tc>
      </w:tr>
      <w:tr>
        <w:trPr>
          <w:trHeight w:val="324"/>
        </w:trPr>
        <w:tc>
          <w:tcPr>
            <w:tcW w:w="540" w:type="dxa"/>
            <w:vAlign w:val="bottom"/>
            <w:tcBorders>
              <w:top w:val="single" w:sz="8" w:color="CCEEFF"/>
            </w:tcBorders>
          </w:tcPr>
          <w:p>
            <w:pPr>
              <w:spacing w:after="0"/>
              <w:rPr>
                <w:sz w:val="24"/>
                <w:szCs w:val="24"/>
                <w:color w:val="auto"/>
              </w:rPr>
            </w:pPr>
          </w:p>
        </w:tc>
        <w:tc>
          <w:tcPr>
            <w:tcW w:w="8720" w:type="dxa"/>
            <w:vAlign w:val="bottom"/>
            <w:tcBorders>
              <w:top w:val="single" w:sz="8" w:color="CCEEFF"/>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50"/>
        </w:trPr>
        <w:tc>
          <w:tcPr>
            <w:tcW w:w="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6</w:t>
            </w:r>
          </w:p>
        </w:tc>
        <w:tc>
          <w:tcPr>
            <w:tcW w:w="87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Future Redevelopment Opportunities</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25">
              <w:r>
                <w:rPr>
                  <w:rFonts w:ascii="Arial" w:cs="Arial" w:eastAsia="Arial" w:hAnsi="Arial"/>
                  <w:sz w:val="18"/>
                  <w:szCs w:val="18"/>
                  <w:color w:val="0000EE"/>
                  <w:w w:val="79"/>
                </w:rPr>
                <w:t>20</w:t>
              </w:r>
            </w:hyperlink>
          </w:p>
        </w:tc>
      </w:tr>
      <w:tr>
        <w:trPr>
          <w:trHeight w:val="270"/>
        </w:trPr>
        <w:tc>
          <w:tcPr>
            <w:tcW w:w="540" w:type="dxa"/>
            <w:vAlign w:val="bottom"/>
            <w:tcBorders>
              <w:top w:val="single" w:sz="8" w:color="CCEEFF"/>
            </w:tcBorders>
          </w:tcPr>
          <w:p>
            <w:pPr>
              <w:spacing w:after="0"/>
              <w:rPr>
                <w:sz w:val="23"/>
                <w:szCs w:val="23"/>
                <w:color w:val="auto"/>
              </w:rPr>
            </w:pPr>
          </w:p>
        </w:tc>
        <w:tc>
          <w:tcPr>
            <w:tcW w:w="8720" w:type="dxa"/>
            <w:vAlign w:val="bottom"/>
            <w:tcBorders>
              <w:top w:val="single" w:sz="8" w:color="CCEEFF"/>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7</w:t>
            </w:r>
          </w:p>
        </w:tc>
        <w:tc>
          <w:tcPr>
            <w:tcW w:w="87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2017 Significant Acquisitions and Dispositions</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26">
              <w:r>
                <w:rPr>
                  <w:rFonts w:ascii="Arial" w:cs="Arial" w:eastAsia="Arial" w:hAnsi="Arial"/>
                  <w:sz w:val="18"/>
                  <w:szCs w:val="18"/>
                  <w:color w:val="0000EE"/>
                  <w:w w:val="79"/>
                </w:rPr>
                <w:t>21</w:t>
              </w:r>
            </w:hyperlink>
          </w:p>
        </w:tc>
      </w:tr>
      <w:tr>
        <w:trPr>
          <w:trHeight w:val="324"/>
        </w:trPr>
        <w:tc>
          <w:tcPr>
            <w:tcW w:w="540" w:type="dxa"/>
            <w:vAlign w:val="bottom"/>
            <w:tcBorders>
              <w:top w:val="single" w:sz="8" w:color="CCEEFF"/>
            </w:tcBorders>
          </w:tcPr>
          <w:p>
            <w:pPr>
              <w:spacing w:after="0"/>
              <w:rPr>
                <w:sz w:val="24"/>
                <w:szCs w:val="24"/>
                <w:color w:val="auto"/>
              </w:rPr>
            </w:pPr>
          </w:p>
        </w:tc>
        <w:tc>
          <w:tcPr>
            <w:tcW w:w="8720" w:type="dxa"/>
            <w:vAlign w:val="bottom"/>
            <w:tcBorders>
              <w:top w:val="single" w:sz="8" w:color="CCEEFF"/>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50"/>
        </w:trPr>
        <w:tc>
          <w:tcPr>
            <w:tcW w:w="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8</w:t>
            </w:r>
          </w:p>
        </w:tc>
        <w:tc>
          <w:tcPr>
            <w:tcW w:w="87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Real Estate Status Report</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27">
              <w:r>
                <w:rPr>
                  <w:rFonts w:ascii="Arial" w:cs="Arial" w:eastAsia="Arial" w:hAnsi="Arial"/>
                  <w:sz w:val="18"/>
                  <w:szCs w:val="18"/>
                  <w:color w:val="0000EE"/>
                  <w:w w:val="79"/>
                </w:rPr>
                <w:t>22</w:t>
              </w:r>
            </w:hyperlink>
          </w:p>
        </w:tc>
      </w:tr>
      <w:tr>
        <w:trPr>
          <w:trHeight w:val="270"/>
        </w:trPr>
        <w:tc>
          <w:tcPr>
            <w:tcW w:w="540" w:type="dxa"/>
            <w:vAlign w:val="bottom"/>
            <w:tcBorders>
              <w:top w:val="single" w:sz="8" w:color="CCEEFF"/>
            </w:tcBorders>
          </w:tcPr>
          <w:p>
            <w:pPr>
              <w:spacing w:after="0"/>
              <w:rPr>
                <w:sz w:val="23"/>
                <w:szCs w:val="23"/>
                <w:color w:val="auto"/>
              </w:rPr>
            </w:pPr>
          </w:p>
        </w:tc>
        <w:tc>
          <w:tcPr>
            <w:tcW w:w="8720" w:type="dxa"/>
            <w:vAlign w:val="bottom"/>
            <w:tcBorders>
              <w:top w:val="single" w:sz="8" w:color="CCEEFF"/>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9</w:t>
            </w:r>
          </w:p>
        </w:tc>
        <w:tc>
          <w:tcPr>
            <w:tcW w:w="87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Retail Leasing Summary</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31">
              <w:r>
                <w:rPr>
                  <w:rFonts w:ascii="Arial" w:cs="Arial" w:eastAsia="Arial" w:hAnsi="Arial"/>
                  <w:sz w:val="18"/>
                  <w:szCs w:val="18"/>
                  <w:color w:val="0000EE"/>
                  <w:w w:val="79"/>
                </w:rPr>
                <w:t>26</w:t>
              </w:r>
            </w:hyperlink>
          </w:p>
        </w:tc>
      </w:tr>
      <w:tr>
        <w:trPr>
          <w:trHeight w:val="270"/>
        </w:trPr>
        <w:tc>
          <w:tcPr>
            <w:tcW w:w="540" w:type="dxa"/>
            <w:vAlign w:val="bottom"/>
            <w:tcBorders>
              <w:top w:val="single" w:sz="8" w:color="CCEEFF"/>
            </w:tcBorders>
          </w:tcPr>
          <w:p>
            <w:pPr>
              <w:spacing w:after="0"/>
              <w:rPr>
                <w:sz w:val="23"/>
                <w:szCs w:val="23"/>
                <w:color w:val="auto"/>
              </w:rPr>
            </w:pPr>
          </w:p>
        </w:tc>
        <w:tc>
          <w:tcPr>
            <w:tcW w:w="8720" w:type="dxa"/>
            <w:vAlign w:val="bottom"/>
            <w:tcBorders>
              <w:top w:val="single" w:sz="8" w:color="CCEEFF"/>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10</w:t>
            </w:r>
          </w:p>
        </w:tc>
        <w:tc>
          <w:tcPr>
            <w:tcW w:w="87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Lease Expirations</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32">
              <w:r>
                <w:rPr>
                  <w:rFonts w:ascii="Arial" w:cs="Arial" w:eastAsia="Arial" w:hAnsi="Arial"/>
                  <w:sz w:val="18"/>
                  <w:szCs w:val="18"/>
                  <w:color w:val="0000EE"/>
                  <w:w w:val="79"/>
                </w:rPr>
                <w:t>27</w:t>
              </w:r>
            </w:hyperlink>
          </w:p>
        </w:tc>
      </w:tr>
      <w:tr>
        <w:trPr>
          <w:trHeight w:val="270"/>
        </w:trPr>
        <w:tc>
          <w:tcPr>
            <w:tcW w:w="540" w:type="dxa"/>
            <w:vAlign w:val="bottom"/>
            <w:tcBorders>
              <w:top w:val="single" w:sz="8" w:color="CCEEFF"/>
            </w:tcBorders>
          </w:tcPr>
          <w:p>
            <w:pPr>
              <w:spacing w:after="0"/>
              <w:rPr>
                <w:sz w:val="23"/>
                <w:szCs w:val="23"/>
                <w:color w:val="auto"/>
              </w:rPr>
            </w:pPr>
          </w:p>
        </w:tc>
        <w:tc>
          <w:tcPr>
            <w:tcW w:w="8720" w:type="dxa"/>
            <w:vAlign w:val="bottom"/>
            <w:tcBorders>
              <w:top w:val="single" w:sz="8" w:color="CCEEFF"/>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11</w:t>
            </w:r>
          </w:p>
        </w:tc>
        <w:tc>
          <w:tcPr>
            <w:tcW w:w="87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Portfolio Leased Statistics</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33">
              <w:r>
                <w:rPr>
                  <w:rFonts w:ascii="Arial" w:cs="Arial" w:eastAsia="Arial" w:hAnsi="Arial"/>
                  <w:sz w:val="18"/>
                  <w:szCs w:val="18"/>
                  <w:color w:val="0000EE"/>
                  <w:w w:val="79"/>
                </w:rPr>
                <w:t>28</w:t>
              </w:r>
            </w:hyperlink>
          </w:p>
        </w:tc>
      </w:tr>
      <w:tr>
        <w:trPr>
          <w:trHeight w:val="270"/>
        </w:trPr>
        <w:tc>
          <w:tcPr>
            <w:tcW w:w="540" w:type="dxa"/>
            <w:vAlign w:val="bottom"/>
            <w:tcBorders>
              <w:top w:val="single" w:sz="8" w:color="CCEEFF"/>
            </w:tcBorders>
          </w:tcPr>
          <w:p>
            <w:pPr>
              <w:spacing w:after="0"/>
              <w:rPr>
                <w:sz w:val="23"/>
                <w:szCs w:val="23"/>
                <w:color w:val="auto"/>
              </w:rPr>
            </w:pPr>
          </w:p>
        </w:tc>
        <w:tc>
          <w:tcPr>
            <w:tcW w:w="8720" w:type="dxa"/>
            <w:vAlign w:val="bottom"/>
            <w:tcBorders>
              <w:top w:val="single" w:sz="8" w:color="CCEEFF"/>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12</w:t>
            </w:r>
          </w:p>
        </w:tc>
        <w:tc>
          <w:tcPr>
            <w:tcW w:w="87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Summary of Top 25 Tenants</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34">
              <w:r>
                <w:rPr>
                  <w:rFonts w:ascii="Arial" w:cs="Arial" w:eastAsia="Arial" w:hAnsi="Arial"/>
                  <w:sz w:val="18"/>
                  <w:szCs w:val="18"/>
                  <w:color w:val="0000EE"/>
                  <w:w w:val="79"/>
                </w:rPr>
                <w:t>29</w:t>
              </w:r>
            </w:hyperlink>
          </w:p>
        </w:tc>
      </w:tr>
      <w:tr>
        <w:trPr>
          <w:trHeight w:val="270"/>
        </w:trPr>
        <w:tc>
          <w:tcPr>
            <w:tcW w:w="540" w:type="dxa"/>
            <w:vAlign w:val="bottom"/>
            <w:tcBorders>
              <w:top w:val="single" w:sz="8" w:color="CCEEFF"/>
            </w:tcBorders>
          </w:tcPr>
          <w:p>
            <w:pPr>
              <w:spacing w:after="0"/>
              <w:rPr>
                <w:sz w:val="23"/>
                <w:szCs w:val="23"/>
                <w:color w:val="auto"/>
              </w:rPr>
            </w:pPr>
          </w:p>
        </w:tc>
        <w:tc>
          <w:tcPr>
            <w:tcW w:w="8720" w:type="dxa"/>
            <w:vAlign w:val="bottom"/>
            <w:tcBorders>
              <w:top w:val="single" w:sz="8" w:color="CCEEFF"/>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13</w:t>
            </w:r>
          </w:p>
        </w:tc>
        <w:tc>
          <w:tcPr>
            <w:tcW w:w="87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Reconciliation of FFO Guidance</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35">
              <w:r>
                <w:rPr>
                  <w:rFonts w:ascii="Arial" w:cs="Arial" w:eastAsia="Arial" w:hAnsi="Arial"/>
                  <w:sz w:val="18"/>
                  <w:szCs w:val="18"/>
                  <w:color w:val="0000EE"/>
                  <w:w w:val="79"/>
                </w:rPr>
                <w:t>30</w:t>
              </w:r>
            </w:hyperlink>
          </w:p>
        </w:tc>
      </w:tr>
      <w:tr>
        <w:trPr>
          <w:trHeight w:val="270"/>
        </w:trPr>
        <w:tc>
          <w:tcPr>
            <w:tcW w:w="540" w:type="dxa"/>
            <w:vAlign w:val="bottom"/>
            <w:tcBorders>
              <w:top w:val="single" w:sz="8" w:color="CCEEFF"/>
            </w:tcBorders>
          </w:tcPr>
          <w:p>
            <w:pPr>
              <w:spacing w:after="0"/>
              <w:rPr>
                <w:sz w:val="23"/>
                <w:szCs w:val="23"/>
                <w:color w:val="auto"/>
              </w:rPr>
            </w:pPr>
          </w:p>
        </w:tc>
        <w:tc>
          <w:tcPr>
            <w:tcW w:w="8720" w:type="dxa"/>
            <w:vAlign w:val="bottom"/>
            <w:tcBorders>
              <w:top w:val="single" w:sz="8" w:color="CCEEFF"/>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14</w:t>
            </w:r>
          </w:p>
        </w:tc>
        <w:tc>
          <w:tcPr>
            <w:tcW w:w="87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Glossary of Terms</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36">
              <w:r>
                <w:rPr>
                  <w:rFonts w:ascii="Arial" w:cs="Arial" w:eastAsia="Arial" w:hAnsi="Arial"/>
                  <w:sz w:val="18"/>
                  <w:szCs w:val="18"/>
                  <w:color w:val="0000EE"/>
                  <w:w w:val="79"/>
                </w:rPr>
                <w:t>31</w:t>
              </w:r>
            </w:hyperlink>
          </w:p>
        </w:tc>
      </w:tr>
      <w:tr>
        <w:trPr>
          <w:trHeight w:val="270"/>
        </w:trPr>
        <w:tc>
          <w:tcPr>
            <w:tcW w:w="540" w:type="dxa"/>
            <w:vAlign w:val="bottom"/>
            <w:tcBorders>
              <w:top w:val="single" w:sz="8" w:color="CCEEFF"/>
            </w:tcBorders>
          </w:tcPr>
          <w:p>
            <w:pPr>
              <w:spacing w:after="0"/>
              <w:rPr>
                <w:sz w:val="23"/>
                <w:szCs w:val="23"/>
                <w:color w:val="auto"/>
              </w:rPr>
            </w:pPr>
          </w:p>
        </w:tc>
        <w:tc>
          <w:tcPr>
            <w:tcW w:w="8720" w:type="dxa"/>
            <w:vAlign w:val="bottom"/>
            <w:tcBorders>
              <w:top w:val="single" w:sz="8" w:color="CCEEFF"/>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bl>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1626 East Jefferson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6011545"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11545" cy="171450"/>
                    </a:xfrm>
                    <a:prstGeom prst="rect">
                      <a:avLst/>
                    </a:prstGeom>
                    <a:noFill/>
                  </pic:spPr>
                </pic:pic>
              </a:graphicData>
            </a:graphic>
          </wp:anchor>
        </w:drawing>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Rockville, Maryland 20852-4041</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301/998-8100</w:t>
      </w:r>
    </w:p>
    <w:p>
      <w:pPr>
        <w:sectPr>
          <w:pgSz w:w="11900" w:h="16838" w:orient="portrait"/>
          <w:cols w:equalWidth="0" w:num="1">
            <w:col w:w="9460"/>
          </w:cols>
          <w:pgMar w:left="1220" w:top="742" w:right="121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9460"/>
          </w:cols>
          <w:pgMar w:left="1220" w:top="742" w:right="121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Safe Harbor Language</w:t>
      </w:r>
    </w:p>
    <w:p>
      <w:pPr>
        <w:spacing w:after="0" w:line="2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i w:val="1"/>
          <w:iCs w:val="1"/>
          <w:color w:val="auto"/>
        </w:rPr>
        <w:t>Certain matters discussed within this Supplemental Information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13, 2017, and include the following:</w:t>
      </w:r>
    </w:p>
    <w:p>
      <w:pPr>
        <w:spacing w:after="0" w:line="190" w:lineRule="exact"/>
        <w:rPr>
          <w:sz w:val="20"/>
          <w:szCs w:val="20"/>
          <w:color w:val="auto"/>
        </w:rPr>
      </w:pPr>
    </w:p>
    <w:p>
      <w:pPr>
        <w:ind w:left="980" w:right="140" w:hanging="324"/>
        <w:spacing w:after="0" w:line="258"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that our tenants will not pay rent, may vacate early or may file for bankruptcy or that we may be unable to renew leases or re-let space at favorable rents as leases expire;</w:t>
      </w:r>
    </w:p>
    <w:p>
      <w:pPr>
        <w:spacing w:after="0" w:line="1" w:lineRule="exact"/>
        <w:rPr>
          <w:rFonts w:ascii="Arial" w:cs="Arial" w:eastAsia="Arial" w:hAnsi="Arial"/>
          <w:sz w:val="18"/>
          <w:szCs w:val="18"/>
          <w:color w:val="auto"/>
        </w:rPr>
      </w:pPr>
    </w:p>
    <w:p>
      <w:pPr>
        <w:ind w:left="980" w:right="20" w:hanging="324"/>
        <w:spacing w:after="0" w:line="250"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1" w:lineRule="exact"/>
        <w:rPr>
          <w:rFonts w:ascii="Arial" w:cs="Arial" w:eastAsia="Arial" w:hAnsi="Arial"/>
          <w:sz w:val="18"/>
          <w:szCs w:val="18"/>
          <w:color w:val="auto"/>
        </w:rPr>
      </w:pPr>
    </w:p>
    <w:p>
      <w:pPr>
        <w:ind w:left="980" w:right="240" w:hanging="324"/>
        <w:spacing w:after="0" w:line="250" w:lineRule="auto"/>
        <w:tabs>
          <w:tab w:leader="none" w:pos="98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risk that we are investing a significant amount in ground-up development projects that may be dependent on third parties to deliver critical aspects of certain projects, requires spending a substantial amount upfront in infrastructure, and assumes receipt of public funding which has been committed but not entirely funded;</w:t>
      </w:r>
    </w:p>
    <w:p>
      <w:pPr>
        <w:spacing w:after="0" w:line="1" w:lineRule="exact"/>
        <w:rPr>
          <w:rFonts w:ascii="Arial" w:cs="Arial" w:eastAsia="Arial" w:hAnsi="Arial"/>
          <w:sz w:val="18"/>
          <w:szCs w:val="18"/>
          <w:i w:val="1"/>
          <w:iCs w:val="1"/>
          <w:color w:val="auto"/>
        </w:rPr>
      </w:pPr>
    </w:p>
    <w:p>
      <w:pPr>
        <w:ind w:left="980" w:right="40" w:hanging="324"/>
        <w:spacing w:after="0" w:line="265" w:lineRule="auto"/>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spacing w:after="0" w:line="1" w:lineRule="exact"/>
        <w:rPr>
          <w:rFonts w:ascii="Arial" w:cs="Arial" w:eastAsia="Arial" w:hAnsi="Arial"/>
          <w:sz w:val="17"/>
          <w:szCs w:val="17"/>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that our growth will be limited if we cannot obtain additional capital;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associated with general economic conditions, including local economic conditions in our geographic markets;</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1" w:lineRule="exact"/>
        <w:rPr>
          <w:rFonts w:ascii="Arial" w:cs="Arial" w:eastAsia="Arial" w:hAnsi="Arial"/>
          <w:sz w:val="18"/>
          <w:szCs w:val="18"/>
          <w:color w:val="auto"/>
        </w:rPr>
      </w:pPr>
    </w:p>
    <w:p>
      <w:pPr>
        <w:jc w:val="both"/>
        <w:ind w:left="980" w:right="580" w:hanging="324"/>
        <w:spacing w:after="0" w:line="255"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Given these uncertainties, readers are cautioned not to place undue reliance on any forward-looking statements that we make, including those in this Supplemental Information. Except as required by law, we make no promise to update any of the forward-looking statements as a result of new information, future events, or otherwise. You should review the risks contained in our Annual Report on Form 10-K, filed with the Securities and Exchange Commission on February 13, 2017.</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2687320</wp:posOffset>
            </wp:positionH>
            <wp:positionV relativeFrom="page">
              <wp:posOffset>517525</wp:posOffset>
            </wp:positionV>
            <wp:extent cx="2195195" cy="6261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2195195" cy="626110"/>
                    </a:xfrm>
                    <a:prstGeom prst="rect">
                      <a:avLst/>
                    </a:prstGeom>
                    <a:noFill/>
                  </pic:spPr>
                </pic:pic>
              </a:graphicData>
            </a:graphic>
          </wp:anchor>
        </w:drawing>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54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NEWS RELEASE</w:t>
            </w:r>
          </w:p>
        </w:tc>
        <w:tc>
          <w:tcPr>
            <w:tcW w:w="5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www.federalrealty.com</w:t>
            </w:r>
          </w:p>
        </w:tc>
      </w:tr>
      <w:tr>
        <w:trPr>
          <w:trHeight w:val="419"/>
        </w:trPr>
        <w:tc>
          <w:tcPr>
            <w:tcW w:w="5480" w:type="dxa"/>
            <w:vAlign w:val="bottom"/>
          </w:tcPr>
          <w:p>
            <w:pPr>
              <w:ind w:left="40"/>
              <w:spacing w:after="0"/>
              <w:rPr>
                <w:sz w:val="20"/>
                <w:szCs w:val="20"/>
                <w:color w:val="auto"/>
              </w:rPr>
            </w:pPr>
            <w:r>
              <w:rPr>
                <w:rFonts w:ascii="Arial" w:cs="Arial" w:eastAsia="Arial" w:hAnsi="Arial"/>
                <w:sz w:val="18"/>
                <w:szCs w:val="18"/>
                <w:b w:val="1"/>
                <w:bCs w:val="1"/>
                <w:color w:val="auto"/>
              </w:rPr>
              <w:t>FOR IMMEDIATE RELEASE</w:t>
            </w:r>
          </w:p>
        </w:tc>
        <w:tc>
          <w:tcPr>
            <w:tcW w:w="5480" w:type="dxa"/>
            <w:vAlign w:val="bottom"/>
          </w:tcPr>
          <w:p>
            <w:pPr>
              <w:spacing w:after="0"/>
              <w:rPr>
                <w:sz w:val="24"/>
                <w:szCs w:val="24"/>
                <w:color w:val="auto"/>
              </w:rPr>
            </w:pPr>
          </w:p>
        </w:tc>
      </w:tr>
      <w:tr>
        <w:trPr>
          <w:trHeight w:val="486"/>
        </w:trPr>
        <w:tc>
          <w:tcPr>
            <w:tcW w:w="5480" w:type="dxa"/>
            <w:vAlign w:val="bottom"/>
          </w:tcPr>
          <w:p>
            <w:pPr>
              <w:ind w:left="40"/>
              <w:spacing w:after="0"/>
              <w:rPr>
                <w:sz w:val="20"/>
                <w:szCs w:val="20"/>
                <w:color w:val="auto"/>
              </w:rPr>
            </w:pPr>
            <w:r>
              <w:rPr>
                <w:rFonts w:ascii="Arial" w:cs="Arial" w:eastAsia="Arial" w:hAnsi="Arial"/>
                <w:sz w:val="18"/>
                <w:szCs w:val="18"/>
                <w:i w:val="1"/>
                <w:iCs w:val="1"/>
                <w:color w:val="auto"/>
              </w:rPr>
              <w:t>Investor Inquiries:</w:t>
            </w:r>
          </w:p>
        </w:tc>
        <w:tc>
          <w:tcPr>
            <w:tcW w:w="5480" w:type="dxa"/>
            <w:vAlign w:val="bottom"/>
          </w:tcPr>
          <w:p>
            <w:pPr>
              <w:jc w:val="right"/>
              <w:spacing w:after="0"/>
              <w:rPr>
                <w:sz w:val="20"/>
                <w:szCs w:val="20"/>
                <w:color w:val="auto"/>
              </w:rPr>
            </w:pPr>
            <w:r>
              <w:rPr>
                <w:rFonts w:ascii="Arial" w:cs="Arial" w:eastAsia="Arial" w:hAnsi="Arial"/>
                <w:sz w:val="18"/>
                <w:szCs w:val="18"/>
                <w:i w:val="1"/>
                <w:iCs w:val="1"/>
                <w:color w:val="auto"/>
              </w:rPr>
              <w:t>Media Inquiries:</w:t>
            </w:r>
          </w:p>
        </w:tc>
      </w:tr>
      <w:tr>
        <w:trPr>
          <w:trHeight w:val="257"/>
        </w:trPr>
        <w:tc>
          <w:tcPr>
            <w:tcW w:w="5480" w:type="dxa"/>
            <w:vAlign w:val="bottom"/>
          </w:tcPr>
          <w:p>
            <w:pPr>
              <w:ind w:left="40"/>
              <w:spacing w:after="0"/>
              <w:rPr>
                <w:sz w:val="20"/>
                <w:szCs w:val="20"/>
                <w:color w:val="auto"/>
              </w:rPr>
            </w:pPr>
            <w:r>
              <w:rPr>
                <w:rFonts w:ascii="Arial" w:cs="Arial" w:eastAsia="Arial" w:hAnsi="Arial"/>
                <w:sz w:val="18"/>
                <w:szCs w:val="18"/>
                <w:color w:val="auto"/>
              </w:rPr>
              <w:t>Leah Andress</w:t>
            </w:r>
          </w:p>
        </w:tc>
        <w:tc>
          <w:tcPr>
            <w:tcW w:w="5480" w:type="dxa"/>
            <w:vAlign w:val="bottom"/>
          </w:tcPr>
          <w:p>
            <w:pPr>
              <w:jc w:val="right"/>
              <w:spacing w:after="0"/>
              <w:rPr>
                <w:sz w:val="20"/>
                <w:szCs w:val="20"/>
                <w:color w:val="auto"/>
              </w:rPr>
            </w:pPr>
            <w:r>
              <w:rPr>
                <w:rFonts w:ascii="Arial" w:cs="Arial" w:eastAsia="Arial" w:hAnsi="Arial"/>
                <w:sz w:val="18"/>
                <w:szCs w:val="18"/>
                <w:color w:val="auto"/>
              </w:rPr>
              <w:t>Andrea Simpson</w:t>
            </w:r>
          </w:p>
        </w:tc>
      </w:tr>
      <w:tr>
        <w:trPr>
          <w:trHeight w:val="257"/>
        </w:trPr>
        <w:tc>
          <w:tcPr>
            <w:tcW w:w="5480" w:type="dxa"/>
            <w:vAlign w:val="bottom"/>
          </w:tcPr>
          <w:p>
            <w:pPr>
              <w:ind w:left="40"/>
              <w:spacing w:after="0"/>
              <w:rPr>
                <w:sz w:val="20"/>
                <w:szCs w:val="20"/>
                <w:color w:val="auto"/>
              </w:rPr>
            </w:pPr>
            <w:r>
              <w:rPr>
                <w:rFonts w:ascii="Arial" w:cs="Arial" w:eastAsia="Arial" w:hAnsi="Arial"/>
                <w:sz w:val="18"/>
                <w:szCs w:val="18"/>
                <w:color w:val="auto"/>
              </w:rPr>
              <w:t>Investor Relations Associate</w:t>
            </w:r>
          </w:p>
        </w:tc>
        <w:tc>
          <w:tcPr>
            <w:tcW w:w="5480" w:type="dxa"/>
            <w:vAlign w:val="bottom"/>
          </w:tcPr>
          <w:p>
            <w:pPr>
              <w:jc w:val="right"/>
              <w:spacing w:after="0"/>
              <w:rPr>
                <w:sz w:val="20"/>
                <w:szCs w:val="20"/>
                <w:color w:val="auto"/>
              </w:rPr>
            </w:pPr>
            <w:r>
              <w:rPr>
                <w:rFonts w:ascii="Arial" w:cs="Arial" w:eastAsia="Arial" w:hAnsi="Arial"/>
                <w:sz w:val="18"/>
                <w:szCs w:val="18"/>
                <w:color w:val="auto"/>
              </w:rPr>
              <w:t>Vice President, Marketing</w:t>
            </w:r>
          </w:p>
        </w:tc>
      </w:tr>
      <w:tr>
        <w:trPr>
          <w:trHeight w:val="257"/>
        </w:trPr>
        <w:tc>
          <w:tcPr>
            <w:tcW w:w="5480" w:type="dxa"/>
            <w:vAlign w:val="bottom"/>
          </w:tcPr>
          <w:p>
            <w:pPr>
              <w:ind w:left="40"/>
              <w:spacing w:after="0"/>
              <w:rPr>
                <w:sz w:val="20"/>
                <w:szCs w:val="20"/>
                <w:color w:val="auto"/>
              </w:rPr>
            </w:pPr>
            <w:r>
              <w:rPr>
                <w:rFonts w:ascii="Arial" w:cs="Arial" w:eastAsia="Arial" w:hAnsi="Arial"/>
                <w:sz w:val="18"/>
                <w:szCs w:val="18"/>
                <w:color w:val="auto"/>
              </w:rPr>
              <w:t>301.998.8265</w:t>
            </w:r>
          </w:p>
        </w:tc>
        <w:tc>
          <w:tcPr>
            <w:tcW w:w="5480" w:type="dxa"/>
            <w:vAlign w:val="bottom"/>
          </w:tcPr>
          <w:p>
            <w:pPr>
              <w:jc w:val="right"/>
              <w:spacing w:after="0"/>
              <w:rPr>
                <w:sz w:val="20"/>
                <w:szCs w:val="20"/>
                <w:color w:val="auto"/>
              </w:rPr>
            </w:pPr>
            <w:r>
              <w:rPr>
                <w:rFonts w:ascii="Arial" w:cs="Arial" w:eastAsia="Arial" w:hAnsi="Arial"/>
                <w:sz w:val="18"/>
                <w:szCs w:val="18"/>
                <w:color w:val="auto"/>
              </w:rPr>
              <w:t>617.684.1511</w:t>
            </w:r>
          </w:p>
        </w:tc>
      </w:tr>
      <w:tr>
        <w:trPr>
          <w:trHeight w:val="257"/>
        </w:trPr>
        <w:tc>
          <w:tcPr>
            <w:tcW w:w="5480" w:type="dxa"/>
            <w:vAlign w:val="bottom"/>
          </w:tcPr>
          <w:p>
            <w:pPr>
              <w:ind w:left="40"/>
              <w:spacing w:after="0"/>
              <w:rPr>
                <w:sz w:val="20"/>
                <w:szCs w:val="20"/>
                <w:color w:val="auto"/>
              </w:rPr>
            </w:pPr>
            <w:r>
              <w:rPr>
                <w:rFonts w:ascii="Arial" w:cs="Arial" w:eastAsia="Arial" w:hAnsi="Arial"/>
                <w:sz w:val="18"/>
                <w:szCs w:val="18"/>
                <w:i w:val="1"/>
                <w:iCs w:val="1"/>
                <w:color w:val="auto"/>
              </w:rPr>
              <w:t>landress@federalrealty.com</w:t>
            </w:r>
          </w:p>
        </w:tc>
        <w:tc>
          <w:tcPr>
            <w:tcW w:w="5480" w:type="dxa"/>
            <w:vAlign w:val="bottom"/>
          </w:tcPr>
          <w:p>
            <w:pPr>
              <w:jc w:val="right"/>
              <w:spacing w:after="0"/>
              <w:rPr>
                <w:sz w:val="20"/>
                <w:szCs w:val="20"/>
                <w:color w:val="auto"/>
              </w:rPr>
            </w:pPr>
            <w:r>
              <w:rPr>
                <w:rFonts w:ascii="Arial" w:cs="Arial" w:eastAsia="Arial" w:hAnsi="Arial"/>
                <w:sz w:val="18"/>
                <w:szCs w:val="18"/>
                <w:i w:val="1"/>
                <w:iCs w:val="1"/>
                <w:color w:val="auto"/>
              </w:rPr>
              <w:t>asimpson@federalrealty.com</w:t>
            </w:r>
          </w:p>
        </w:tc>
      </w:tr>
    </w:tbl>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 Announces Third Quarter 2017 Operating Results</w:t>
      </w:r>
    </w:p>
    <w:p>
      <w:pPr>
        <w:spacing w:after="0" w:line="301" w:lineRule="exact"/>
        <w:rPr>
          <w:sz w:val="20"/>
          <w:szCs w:val="20"/>
          <w:color w:val="auto"/>
        </w:rPr>
      </w:pPr>
    </w:p>
    <w:p>
      <w:pPr>
        <w:spacing w:after="0" w:line="371" w:lineRule="auto"/>
        <w:rPr>
          <w:sz w:val="20"/>
          <w:szCs w:val="20"/>
          <w:color w:val="auto"/>
        </w:rPr>
      </w:pPr>
      <w:r>
        <w:rPr>
          <w:rFonts w:ascii="Arial" w:cs="Arial" w:eastAsia="Arial" w:hAnsi="Arial"/>
          <w:sz w:val="18"/>
          <w:szCs w:val="18"/>
          <w:color w:val="auto"/>
        </w:rPr>
        <w:t xml:space="preserve">ROCKVILLE, Md. (November 1, 2017) - </w:t>
      </w:r>
      <w:r>
        <w:rPr>
          <w:rFonts w:ascii="Arial" w:cs="Arial" w:eastAsia="Arial" w:hAnsi="Arial"/>
          <w:sz w:val="18"/>
          <w:szCs w:val="18"/>
          <w:u w:val="single" w:color="auto"/>
          <w:color w:val="0563C1"/>
        </w:rPr>
        <w:t>Federal Realty Investment Trust</w:t>
      </w:r>
      <w:r>
        <w:rPr>
          <w:rFonts w:ascii="Arial" w:cs="Arial" w:eastAsia="Arial" w:hAnsi="Arial"/>
          <w:sz w:val="18"/>
          <w:szCs w:val="18"/>
          <w:color w:val="auto"/>
        </w:rPr>
        <w:t xml:space="preserve"> (NYSE:FRT) today reported operating results for its third quarter ended September 30, 2017. Highlights of the quarter and recent activity include:</w:t>
      </w:r>
    </w:p>
    <w:p>
      <w:pPr>
        <w:spacing w:after="0" w:line="116"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Generated earnings per diluted share of $1.47 for the quarter compared to $0.82 in third quarter 2016.</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Generated FFO per diluted share of $1.50 for the quarter compared to $1.41 in third quarter 2016.</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Generated same center property operating income growth of 4.4%.</w:t>
      </w:r>
    </w:p>
    <w:p>
      <w:pPr>
        <w:spacing w:after="0" w:line="103" w:lineRule="exact"/>
        <w:rPr>
          <w:rFonts w:ascii="Arial" w:cs="Arial" w:eastAsia="Arial" w:hAnsi="Arial"/>
          <w:sz w:val="18"/>
          <w:szCs w:val="18"/>
          <w:color w:val="auto"/>
        </w:rPr>
      </w:pPr>
    </w:p>
    <w:p>
      <w:pPr>
        <w:ind w:left="660" w:hanging="328"/>
        <w:spacing w:after="0" w:line="35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Signed leases for 399,619 sf of comparable space at an average rent of $38.24 psf and achieved cash basis rollover growth on comparable spaces of 14%.</w:t>
      </w:r>
    </w:p>
    <w:p>
      <w:pPr>
        <w:spacing w:after="0" w:line="1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Opportunistically issued $150.0 million of 5.0% Series C Cumulative Redeemable Preferred Shares.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Narrowed 2017 FFO per diluted share guidance range to $5.89 to $5.92.</w:t>
      </w:r>
    </w:p>
    <w:p>
      <w:pPr>
        <w:spacing w:after="0" w:line="200" w:lineRule="exact"/>
        <w:rPr>
          <w:sz w:val="20"/>
          <w:szCs w:val="20"/>
          <w:color w:val="auto"/>
        </w:rPr>
      </w:pPr>
    </w:p>
    <w:p>
      <w:pPr>
        <w:spacing w:after="0" w:line="214" w:lineRule="exact"/>
        <w:rPr>
          <w:sz w:val="20"/>
          <w:szCs w:val="20"/>
          <w:color w:val="auto"/>
        </w:rPr>
      </w:pPr>
    </w:p>
    <w:p>
      <w:pPr>
        <w:jc w:val="both"/>
        <w:spacing w:after="0" w:line="364" w:lineRule="auto"/>
        <w:rPr>
          <w:sz w:val="20"/>
          <w:szCs w:val="20"/>
          <w:color w:val="auto"/>
        </w:rPr>
      </w:pPr>
      <w:r>
        <w:rPr>
          <w:rFonts w:ascii="Arial" w:cs="Arial" w:eastAsia="Arial" w:hAnsi="Arial"/>
          <w:sz w:val="18"/>
          <w:szCs w:val="18"/>
          <w:color w:val="auto"/>
        </w:rPr>
        <w:t>"Solid performance all around this quarter," said Donald C. Wood, President and Chief Executive Officer of Federal Realty. "Thoughtful positioning of our portfolio and company over the last decade empowers us to continue to excel during this transitional time in the retail real estate space. The balance of owning the best real estate in flexible formats combined with our A rated balance sheet sets us apart and allows us to focus on the future."</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w:t>
      </w:r>
    </w:p>
    <w:p>
      <w:pPr>
        <w:spacing w:after="0" w:line="261" w:lineRule="exact"/>
        <w:rPr>
          <w:sz w:val="20"/>
          <w:szCs w:val="20"/>
          <w:color w:val="auto"/>
        </w:rPr>
      </w:pPr>
    </w:p>
    <w:p>
      <w:pPr>
        <w:jc w:val="both"/>
        <w:spacing w:after="0" w:line="364" w:lineRule="auto"/>
        <w:rPr>
          <w:sz w:val="20"/>
          <w:szCs w:val="20"/>
          <w:color w:val="auto"/>
        </w:rPr>
      </w:pPr>
      <w:r>
        <w:rPr>
          <w:rFonts w:ascii="Arial" w:cs="Arial" w:eastAsia="Arial" w:hAnsi="Arial"/>
          <w:sz w:val="18"/>
          <w:szCs w:val="18"/>
          <w:color w:val="auto"/>
        </w:rPr>
        <w:t>Net income available for common shareholders was $106.6 million and earnings per diluted share was $1.47 for third quarter 2017 versus $58.8 million and $0.82, respectively, for third quarter 2016. Year-to-date Federal Realty reported net income available for common shareholders of $238.8 million and earnings per diluted share of $3.30. This compares to net income available for common shareholders of $191.5 million and earnings per diluted share of $2.70 for the nine months ended September 30, 2016.</w:t>
      </w:r>
    </w:p>
    <w:p>
      <w:pPr>
        <w:spacing w:after="0" w:line="122" w:lineRule="exact"/>
        <w:rPr>
          <w:sz w:val="20"/>
          <w:szCs w:val="20"/>
          <w:color w:val="auto"/>
        </w:rPr>
      </w:pPr>
    </w:p>
    <w:p>
      <w:pPr>
        <w:jc w:val="both"/>
        <w:spacing w:after="0" w:line="364" w:lineRule="auto"/>
        <w:rPr>
          <w:sz w:val="20"/>
          <w:szCs w:val="20"/>
          <w:color w:val="auto"/>
        </w:rPr>
      </w:pPr>
      <w:r>
        <w:rPr>
          <w:rFonts w:ascii="Arial" w:cs="Arial" w:eastAsia="Arial" w:hAnsi="Arial"/>
          <w:sz w:val="18"/>
          <w:szCs w:val="18"/>
          <w:color w:val="auto"/>
        </w:rPr>
        <w:t>In the third quarter 2017, Federal Realty generated funds from operations available for common shareholders (FFO) of $110.0 million, or $1.50 per diluted share. This compares to FFO of $101.7 million, or $1.41 per diluted share, in third quarter 2016. For the nine months ended September 30, 2017, FFO was $324.5 million, or $4.45 per diluted share, compared to $301.4 million, or $4.21 per diluted share for the same nine month period in 2016.</w:t>
      </w:r>
    </w:p>
    <w:p>
      <w:pPr>
        <w:sectPr>
          <w:pgSz w:w="11900" w:h="16838" w:orient="portrait"/>
          <w:cols w:equalWidth="0" w:num="1">
            <w:col w:w="11420"/>
          </w:cols>
          <w:pgMar w:left="240" w:top="1440" w:right="239" w:bottom="1440" w:gutter="0" w:footer="0" w:header="0"/>
        </w:sect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440" w:right="239" w:bottom="1440" w:gutter="0" w:footer="0" w:header="0"/>
          <w:type w:val="continuous"/>
        </w:sectPr>
      </w:pPr>
    </w:p>
    <w:bookmarkStart w:id="6" w:name="page7"/>
    <w:bookmarkEnd w:id="6"/>
    <w:p>
      <w:pPr>
        <w:spacing w:after="0" w:line="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6014720</wp:posOffset>
            </wp:positionH>
            <wp:positionV relativeFrom="page">
              <wp:posOffset>517525</wp:posOffset>
            </wp:positionV>
            <wp:extent cx="1389380" cy="411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389380" cy="411480"/>
                    </a:xfrm>
                    <a:prstGeom prst="rect">
                      <a:avLst/>
                    </a:prstGeom>
                    <a:noFill/>
                  </pic:spPr>
                </pic:pic>
              </a:graphicData>
            </a:graphic>
          </wp:anchor>
        </w:drawing>
      </w:r>
    </w:p>
    <w:p>
      <w:pPr>
        <w:jc w:val="both"/>
        <w:ind w:right="20"/>
        <w:spacing w:after="0" w:line="371" w:lineRule="auto"/>
        <w:rPr>
          <w:sz w:val="20"/>
          <w:szCs w:val="20"/>
          <w:color w:val="auto"/>
        </w:rPr>
      </w:pPr>
      <w:r>
        <w:rPr>
          <w:rFonts w:ascii="Arial" w:cs="Arial" w:eastAsia="Arial" w:hAnsi="Arial"/>
          <w:sz w:val="18"/>
          <w:szCs w:val="18"/>
          <w:color w:val="auto"/>
        </w:rPr>
        <w:t>FFO is a non-GAAP supplemental earnings measure which the Trust considers meaningful in measuring its operating performance. A reconciliation of FFO to net income is attached to this press release.</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Results</w:t>
      </w:r>
    </w:p>
    <w:p>
      <w:pPr>
        <w:spacing w:after="0" w:line="261" w:lineRule="exact"/>
        <w:rPr>
          <w:sz w:val="20"/>
          <w:szCs w:val="20"/>
          <w:color w:val="auto"/>
        </w:rPr>
      </w:pPr>
    </w:p>
    <w:p>
      <w:pPr>
        <w:jc w:val="both"/>
        <w:spacing w:after="0" w:line="371" w:lineRule="auto"/>
        <w:rPr>
          <w:sz w:val="20"/>
          <w:szCs w:val="20"/>
          <w:color w:val="auto"/>
        </w:rPr>
      </w:pPr>
      <w:r>
        <w:rPr>
          <w:rFonts w:ascii="Arial" w:cs="Arial" w:eastAsia="Arial" w:hAnsi="Arial"/>
          <w:sz w:val="18"/>
          <w:szCs w:val="18"/>
          <w:color w:val="auto"/>
        </w:rPr>
        <w:t>In third quarter 2017, same-center property operating income increased 4.4% over the prior year when including properties that are being redeveloped and 2.6% when excluding those properties.</w:t>
      </w:r>
    </w:p>
    <w:p>
      <w:pPr>
        <w:spacing w:after="0" w:line="116" w:lineRule="exact"/>
        <w:rPr>
          <w:sz w:val="20"/>
          <w:szCs w:val="20"/>
          <w:color w:val="auto"/>
        </w:rPr>
      </w:pPr>
    </w:p>
    <w:p>
      <w:pPr>
        <w:jc w:val="both"/>
        <w:spacing w:after="0" w:line="371" w:lineRule="auto"/>
        <w:rPr>
          <w:sz w:val="20"/>
          <w:szCs w:val="20"/>
          <w:color w:val="auto"/>
        </w:rPr>
      </w:pPr>
      <w:r>
        <w:rPr>
          <w:rFonts w:ascii="Arial" w:cs="Arial" w:eastAsia="Arial" w:hAnsi="Arial"/>
          <w:sz w:val="18"/>
          <w:szCs w:val="18"/>
          <w:color w:val="auto"/>
        </w:rPr>
        <w:t>The overall portfolio was 94.9% leased as of September 30, 2017, compared to 94.3% on September 30, 2016. Federal Realty’s same center portfolio was 96.0% leased on September 30, 2017, compared to 95.7% on September 30, 2016.</w:t>
      </w:r>
    </w:p>
    <w:p>
      <w:pPr>
        <w:spacing w:after="0" w:line="116" w:lineRule="exact"/>
        <w:rPr>
          <w:sz w:val="20"/>
          <w:szCs w:val="20"/>
          <w:color w:val="auto"/>
        </w:rPr>
      </w:pPr>
    </w:p>
    <w:p>
      <w:pPr>
        <w:jc w:val="both"/>
        <w:spacing w:after="0" w:line="362" w:lineRule="auto"/>
        <w:rPr>
          <w:sz w:val="20"/>
          <w:szCs w:val="20"/>
          <w:color w:val="auto"/>
        </w:rPr>
      </w:pPr>
      <w:r>
        <w:rPr>
          <w:rFonts w:ascii="Arial" w:cs="Arial" w:eastAsia="Arial" w:hAnsi="Arial"/>
          <w:sz w:val="18"/>
          <w:szCs w:val="18"/>
          <w:color w:val="auto"/>
        </w:rPr>
        <w:t>During third quarter 2017, Federal Realty signed 90 leases for 424,492 square feet of retail space. On a comparable space basis (i.e., spaces for which there was a former tenant), Federal Realty leased 399,619 square feet at an average cash basis contractual rent increase per square foot (i.e., excluding the impact of straight-line rents) of 14%. The average contractual rent on this comparable space for the first year of the new leases is $38.24 per square foot compared to the average contractual rent of $33.43 per square foot for the last year of the prior leases. The previous average contractual rent was calculated by including both the minimum rent and any percentage rent actually paid during the last year of the lease term for the re-leased space. On a GAAP basis (i.e., including the impact of straight-line rents), rent increases per square foot for comparable retail space averaged 27% for third quarter 2017.</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Declarations</w:t>
      </w:r>
    </w:p>
    <w:p>
      <w:pPr>
        <w:spacing w:after="0" w:line="261" w:lineRule="exact"/>
        <w:rPr>
          <w:sz w:val="20"/>
          <w:szCs w:val="20"/>
          <w:color w:val="auto"/>
        </w:rPr>
      </w:pPr>
    </w:p>
    <w:p>
      <w:pPr>
        <w:jc w:val="both"/>
        <w:spacing w:after="0" w:line="371" w:lineRule="auto"/>
        <w:rPr>
          <w:sz w:val="20"/>
          <w:szCs w:val="20"/>
          <w:color w:val="auto"/>
        </w:rPr>
      </w:pPr>
      <w:r>
        <w:rPr>
          <w:rFonts w:ascii="Arial" w:cs="Arial" w:eastAsia="Arial" w:hAnsi="Arial"/>
          <w:sz w:val="18"/>
          <w:szCs w:val="18"/>
          <w:color w:val="auto"/>
        </w:rPr>
        <w:t>Federal Realty’s Board of Trustees declared a regular quarterly cash dividend of $1.00 per share, resulting in an indicated annual rate of $4.00 per share. The regular common dividend will be payable on January 16, 2018 to common shareholders of record as of January 2, 2018.</w:t>
      </w:r>
    </w:p>
    <w:p>
      <w:pPr>
        <w:spacing w:after="0" w:line="116" w:lineRule="exact"/>
        <w:rPr>
          <w:sz w:val="20"/>
          <w:szCs w:val="20"/>
          <w:color w:val="auto"/>
        </w:rPr>
      </w:pPr>
    </w:p>
    <w:p>
      <w:pPr>
        <w:jc w:val="both"/>
        <w:spacing w:after="0" w:line="371" w:lineRule="auto"/>
        <w:rPr>
          <w:sz w:val="20"/>
          <w:szCs w:val="20"/>
          <w:color w:val="auto"/>
        </w:rPr>
      </w:pPr>
      <w:r>
        <w:rPr>
          <w:rFonts w:ascii="Arial" w:cs="Arial" w:eastAsia="Arial" w:hAnsi="Arial"/>
          <w:sz w:val="18"/>
          <w:szCs w:val="18"/>
          <w:color w:val="auto"/>
        </w:rPr>
        <w:t>Federal Realty’s Board of Trustees also declared quarterly cash dividends with respect to the Trust’s Series C Preferred Shares. All dividends on the preferred shares will be payable on January 16, 2018 to preferred shareholders of record as of January 2, 2018.</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Other Quarterly Activities and Recent Developments</w:t>
      </w:r>
    </w:p>
    <w:p>
      <w:pPr>
        <w:spacing w:after="0" w:line="261" w:lineRule="exact"/>
        <w:rPr>
          <w:sz w:val="20"/>
          <w:szCs w:val="20"/>
          <w:color w:val="auto"/>
        </w:rPr>
      </w:pPr>
    </w:p>
    <w:p>
      <w:pPr>
        <w:jc w:val="both"/>
        <w:ind w:left="660" w:hanging="328"/>
        <w:spacing w:after="0" w:line="365"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October 12, 2017 - Federal Realty received the inaugural Best Sustainability Program award from the NAIOP DC | MD Chapter. The award is given to an organization that "demonstrates a strong commitment to sustainable business practices and solutions that contribute to environmental responsibility and economic success."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440" w:right="239" w:bottom="1440" w:gutter="0" w:footer="0" w:header="0"/>
        </w:sectPr>
      </w:pPr>
    </w:p>
    <w:bookmarkStart w:id="7" w:name="page8"/>
    <w:bookmarkEnd w:id="7"/>
    <w:p>
      <w:pPr>
        <w:spacing w:after="0" w:line="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6014720</wp:posOffset>
            </wp:positionH>
            <wp:positionV relativeFrom="page">
              <wp:posOffset>517525</wp:posOffset>
            </wp:positionV>
            <wp:extent cx="1389380" cy="411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389380" cy="411480"/>
                    </a:xfrm>
                    <a:prstGeom prst="rect">
                      <a:avLst/>
                    </a:prstGeom>
                    <a:noFill/>
                  </pic:spPr>
                </pic:pic>
              </a:graphicData>
            </a:graphic>
          </wp:anchor>
        </w:drawing>
      </w:r>
    </w:p>
    <w:p>
      <w:pPr>
        <w:jc w:val="both"/>
        <w:ind w:left="660" w:hanging="328"/>
        <w:spacing w:after="0" w:line="35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September 25, 2017 - Federal Realty issued 6,000 5.0% Series C Cumulative Redeemable Preferred Shares, par value $0.01 per share at the liquidation preference of $25,000 per share in an underwritten public offering. The Series C Preferred Shares accrue dividends at a rate of 5.0% per year and are redeemable at our option on or after September 29, 2022.</w:t>
      </w:r>
    </w:p>
    <w:p>
      <w:pPr>
        <w:spacing w:after="0" w:line="15" w:lineRule="exact"/>
        <w:rPr>
          <w:rFonts w:ascii="Arial" w:cs="Arial" w:eastAsia="Arial" w:hAnsi="Arial"/>
          <w:sz w:val="18"/>
          <w:szCs w:val="18"/>
          <w:color w:val="auto"/>
        </w:rPr>
      </w:pPr>
    </w:p>
    <w:p>
      <w:pPr>
        <w:ind w:left="660" w:hanging="328"/>
        <w:spacing w:after="0" w:line="371"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August 31, 2017 - Federal Realty announced the sale of 150 Post Street, a seven-story, 105,000 square foot retail and office building located in the Union Square district of San Francisco, for $69.3 million.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Guidance</w:t>
      </w:r>
    </w:p>
    <w:p>
      <w:pPr>
        <w:spacing w:after="0" w:line="261" w:lineRule="exact"/>
        <w:rPr>
          <w:sz w:val="20"/>
          <w:szCs w:val="20"/>
          <w:color w:val="auto"/>
        </w:rPr>
      </w:pPr>
    </w:p>
    <w:p>
      <w:pPr>
        <w:jc w:val="both"/>
        <w:spacing w:after="0" w:line="371" w:lineRule="auto"/>
        <w:rPr>
          <w:sz w:val="20"/>
          <w:szCs w:val="20"/>
          <w:color w:val="auto"/>
        </w:rPr>
      </w:pPr>
      <w:r>
        <w:rPr>
          <w:rFonts w:ascii="Arial" w:cs="Arial" w:eastAsia="Arial" w:hAnsi="Arial"/>
          <w:sz w:val="18"/>
          <w:szCs w:val="18"/>
          <w:color w:val="auto"/>
        </w:rPr>
        <w:t>Federal Realty narrowed its guidance for 2017 FFO per diluted share to a range of $5.89 to $5.92 and adjusted 2017 earnings per diluted share guidance to a range of $4.02 to $4.05.</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will provide preliminary expectations for 2018 FFO per diluted share on the Trust’s third quarter 2017 earnings conference call.</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61" w:lineRule="exact"/>
        <w:rPr>
          <w:sz w:val="20"/>
          <w:szCs w:val="20"/>
          <w:color w:val="auto"/>
        </w:rPr>
      </w:pPr>
    </w:p>
    <w:p>
      <w:pPr>
        <w:jc w:val="both"/>
        <w:spacing w:after="0" w:line="363" w:lineRule="auto"/>
        <w:rPr>
          <w:sz w:val="20"/>
          <w:szCs w:val="20"/>
          <w:color w:val="auto"/>
        </w:rPr>
      </w:pPr>
      <w:r>
        <w:rPr>
          <w:rFonts w:ascii="Arial" w:cs="Arial" w:eastAsia="Arial" w:hAnsi="Arial"/>
          <w:sz w:val="18"/>
          <w:szCs w:val="18"/>
          <w:color w:val="auto"/>
        </w:rPr>
        <w:t>Federal Realty’s management team will present an in-depth discussion of the Trust’s operating performance on its third quarter 2017 earnings conference call, which is scheduled for Thursday, November 2, 2017 at 11:00AM ET. To participate, please call 877-445-3230 five to ten minutes prior to the call start time and use the passcode 84997180 (required). Federal Realty will also provide an online webcast on the Company’s web site, http://www.federalrealty.com, which will remain available for 30 days following the call. A telephonic replay of the conference call will also be available through November 9, 2017 by dialing 855.859.2056; Passcode: 84997180.</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Federal Realty</w:t>
      </w:r>
    </w:p>
    <w:p>
      <w:pPr>
        <w:spacing w:after="0" w:line="261" w:lineRule="exact"/>
        <w:rPr>
          <w:sz w:val="20"/>
          <w:szCs w:val="20"/>
          <w:color w:val="auto"/>
        </w:rPr>
      </w:pPr>
    </w:p>
    <w:p>
      <w:pPr>
        <w:ind w:right="60"/>
        <w:spacing w:after="0" w:line="362" w:lineRule="auto"/>
        <w:rPr>
          <w:sz w:val="20"/>
          <w:szCs w:val="20"/>
          <w:color w:val="auto"/>
        </w:rPr>
      </w:pPr>
      <w:r>
        <w:rPr>
          <w:rFonts w:ascii="Arial" w:cs="Arial" w:eastAsia="Arial" w:hAnsi="Arial"/>
          <w:sz w:val="18"/>
          <w:szCs w:val="18"/>
          <w:color w:val="auto"/>
        </w:rPr>
        <w:t>Federal Realty is a recognized leader in the ownership, operation and redevelopment of high-quality retail based properties located primarily in major coastal markets from Washington, D.C. to Boston as well as San Francisco and Los Angeles. Founded in 1962, our mission is to deliver long term, sustainable growth through investing in densely populated, affluent communities where retail demand exceeds supply. Our expertise includes creating urban, mixed-use neighborhoods like Santana Row in San Jose, California, Pike &amp; Rose in North Bethesda, Maryland and Assembly Row in Somerville, Massachusetts. These unique and vibrant environments that combine shopping, dining, living and working provide a destination experience valued by their respective communities. Federal Realty's 104 properties include over 2,900 tenants, in approximately 24 million square feet, and over 2,000 residential units.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440" w:right="239" w:bottom="1440" w:gutter="0" w:footer="0" w:header="0"/>
        </w:sectPr>
      </w:pPr>
    </w:p>
    <w:bookmarkStart w:id="8" w:name="page9"/>
    <w:bookmarkEnd w:id="8"/>
    <w:p>
      <w:pPr>
        <w:spacing w:after="0" w:line="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6014720</wp:posOffset>
            </wp:positionH>
            <wp:positionV relativeFrom="page">
              <wp:posOffset>517525</wp:posOffset>
            </wp:positionV>
            <wp:extent cx="1389380" cy="4114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389380" cy="411480"/>
                    </a:xfrm>
                    <a:prstGeom prst="rect">
                      <a:avLst/>
                    </a:prstGeom>
                    <a:noFill/>
                  </pic:spPr>
                </pic:pic>
              </a:graphicData>
            </a:graphic>
          </wp:anchor>
        </w:drawing>
      </w:r>
    </w:p>
    <w:p>
      <w:pPr>
        <w:jc w:val="both"/>
        <w:spacing w:after="0" w:line="365" w:lineRule="auto"/>
        <w:rPr>
          <w:sz w:val="20"/>
          <w:szCs w:val="20"/>
          <w:color w:val="auto"/>
        </w:rPr>
      </w:pPr>
      <w:r>
        <w:rPr>
          <w:rFonts w:ascii="Arial" w:cs="Arial" w:eastAsia="Arial" w:hAnsi="Arial"/>
          <w:sz w:val="18"/>
          <w:szCs w:val="18"/>
          <w:color w:val="auto"/>
        </w:rPr>
        <w:t>Federal Realty has paid quarterly dividends to its shareholders continuously since its founding in 1962, and has increased its dividend rate for 50 consecutive years, the longest record in the REIT industry. Federal Realty shares are traded on the NYSE under the symbol FRT. For additional information about Federal Realty and its properties, visit www.FederalRealty.com.</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Language</w:t>
      </w:r>
    </w:p>
    <w:p>
      <w:pPr>
        <w:spacing w:after="0" w:line="198" w:lineRule="exact"/>
        <w:rPr>
          <w:sz w:val="20"/>
          <w:szCs w:val="20"/>
          <w:color w:val="auto"/>
        </w:rPr>
      </w:pPr>
    </w:p>
    <w:p>
      <w:pPr>
        <w:jc w:val="both"/>
        <w:spacing w:after="0" w:line="260" w:lineRule="auto"/>
        <w:rPr>
          <w:sz w:val="20"/>
          <w:szCs w:val="20"/>
          <w:color w:val="auto"/>
        </w:rPr>
      </w:pPr>
      <w:r>
        <w:rPr>
          <w:rFonts w:ascii="Arial" w:cs="Arial" w:eastAsia="Arial" w:hAnsi="Arial"/>
          <w:sz w:val="14"/>
          <w:szCs w:val="14"/>
          <w:i w:val="1"/>
          <w:iCs w:val="1"/>
          <w:color w:val="auto"/>
        </w:rPr>
        <w:t>Certain matters discussed within this press release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13, 2017, and include the following:</w:t>
      </w:r>
    </w:p>
    <w:p>
      <w:pPr>
        <w:spacing w:after="0" w:line="125" w:lineRule="exact"/>
        <w:rPr>
          <w:sz w:val="20"/>
          <w:szCs w:val="20"/>
          <w:color w:val="auto"/>
        </w:rPr>
      </w:pPr>
    </w:p>
    <w:p>
      <w:pPr>
        <w:ind w:left="660" w:hanging="328"/>
        <w:spacing w:after="0" w:line="262"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4"/>
          <w:szCs w:val="14"/>
          <w:i w:val="1"/>
          <w:iCs w:val="1"/>
          <w:color w:val="auto"/>
        </w:rPr>
        <w:t>risks that our tenants will not pay rent, may vacate early or may file for bankruptcy or that we may be unable to renew leases or re-let space at favorable rents as leases expire;</w:t>
      </w:r>
    </w:p>
    <w:p>
      <w:pPr>
        <w:spacing w:after="0" w:line="30"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4"/>
          <w:szCs w:val="14"/>
          <w:i w:val="1"/>
          <w:iCs w:val="1"/>
          <w:color w:val="auto"/>
        </w:rPr>
        <w:t>risks that we may not be able to proceed with or obtain necessary approvals for any redevelopment or renovation project, and that completion of anticipated or ongoing property redevelopments or renovation projects that we do pursue may cost more, take more time to complete, or fail to perform as expected;</w:t>
      </w:r>
    </w:p>
    <w:p>
      <w:pPr>
        <w:spacing w:after="0" w:line="30" w:lineRule="exact"/>
        <w:rPr>
          <w:rFonts w:ascii="Arial" w:cs="Arial" w:eastAsia="Arial" w:hAnsi="Arial"/>
          <w:sz w:val="18"/>
          <w:szCs w:val="18"/>
          <w:color w:val="auto"/>
        </w:rPr>
      </w:pPr>
    </w:p>
    <w:p>
      <w:pPr>
        <w:jc w:val="both"/>
        <w:ind w:left="660" w:hanging="328"/>
        <w:spacing w:after="0" w:line="28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4"/>
          <w:szCs w:val="14"/>
          <w:i w:val="1"/>
          <w:iCs w:val="1"/>
          <w:color w:val="auto"/>
        </w:rPr>
        <w:t>risks that we are investing a significant amount in ground-up development projects that may not perform as planned, may be dependent on third parties to deliver critical aspects of certain projects, requires spending a substantial amount upfront in infrastructure, and assumes receipt of public funding which has been committed but not entirely funded;</w:t>
      </w:r>
    </w:p>
    <w:p>
      <w:pPr>
        <w:spacing w:after="0" w:line="31" w:lineRule="exact"/>
        <w:rPr>
          <w:rFonts w:ascii="Arial" w:cs="Arial" w:eastAsia="Arial" w:hAnsi="Arial"/>
          <w:sz w:val="18"/>
          <w:szCs w:val="18"/>
          <w:color w:val="auto"/>
        </w:rPr>
      </w:pPr>
    </w:p>
    <w:p>
      <w:pPr>
        <w:jc w:val="both"/>
        <w:ind w:left="660" w:hanging="328"/>
        <w:spacing w:after="0" w:line="29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4"/>
          <w:szCs w:val="14"/>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4"/>
          <w:szCs w:val="14"/>
          <w:i w:val="1"/>
          <w:iCs w:val="1"/>
          <w:color w:val="auto"/>
        </w:rPr>
        <w:t>risks that our growth will be limited if we cannot obtain additional capital;</w:t>
      </w:r>
    </w:p>
    <w:p>
      <w:pPr>
        <w:spacing w:after="0" w:line="12" w:lineRule="exact"/>
        <w:rPr>
          <w:rFonts w:ascii="Arial" w:cs="Arial" w:eastAsia="Arial" w:hAnsi="Arial"/>
          <w:sz w:val="18"/>
          <w:szCs w:val="18"/>
          <w:color w:val="auto"/>
        </w:rPr>
      </w:pPr>
    </w:p>
    <w:p>
      <w:pPr>
        <w:ind w:left="660" w:hanging="328"/>
        <w:spacing w:after="0" w:line="236"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4"/>
          <w:szCs w:val="14"/>
          <w:i w:val="1"/>
          <w:iCs w:val="1"/>
          <w:color w:val="auto"/>
        </w:rPr>
        <w:t>risks associated with general economic conditions, including local economic conditions in our geographic markets;</w:t>
      </w:r>
    </w:p>
    <w:p>
      <w:pPr>
        <w:spacing w:after="0" w:line="30" w:lineRule="exact"/>
        <w:rPr>
          <w:rFonts w:ascii="Arial" w:cs="Arial" w:eastAsia="Arial" w:hAnsi="Arial"/>
          <w:sz w:val="18"/>
          <w:szCs w:val="18"/>
          <w:color w:val="auto"/>
        </w:rPr>
      </w:pPr>
    </w:p>
    <w:p>
      <w:pPr>
        <w:jc w:val="both"/>
        <w:ind w:left="660" w:right="20" w:hanging="328"/>
        <w:spacing w:after="0" w:line="28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4"/>
          <w:szCs w:val="14"/>
          <w:i w:val="1"/>
          <w:iCs w:val="1"/>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31" w:lineRule="exact"/>
        <w:rPr>
          <w:rFonts w:ascii="Arial" w:cs="Arial" w:eastAsia="Arial" w:hAnsi="Arial"/>
          <w:sz w:val="18"/>
          <w:szCs w:val="18"/>
          <w:color w:val="auto"/>
        </w:rPr>
      </w:pPr>
    </w:p>
    <w:p>
      <w:pPr>
        <w:jc w:val="both"/>
        <w:ind w:left="660" w:right="20" w:hanging="328"/>
        <w:spacing w:after="0" w:line="281"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4"/>
          <w:szCs w:val="14"/>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4"/>
          <w:szCs w:val="14"/>
          <w:i w:val="1"/>
          <w:iCs w:val="1"/>
          <w:color w:val="auto"/>
        </w:rPr>
        <w:t>to qualify as a REIT.</w:t>
      </w:r>
    </w:p>
    <w:p>
      <w:pPr>
        <w:spacing w:after="0" w:line="28" w:lineRule="exact"/>
        <w:rPr>
          <w:sz w:val="20"/>
          <w:szCs w:val="20"/>
          <w:color w:val="auto"/>
        </w:rPr>
      </w:pPr>
    </w:p>
    <w:p>
      <w:pPr>
        <w:jc w:val="both"/>
        <w:spacing w:after="0" w:line="260" w:lineRule="auto"/>
        <w:rPr>
          <w:sz w:val="20"/>
          <w:szCs w:val="20"/>
          <w:color w:val="auto"/>
        </w:rPr>
      </w:pPr>
      <w:r>
        <w:rPr>
          <w:rFonts w:ascii="Arial" w:cs="Arial" w:eastAsia="Arial" w:hAnsi="Arial"/>
          <w:sz w:val="14"/>
          <w:szCs w:val="14"/>
          <w:i w:val="1"/>
          <w:iCs w:val="1"/>
          <w:color w:val="auto"/>
        </w:rPr>
        <w:t>Given these uncertainties, readers are cautioned not to place undue reliance on any forward-looking statements that we make, including those in this press release. Except as may be required by law, we make no promise to update any of the forward-looking statements as a result of new information, future events or otherwise. You should carefully review the risks and risk factors included in our Annual Report on Form 10-K filed with the Securities and Exchange Commission on February 13,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440" w:right="239" w:bottom="1440" w:gutter="0" w:footer="0" w:header="0"/>
        </w:sectPr>
      </w:pPr>
    </w:p>
    <w:bookmarkStart w:id="9" w:name="page10"/>
    <w:bookmarkEnd w:id="9"/>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Consolidated Income Statements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September 30, 2017</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4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3"/>
              </w:rPr>
              <w:t>Three Months Ended</w:t>
            </w:r>
          </w:p>
        </w:tc>
        <w:tc>
          <w:tcPr>
            <w:tcW w:w="400" w:type="dxa"/>
            <w:vAlign w:val="bottom"/>
          </w:tcPr>
          <w:p>
            <w:pPr>
              <w:spacing w:after="0"/>
              <w:rPr>
                <w:sz w:val="16"/>
                <w:szCs w:val="16"/>
                <w:color w:val="auto"/>
              </w:rPr>
            </w:pPr>
          </w:p>
        </w:tc>
        <w:tc>
          <w:tcPr>
            <w:tcW w:w="2220" w:type="dxa"/>
            <w:vAlign w:val="bottom"/>
            <w:gridSpan w:val="4"/>
          </w:tcPr>
          <w:p>
            <w:pPr>
              <w:jc w:val="right"/>
              <w:ind w:right="59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76"/>
        </w:trPr>
        <w:tc>
          <w:tcPr>
            <w:tcW w:w="5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4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89"/>
              </w:rPr>
              <w:t>September 30,</w:t>
            </w:r>
          </w:p>
        </w:tc>
        <w:tc>
          <w:tcPr>
            <w:tcW w:w="400" w:type="dxa"/>
            <w:vAlign w:val="bottom"/>
          </w:tcPr>
          <w:p>
            <w:pPr>
              <w:spacing w:after="0"/>
              <w:rPr>
                <w:sz w:val="24"/>
                <w:szCs w:val="24"/>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44"/>
        </w:trPr>
        <w:tc>
          <w:tcPr>
            <w:tcW w:w="5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580" w:type="dxa"/>
            <w:vAlign w:val="bottom"/>
            <w:gridSpan w:val="5"/>
          </w:tcPr>
          <w:p>
            <w:pPr>
              <w:ind w:left="40"/>
              <w:spacing w:after="0"/>
              <w:rPr>
                <w:sz w:val="20"/>
                <w:szCs w:val="20"/>
                <w:color w:val="auto"/>
              </w:rPr>
            </w:pPr>
            <w:r>
              <w:rPr>
                <w:rFonts w:ascii="Arial" w:cs="Arial" w:eastAsia="Arial" w:hAnsi="Arial"/>
                <w:sz w:val="14"/>
                <w:szCs w:val="14"/>
                <w:b w:val="1"/>
                <w:bCs w:val="1"/>
                <w:color w:val="auto"/>
              </w:rPr>
              <w:t>(in thousands, except per share data)</w:t>
            </w: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2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5280" w:type="dxa"/>
            <w:vAlign w:val="bottom"/>
          </w:tcPr>
          <w:p>
            <w:pPr>
              <w:ind w:left="40"/>
              <w:spacing w:after="0"/>
              <w:rPr>
                <w:sz w:val="20"/>
                <w:szCs w:val="20"/>
                <w:color w:val="auto"/>
              </w:rPr>
            </w:pPr>
            <w:r>
              <w:rPr>
                <w:rFonts w:ascii="Arial" w:cs="Arial" w:eastAsia="Arial" w:hAnsi="Arial"/>
                <w:sz w:val="18"/>
                <w:szCs w:val="18"/>
                <w:color w:val="auto"/>
              </w:rPr>
              <w:t>REVENUE</w:t>
            </w:r>
          </w:p>
        </w:tc>
        <w:tc>
          <w:tcPr>
            <w:tcW w:w="7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Rental income</w:t>
            </w: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212,048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197,469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620,741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585,712</w:t>
            </w:r>
          </w:p>
        </w:tc>
        <w:tc>
          <w:tcPr>
            <w:tcW w:w="0" w:type="dxa"/>
            <w:vAlign w:val="bottom"/>
          </w:tcPr>
          <w:p>
            <w:pPr>
              <w:spacing w:after="0"/>
              <w:rPr>
                <w:sz w:val="1"/>
                <w:szCs w:val="1"/>
                <w:color w:val="auto"/>
              </w:rPr>
            </w:pP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rPr>
              <w:t>Other property income</w:t>
            </w: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5,171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2,759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10,429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8,559</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Mortgage interest income</w:t>
            </w:r>
          </w:p>
        </w:tc>
        <w:tc>
          <w:tcPr>
            <w:tcW w:w="7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929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2,221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3,211</w:t>
            </w:r>
          </w:p>
        </w:tc>
        <w:tc>
          <w:tcPr>
            <w:tcW w:w="0" w:type="dxa"/>
            <w:vAlign w:val="bottom"/>
          </w:tcPr>
          <w:p>
            <w:pPr>
              <w:spacing w:after="0"/>
              <w:rPr>
                <w:sz w:val="1"/>
                <w:szCs w:val="1"/>
                <w:color w:val="auto"/>
              </w:rPr>
            </w:pPr>
          </w:p>
        </w:tc>
      </w:tr>
      <w:tr>
        <w:trPr>
          <w:trHeight w:val="237"/>
        </w:trPr>
        <w:tc>
          <w:tcPr>
            <w:tcW w:w="5280" w:type="dxa"/>
            <w:vAlign w:val="bottom"/>
          </w:tcPr>
          <w:p>
            <w:pPr>
              <w:ind w:left="500"/>
              <w:spacing w:after="0"/>
              <w:rPr>
                <w:sz w:val="20"/>
                <w:szCs w:val="20"/>
                <w:color w:val="auto"/>
              </w:rPr>
            </w:pPr>
            <w:r>
              <w:rPr>
                <w:rFonts w:ascii="Arial" w:cs="Arial" w:eastAsia="Arial" w:hAnsi="Arial"/>
                <w:sz w:val="18"/>
                <w:szCs w:val="18"/>
                <w:color w:val="auto"/>
              </w:rPr>
              <w:t>Total revenue</w:t>
            </w:r>
          </w:p>
        </w:tc>
        <w:tc>
          <w:tcPr>
            <w:tcW w:w="7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217,953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201,157</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633,391</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597,482</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rPr>
              <w:t>Rental expenses</w:t>
            </w: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41,250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38,588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119,487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118,385</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Real estate taxes</w:t>
            </w: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27,492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24,973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79,104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71,164</w:t>
            </w:r>
          </w:p>
        </w:tc>
        <w:tc>
          <w:tcPr>
            <w:tcW w:w="0" w:type="dxa"/>
            <w:vAlign w:val="bottom"/>
          </w:tcPr>
          <w:p>
            <w:pPr>
              <w:spacing w:after="0"/>
              <w:rPr>
                <w:sz w:val="1"/>
                <w:szCs w:val="1"/>
                <w:color w:val="auto"/>
              </w:rPr>
            </w:pP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9,103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8,232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26,013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25,278</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7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55,611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48,903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159,656</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145,137</w:t>
            </w:r>
          </w:p>
        </w:tc>
        <w:tc>
          <w:tcPr>
            <w:tcW w:w="0" w:type="dxa"/>
            <w:vAlign w:val="bottom"/>
          </w:tcPr>
          <w:p>
            <w:pPr>
              <w:spacing w:after="0"/>
              <w:rPr>
                <w:sz w:val="1"/>
                <w:szCs w:val="1"/>
                <w:color w:val="auto"/>
              </w:rPr>
            </w:pPr>
          </w:p>
        </w:tc>
      </w:tr>
      <w:tr>
        <w:trPr>
          <w:trHeight w:val="237"/>
        </w:trPr>
        <w:tc>
          <w:tcPr>
            <w:tcW w:w="5280" w:type="dxa"/>
            <w:vAlign w:val="bottom"/>
          </w:tcPr>
          <w:p>
            <w:pPr>
              <w:ind w:left="500"/>
              <w:spacing w:after="0"/>
              <w:rPr>
                <w:sz w:val="20"/>
                <w:szCs w:val="20"/>
                <w:color w:val="auto"/>
              </w:rPr>
            </w:pPr>
            <w:r>
              <w:rPr>
                <w:rFonts w:ascii="Arial" w:cs="Arial" w:eastAsia="Arial" w:hAnsi="Arial"/>
                <w:sz w:val="18"/>
                <w:szCs w:val="18"/>
                <w:color w:val="auto"/>
              </w:rPr>
              <w:t>Total operating expenses</w:t>
            </w:r>
          </w:p>
        </w:tc>
        <w:tc>
          <w:tcPr>
            <w:tcW w:w="7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133,456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120,696</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384,260</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359,964</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84,497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80,461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249,131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237,518</w:t>
            </w:r>
          </w:p>
        </w:tc>
        <w:tc>
          <w:tcPr>
            <w:tcW w:w="0" w:type="dxa"/>
            <w:vAlign w:val="bottom"/>
          </w:tcPr>
          <w:p>
            <w:pPr>
              <w:spacing w:after="0"/>
              <w:rPr>
                <w:sz w:val="1"/>
                <w:szCs w:val="1"/>
                <w:color w:val="auto"/>
              </w:rPr>
            </w:pP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rPr>
              <w:t>Other interest income</w:t>
            </w: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(26,287)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(24,313)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(73,952)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(71,143)</w:t>
            </w:r>
          </w:p>
        </w:tc>
        <w:tc>
          <w:tcPr>
            <w:tcW w:w="0" w:type="dxa"/>
            <w:vAlign w:val="bottom"/>
          </w:tcPr>
          <w:p>
            <w:pPr>
              <w:spacing w:after="0"/>
              <w:rPr>
                <w:sz w:val="1"/>
                <w:szCs w:val="1"/>
                <w:color w:val="auto"/>
              </w:rPr>
            </w:pP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rPr>
              <w:t>(Loss) income from real estate partnerships</w:t>
            </w: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58,107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56,253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175,136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166,701</w:t>
            </w:r>
          </w:p>
        </w:tc>
        <w:tc>
          <w:tcPr>
            <w:tcW w:w="0" w:type="dxa"/>
            <w:vAlign w:val="bottom"/>
          </w:tcPr>
          <w:p>
            <w:pPr>
              <w:spacing w:after="0"/>
              <w:rPr>
                <w:sz w:val="1"/>
                <w:szCs w:val="1"/>
                <w:color w:val="auto"/>
              </w:rPr>
            </w:pP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w w:val="96"/>
              </w:rPr>
              <w:t>Gain on sale of real estate and change in control of interests, net</w:t>
            </w: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50,775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4,945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69,949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32,458</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108,882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61,198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245,085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199,159</w:t>
            </w:r>
          </w:p>
        </w:tc>
        <w:tc>
          <w:tcPr>
            <w:tcW w:w="0" w:type="dxa"/>
            <w:vAlign w:val="bottom"/>
          </w:tcPr>
          <w:p>
            <w:pPr>
              <w:spacing w:after="0"/>
              <w:rPr>
                <w:sz w:val="1"/>
                <w:szCs w:val="1"/>
                <w:color w:val="auto"/>
              </w:rPr>
            </w:pPr>
          </w:p>
        </w:tc>
      </w:tr>
      <w:tr>
        <w:trPr>
          <w:trHeight w:val="243"/>
        </w:trPr>
        <w:tc>
          <w:tcPr>
            <w:tcW w:w="5280" w:type="dxa"/>
            <w:vAlign w:val="bottom"/>
          </w:tcPr>
          <w:p>
            <w:pPr>
              <w:ind w:left="300"/>
              <w:spacing w:after="0"/>
              <w:rPr>
                <w:sz w:val="20"/>
                <w:szCs w:val="20"/>
                <w:color w:val="auto"/>
              </w:rPr>
            </w:pPr>
            <w:r>
              <w:rPr>
                <w:rFonts w:ascii="Arial" w:cs="Arial" w:eastAsia="Arial" w:hAnsi="Arial"/>
                <w:sz w:val="18"/>
                <w:szCs w:val="18"/>
                <w:color w:val="auto"/>
              </w:rPr>
              <w:t>Net income attributable to noncontrolling interests</w:t>
            </w: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(2,105)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(2,221)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(5,827)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(7,286)</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THE TRUST</w:t>
            </w: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106,777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58,977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239,258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191,873</w:t>
            </w:r>
          </w:p>
        </w:tc>
        <w:tc>
          <w:tcPr>
            <w:tcW w:w="0" w:type="dxa"/>
            <w:vAlign w:val="bottom"/>
          </w:tcPr>
          <w:p>
            <w:pPr>
              <w:spacing w:after="0"/>
              <w:rPr>
                <w:sz w:val="1"/>
                <w:szCs w:val="1"/>
                <w:color w:val="auto"/>
              </w:rPr>
            </w:pP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rPr>
              <w:t>Dividends on preferred shares</w:t>
            </w: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AVAILABLE FOR COMMON SHAREHOLDERS</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106,600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58,841</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238,810</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191,467</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COMMON SHARE, BASIC:</w:t>
            </w:r>
          </w:p>
        </w:tc>
        <w:tc>
          <w:tcPr>
            <w:tcW w:w="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280" w:type="dxa"/>
            <w:vAlign w:val="bottom"/>
            <w:vMerge w:val="continue"/>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income available for common shareholders</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0.82</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3.31</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2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Weighted average number of common shares</w:t>
            </w:r>
          </w:p>
        </w:tc>
        <w:tc>
          <w:tcPr>
            <w:tcW w:w="78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72,091</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71,319</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71,983</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70,626</w:t>
            </w:r>
          </w:p>
        </w:tc>
        <w:tc>
          <w:tcPr>
            <w:tcW w:w="0" w:type="dxa"/>
            <w:vAlign w:val="bottom"/>
          </w:tcPr>
          <w:p>
            <w:pPr>
              <w:spacing w:after="0"/>
              <w:rPr>
                <w:sz w:val="1"/>
                <w:szCs w:val="1"/>
                <w:color w:val="auto"/>
              </w:rPr>
            </w:pPr>
          </w:p>
        </w:tc>
      </w:tr>
      <w:tr>
        <w:trPr>
          <w:trHeight w:val="237"/>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COMMON SHARE, DILUTED:</w:t>
            </w:r>
          </w:p>
        </w:tc>
        <w:tc>
          <w:tcPr>
            <w:tcW w:w="7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5280" w:type="dxa"/>
            <w:vAlign w:val="bottom"/>
          </w:tcPr>
          <w:p>
            <w:pPr>
              <w:ind w:left="280"/>
              <w:spacing w:after="0"/>
              <w:rPr>
                <w:sz w:val="20"/>
                <w:szCs w:val="20"/>
                <w:color w:val="auto"/>
              </w:rPr>
            </w:pPr>
            <w:r>
              <w:rPr>
                <w:rFonts w:ascii="Arial" w:cs="Arial" w:eastAsia="Arial" w:hAnsi="Arial"/>
                <w:sz w:val="18"/>
                <w:szCs w:val="18"/>
                <w:color w:val="auto"/>
              </w:rPr>
              <w:t>Net income available for common shareholders</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0.82</w:t>
            </w:r>
          </w:p>
        </w:tc>
        <w:tc>
          <w:tcPr>
            <w:tcW w:w="100" w:type="dxa"/>
            <w:vAlign w:val="bottom"/>
          </w:tcPr>
          <w:p>
            <w:pPr>
              <w:spacing w:after="0"/>
              <w:rPr>
                <w:sz w:val="24"/>
                <w:szCs w:val="24"/>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24"/>
                <w:szCs w:val="24"/>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51"/>
        </w:trPr>
        <w:tc>
          <w:tcPr>
            <w:tcW w:w="528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Weighted average number of common shares</w:t>
            </w:r>
          </w:p>
        </w:tc>
        <w:tc>
          <w:tcPr>
            <w:tcW w:w="7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72,206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71,489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72,110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70,804</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780" w:type="dxa"/>
            <w:vAlign w:val="bottom"/>
            <w:vMerge w:val="restart"/>
          </w:tcPr>
          <w:p>
            <w:pPr>
              <w:jc w:val="right"/>
              <w:ind w:right="210"/>
              <w:spacing w:after="0"/>
              <w:rPr>
                <w:sz w:val="20"/>
                <w:szCs w:val="20"/>
                <w:color w:val="auto"/>
              </w:rPr>
            </w:pPr>
            <w:r>
              <w:rPr>
                <w:rFonts w:ascii="Arial" w:cs="Arial" w:eastAsia="Arial" w:hAnsi="Arial"/>
                <w:sz w:val="18"/>
                <w:szCs w:val="18"/>
                <w:color w:val="auto"/>
              </w:rPr>
              <w:t>7</w:t>
            </w: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280" w:type="dxa"/>
            <w:vAlign w:val="bottom"/>
          </w:tcPr>
          <w:p>
            <w:pPr>
              <w:spacing w:after="0"/>
              <w:rPr>
                <w:sz w:val="24"/>
                <w:szCs w:val="24"/>
                <w:color w:val="auto"/>
              </w:rPr>
            </w:pPr>
          </w:p>
        </w:tc>
        <w:tc>
          <w:tcPr>
            <w:tcW w:w="7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2" w:right="239" w:bottom="1440" w:gutter="0" w:footer="0" w:header="0"/>
        </w:sectPr>
      </w:pPr>
    </w:p>
    <w:bookmarkStart w:id="10" w:name="page11"/>
    <w:bookmarkEnd w:id="10"/>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Consolidated Balance Sheets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September 30, 2017</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6"/>
                <w:szCs w:val="16"/>
                <w:color w:val="auto"/>
              </w:rPr>
            </w:pPr>
          </w:p>
        </w:tc>
        <w:tc>
          <w:tcPr>
            <w:tcW w:w="1100" w:type="dxa"/>
            <w:vAlign w:val="bottom"/>
          </w:tcPr>
          <w:p>
            <w:pPr>
              <w:jc w:val="right"/>
              <w:ind w:right="111"/>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276"/>
        </w:trPr>
        <w:tc>
          <w:tcPr>
            <w:tcW w:w="88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52"/>
        </w:trPr>
        <w:tc>
          <w:tcPr>
            <w:tcW w:w="8800" w:type="dxa"/>
            <w:vAlign w:val="bottom"/>
          </w:tcPr>
          <w:p>
            <w:pPr>
              <w:spacing w:after="0"/>
              <w:rPr>
                <w:sz w:val="13"/>
                <w:szCs w:val="13"/>
                <w:color w:val="auto"/>
              </w:rPr>
            </w:pPr>
          </w:p>
        </w:tc>
        <w:tc>
          <w:tcPr>
            <w:tcW w:w="2620" w:type="dxa"/>
            <w:vAlign w:val="bottom"/>
            <w:gridSpan w:val="5"/>
          </w:tcPr>
          <w:p>
            <w:pPr>
              <w:jc w:val="right"/>
              <w:spacing w:after="0" w:line="153" w:lineRule="exact"/>
              <w:rPr>
                <w:sz w:val="20"/>
                <w:szCs w:val="20"/>
                <w:color w:val="auto"/>
              </w:rPr>
            </w:pPr>
            <w:r>
              <w:rPr>
                <w:rFonts w:ascii="Arial" w:cs="Arial" w:eastAsia="Arial" w:hAnsi="Arial"/>
                <w:sz w:val="14"/>
                <w:szCs w:val="14"/>
                <w:b w:val="1"/>
                <w:bCs w:val="1"/>
                <w:color w:val="auto"/>
                <w:w w:val="91"/>
              </w:rPr>
              <w:t>(in thousands, except share and per share</w:t>
            </w:r>
          </w:p>
        </w:tc>
        <w:tc>
          <w:tcPr>
            <w:tcW w:w="0" w:type="dxa"/>
            <w:vAlign w:val="bottom"/>
          </w:tcPr>
          <w:p>
            <w:pPr>
              <w:spacing w:after="0"/>
              <w:rPr>
                <w:sz w:val="1"/>
                <w:szCs w:val="1"/>
                <w:color w:val="auto"/>
              </w:rPr>
            </w:pPr>
          </w:p>
        </w:tc>
      </w:tr>
      <w:tr>
        <w:trPr>
          <w:trHeight w:val="186"/>
        </w:trPr>
        <w:tc>
          <w:tcPr>
            <w:tcW w:w="8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rPr>
              <w:t>data)</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88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8800" w:type="dxa"/>
            <w:vAlign w:val="bottom"/>
          </w:tcPr>
          <w:p>
            <w:pPr>
              <w:ind w:left="40"/>
              <w:spacing w:after="0"/>
              <w:rPr>
                <w:sz w:val="20"/>
                <w:szCs w:val="20"/>
                <w:color w:val="auto"/>
              </w:rPr>
            </w:pPr>
            <w:r>
              <w:rPr>
                <w:rFonts w:ascii="Arial" w:cs="Arial" w:eastAsia="Arial" w:hAnsi="Arial"/>
                <w:sz w:val="18"/>
                <w:szCs w:val="18"/>
                <w:color w:val="auto"/>
              </w:rPr>
              <w:t>ASSETS</w:t>
            </w: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Real estate, at cost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w w:val="98"/>
              </w:rPr>
              <w:t>Operating (including $1,666,691 and $1,226,918 of consolidated variable interest entities, respectively)</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6,758,728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6,125,957</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Construction-in-progress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769,882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599,260</w:t>
            </w: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Asset held for sale</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33,856</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7,528,610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6,759,073</w:t>
            </w:r>
          </w:p>
        </w:tc>
        <w:tc>
          <w:tcPr>
            <w:tcW w:w="0" w:type="dxa"/>
            <w:vAlign w:val="bottom"/>
          </w:tcPr>
          <w:p>
            <w:pPr>
              <w:spacing w:after="0"/>
              <w:rPr>
                <w:sz w:val="1"/>
                <w:szCs w:val="1"/>
                <w:color w:val="auto"/>
              </w:rPr>
            </w:pPr>
          </w:p>
        </w:tc>
      </w:tr>
      <w:tr>
        <w:trPr>
          <w:trHeight w:val="229"/>
        </w:trPr>
        <w:tc>
          <w:tcPr>
            <w:tcW w:w="8800" w:type="dxa"/>
            <w:vAlign w:val="bottom"/>
          </w:tcPr>
          <w:p>
            <w:pPr>
              <w:ind w:left="720"/>
              <w:spacing w:after="0"/>
              <w:rPr>
                <w:sz w:val="20"/>
                <w:szCs w:val="20"/>
                <w:color w:val="auto"/>
              </w:rPr>
            </w:pPr>
            <w:r>
              <w:rPr>
                <w:rFonts w:ascii="Arial" w:cs="Arial" w:eastAsia="Arial" w:hAnsi="Arial"/>
                <w:sz w:val="18"/>
                <w:szCs w:val="18"/>
                <w:color w:val="auto"/>
                <w:w w:val="93"/>
              </w:rPr>
              <w:t>Less accumulated depreciation and amortization (including $236,391 and $209,239 of consolidated variable</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0" w:type="dxa"/>
            <w:vAlign w:val="bottom"/>
          </w:tcPr>
          <w:p>
            <w:pPr>
              <w:ind w:left="720"/>
              <w:spacing w:after="0"/>
              <w:rPr>
                <w:sz w:val="20"/>
                <w:szCs w:val="20"/>
                <w:color w:val="auto"/>
              </w:rPr>
            </w:pPr>
            <w:r>
              <w:rPr>
                <w:rFonts w:ascii="Arial" w:cs="Arial" w:eastAsia="Arial" w:hAnsi="Arial"/>
                <w:sz w:val="18"/>
                <w:szCs w:val="18"/>
                <w:color w:val="auto"/>
              </w:rPr>
              <w:t>interest entities, respectively)</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(1,828,845)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(1,729,234)</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real estate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5,699,765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5,029,839</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22,850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23,368</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and notes receivable, net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200,878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116,749</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Mortgage notes receivable, net</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30,429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29,904</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 in real estate partnerships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23,925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14,864</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243,290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208,555</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6,221,137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5,423,279</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LIABILITIES AND SHAREHOLDERS’ EQUITY</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8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w w:val="93"/>
              </w:rPr>
              <w:t>Mortgages payable (including $461,873 and $439,120 of consolidated variable interest entities, respectively)</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493,240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471,117</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Capital lease obligations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71,565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71,590</w:t>
            </w: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Notes payable</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320,718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279,151</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Senior notes and debentures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2,377,939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1,976,594</w:t>
            </w: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206,441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201,756</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Dividends payable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73,466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71,440</w:t>
            </w: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Security deposits payable</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16,698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16,285</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liabilities and deferred credits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175,464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115,817</w:t>
            </w:r>
          </w:p>
        </w:tc>
        <w:tc>
          <w:tcPr>
            <w:tcW w:w="0" w:type="dxa"/>
            <w:vAlign w:val="bottom"/>
          </w:tcPr>
          <w:p>
            <w:pPr>
              <w:spacing w:after="0"/>
              <w:rPr>
                <w:sz w:val="1"/>
                <w:szCs w:val="1"/>
                <w:color w:val="auto"/>
              </w:rPr>
            </w:pPr>
          </w:p>
        </w:tc>
      </w:tr>
      <w:tr>
        <w:trPr>
          <w:trHeight w:val="237"/>
        </w:trPr>
        <w:tc>
          <w:tcPr>
            <w:tcW w:w="880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3,735,531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3,203,750</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Commitments and contingencies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Redeemable noncontrolling interests</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151,815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143,694</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Shareholders’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Preferred shares, authorized 15,000,000 shares, $.01 par:</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80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0"/>
              </w:rPr>
              <w:t>5.0% Series C Cumulative Redeemable Preferred Shares, (stated at liquidation preference $25,000 per share),</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8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6,000 and 0 shares issued and outstanding, 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150,000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800" w:type="dxa"/>
            <w:vAlign w:val="bottom"/>
          </w:tcPr>
          <w:p>
            <w:pPr>
              <w:ind w:left="820"/>
              <w:spacing w:after="0"/>
              <w:rPr>
                <w:sz w:val="20"/>
                <w:szCs w:val="20"/>
                <w:color w:val="auto"/>
              </w:rPr>
            </w:pPr>
            <w:r>
              <w:rPr>
                <w:rFonts w:ascii="Arial" w:cs="Arial" w:eastAsia="Arial" w:hAnsi="Arial"/>
                <w:sz w:val="18"/>
                <w:szCs w:val="18"/>
                <w:color w:val="auto"/>
                <w:w w:val="93"/>
              </w:rPr>
              <w:t>5.417% Series 1 Cumulative Convertible Preferred Shares, (stated at liquidation preference $25 per share),</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0" w:type="dxa"/>
            <w:vAlign w:val="bottom"/>
          </w:tcPr>
          <w:p>
            <w:pPr>
              <w:ind w:left="820"/>
              <w:spacing w:after="0"/>
              <w:rPr>
                <w:sz w:val="20"/>
                <w:szCs w:val="20"/>
                <w:color w:val="auto"/>
              </w:rPr>
            </w:pPr>
            <w:r>
              <w:rPr>
                <w:rFonts w:ascii="Arial" w:cs="Arial" w:eastAsia="Arial" w:hAnsi="Arial"/>
                <w:sz w:val="18"/>
                <w:szCs w:val="18"/>
                <w:color w:val="auto"/>
              </w:rPr>
              <w:t>399,896 shares issued and outstanding</w:t>
            </w:r>
          </w:p>
        </w:tc>
        <w:tc>
          <w:tcPr>
            <w:tcW w:w="160" w:type="dxa"/>
            <w:vAlign w:val="bottom"/>
          </w:tcPr>
          <w:p>
            <w:pPr>
              <w:spacing w:after="0"/>
              <w:rPr>
                <w:sz w:val="20"/>
                <w:szCs w:val="20"/>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9,997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9,997</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800" w:type="dxa"/>
            <w:vAlign w:val="bottom"/>
            <w:shd w:val="clear" w:color="auto" w:fill="CCEEFF"/>
          </w:tcPr>
          <w:p>
            <w:pPr>
              <w:ind w:left="720"/>
              <w:spacing w:after="0"/>
              <w:rPr>
                <w:sz w:val="20"/>
                <w:szCs w:val="20"/>
                <w:color w:val="auto"/>
              </w:rPr>
            </w:pPr>
            <w:r>
              <w:rPr>
                <w:rFonts w:ascii="Arial" w:cs="Arial" w:eastAsia="Arial" w:hAnsi="Arial"/>
                <w:sz w:val="18"/>
                <w:szCs w:val="18"/>
                <w:color w:val="auto"/>
                <w:w w:val="93"/>
                <w:shd w:val="clear" w:color="auto" w:fill="CCEEFF"/>
              </w:rPr>
              <w:t>Common shares of beneficial interest, $.01 par, 100,000,000 shares authorized, 72,542,909 and 71,995,897</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shd w:val="clear" w:color="auto" w:fill="CCEEFF"/>
              </w:rPr>
              <w:t>shares issued and outstanding, 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2,773,890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2,718,325</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Accumulated dividends in excess of net income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(724,919)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(749,734)</w:t>
            </w: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(2,577)</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shareholders’ equity of the Trust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2,208,954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1,976,733</w:t>
            </w: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Noncontrolling interests</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124,837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99,102</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shareholders’ equity</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2,333,791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2,075,835</w:t>
            </w:r>
          </w:p>
        </w:tc>
        <w:tc>
          <w:tcPr>
            <w:tcW w:w="0" w:type="dxa"/>
            <w:vAlign w:val="bottom"/>
          </w:tcPr>
          <w:p>
            <w:pPr>
              <w:spacing w:after="0"/>
              <w:rPr>
                <w:sz w:val="1"/>
                <w:szCs w:val="1"/>
                <w:color w:val="auto"/>
              </w:rPr>
            </w:pPr>
          </w:p>
        </w:tc>
      </w:tr>
      <w:tr>
        <w:trPr>
          <w:trHeight w:val="257"/>
        </w:trPr>
        <w:tc>
          <w:tcPr>
            <w:tcW w:w="8800" w:type="dxa"/>
            <w:vAlign w:val="bottom"/>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6,221,137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5,423,279</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42"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742" w:right="239" w:bottom="1440" w:gutter="0" w:footer="0" w:header="0"/>
          <w:type w:val="continuous"/>
        </w:sectPr>
      </w:pPr>
    </w:p>
    <w:bookmarkStart w:id="11" w:name="page12"/>
    <w:bookmarkEnd w:id="11"/>
    <w:p>
      <w:pPr>
        <w:ind w:left="10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Funds From Operations / Summary of Capital Expenditures</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September 30, 2017</w:t>
      </w:r>
    </w:p>
    <w:p>
      <w:pPr>
        <w:spacing w:after="0" w:line="126" w:lineRule="exact"/>
        <w:rPr>
          <w:sz w:val="20"/>
          <w:szCs w:val="20"/>
          <w:color w:val="auto"/>
        </w:rPr>
      </w:pPr>
    </w:p>
    <w:tbl>
      <w:tblPr>
        <w:tblLayout w:type="fixed"/>
        <w:tblInd w:w="8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2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5"/>
              </w:rPr>
              <w:t>Three Months Ended</w:t>
            </w:r>
          </w:p>
        </w:tc>
        <w:tc>
          <w:tcPr>
            <w:tcW w:w="260" w:type="dxa"/>
            <w:vAlign w:val="bottom"/>
          </w:tcPr>
          <w:p>
            <w:pPr>
              <w:spacing w:after="0"/>
              <w:rPr>
                <w:sz w:val="16"/>
                <w:szCs w:val="16"/>
                <w:color w:val="auto"/>
              </w:rPr>
            </w:pPr>
          </w:p>
        </w:tc>
        <w:tc>
          <w:tcPr>
            <w:tcW w:w="2240" w:type="dxa"/>
            <w:vAlign w:val="bottom"/>
            <w:gridSpan w:val="4"/>
          </w:tcPr>
          <w:p>
            <w:pPr>
              <w:jc w:val="right"/>
              <w:ind w:right="531"/>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2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1"/>
              </w:rPr>
              <w:t>September 30,</w:t>
            </w:r>
          </w:p>
        </w:tc>
        <w:tc>
          <w:tcPr>
            <w:tcW w:w="260" w:type="dxa"/>
            <w:vAlign w:val="bottom"/>
          </w:tcPr>
          <w:p>
            <w:pPr>
              <w:spacing w:after="0"/>
              <w:rPr>
                <w:sz w:val="24"/>
                <w:szCs w:val="24"/>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Pr>
          <w:p>
            <w:pPr>
              <w:spacing w:after="0"/>
              <w:rPr>
                <w:sz w:val="24"/>
                <w:szCs w:val="24"/>
                <w:color w:val="auto"/>
              </w:rPr>
            </w:pPr>
          </w:p>
        </w:tc>
      </w:tr>
      <w:tr>
        <w:trPr>
          <w:trHeight w:val="264"/>
        </w:trPr>
        <w:tc>
          <w:tcPr>
            <w:tcW w:w="2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2016</w:t>
            </w:r>
          </w:p>
        </w:tc>
      </w:tr>
      <w:tr>
        <w:trPr>
          <w:trHeight w:val="250"/>
        </w:trPr>
        <w:tc>
          <w:tcPr>
            <w:tcW w:w="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80" w:type="dxa"/>
            <w:vAlign w:val="bottom"/>
            <w:gridSpan w:val="5"/>
          </w:tcPr>
          <w:p>
            <w:pPr>
              <w:ind w:left="20"/>
              <w:spacing w:after="0"/>
              <w:rPr>
                <w:sz w:val="20"/>
                <w:szCs w:val="20"/>
                <w:color w:val="auto"/>
              </w:rPr>
            </w:pPr>
            <w:r>
              <w:rPr>
                <w:rFonts w:ascii="Arial" w:cs="Arial" w:eastAsia="Arial" w:hAnsi="Arial"/>
                <w:sz w:val="14"/>
                <w:szCs w:val="14"/>
                <w:b w:val="1"/>
                <w:bCs w:val="1"/>
                <w:color w:val="auto"/>
                <w:w w:val="98"/>
              </w:rPr>
              <w:t>(in thousands, except per share data)</w:t>
            </w: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56"/>
        </w:trPr>
        <w:tc>
          <w:tcPr>
            <w:tcW w:w="20" w:type="dxa"/>
            <w:vAlign w:val="bottom"/>
            <w:shd w:val="clear" w:color="auto" w:fill="CCEEFF"/>
          </w:tcPr>
          <w:p>
            <w:pPr>
              <w:spacing w:after="0"/>
              <w:rPr>
                <w:sz w:val="22"/>
                <w:szCs w:val="22"/>
                <w:color w:val="auto"/>
              </w:rPr>
            </w:pPr>
          </w:p>
        </w:tc>
        <w:tc>
          <w:tcPr>
            <w:tcW w:w="61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Funds from Operations available for common shareholders (FFO) (1)</w:t>
            </w: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r>
      <w:tr>
        <w:trPr>
          <w:trHeight w:val="243"/>
        </w:trPr>
        <w:tc>
          <w:tcPr>
            <w:tcW w:w="20" w:type="dxa"/>
            <w:vAlign w:val="bottom"/>
            <w:tcBorders>
              <w:top w:val="single" w:sz="8" w:color="CCEEFF"/>
            </w:tcBorders>
          </w:tcPr>
          <w:p>
            <w:pPr>
              <w:spacing w:after="0"/>
              <w:rPr>
                <w:sz w:val="21"/>
                <w:szCs w:val="21"/>
                <w:color w:val="auto"/>
              </w:rPr>
            </w:pPr>
          </w:p>
        </w:tc>
        <w:tc>
          <w:tcPr>
            <w:tcW w:w="50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Net income</w:t>
            </w:r>
          </w:p>
        </w:tc>
        <w:tc>
          <w:tcPr>
            <w:tcW w:w="118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CCEEFF"/>
            </w:tcBorders>
          </w:tcPr>
          <w:p>
            <w:pPr>
              <w:jc w:val="right"/>
              <w:ind w:right="112"/>
              <w:spacing w:after="0"/>
              <w:rPr>
                <w:sz w:val="20"/>
                <w:szCs w:val="20"/>
                <w:color w:val="auto"/>
              </w:rPr>
            </w:pPr>
            <w:r>
              <w:rPr>
                <w:rFonts w:ascii="Arial" w:cs="Arial" w:eastAsia="Arial" w:hAnsi="Arial"/>
                <w:sz w:val="18"/>
                <w:szCs w:val="18"/>
                <w:color w:val="auto"/>
              </w:rPr>
              <w:t>108,882</w:t>
            </w:r>
          </w:p>
        </w:tc>
        <w:tc>
          <w:tcPr>
            <w:tcW w:w="12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CCEEFF"/>
            </w:tcBorders>
          </w:tcPr>
          <w:p>
            <w:pPr>
              <w:jc w:val="right"/>
              <w:ind w:right="112"/>
              <w:spacing w:after="0"/>
              <w:rPr>
                <w:sz w:val="20"/>
                <w:szCs w:val="20"/>
                <w:color w:val="auto"/>
              </w:rPr>
            </w:pPr>
            <w:r>
              <w:rPr>
                <w:rFonts w:ascii="Arial" w:cs="Arial" w:eastAsia="Arial" w:hAnsi="Arial"/>
                <w:sz w:val="18"/>
                <w:szCs w:val="18"/>
                <w:color w:val="auto"/>
              </w:rPr>
              <w:t>61,198</w:t>
            </w:r>
          </w:p>
        </w:tc>
        <w:tc>
          <w:tcPr>
            <w:tcW w:w="10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CCEEFF"/>
            </w:tcBorders>
          </w:tcPr>
          <w:p>
            <w:pPr>
              <w:jc w:val="right"/>
              <w:ind w:right="112"/>
              <w:spacing w:after="0"/>
              <w:rPr>
                <w:sz w:val="20"/>
                <w:szCs w:val="20"/>
                <w:color w:val="auto"/>
              </w:rPr>
            </w:pPr>
            <w:r>
              <w:rPr>
                <w:rFonts w:ascii="Arial" w:cs="Arial" w:eastAsia="Arial" w:hAnsi="Arial"/>
                <w:sz w:val="18"/>
                <w:szCs w:val="18"/>
                <w:color w:val="auto"/>
              </w:rPr>
              <w:t>245,085</w:t>
            </w:r>
          </w:p>
        </w:tc>
        <w:tc>
          <w:tcPr>
            <w:tcW w:w="100" w:type="dxa"/>
            <w:vAlign w:val="bottom"/>
            <w:tcBorders>
              <w:top w:val="single" w:sz="8" w:color="CCEEFF"/>
            </w:tcBorders>
          </w:tcPr>
          <w:p>
            <w:pPr>
              <w:spacing w:after="0"/>
              <w:rPr>
                <w:sz w:val="21"/>
                <w:szCs w:val="21"/>
                <w:color w:val="auto"/>
              </w:rPr>
            </w:pPr>
          </w:p>
        </w:tc>
        <w:tc>
          <w:tcPr>
            <w:tcW w:w="400" w:type="dxa"/>
            <w:vAlign w:val="bottom"/>
            <w:tcBorders>
              <w:top w:val="single" w:sz="8" w:color="CCEEFF"/>
            </w:tcBorders>
          </w:tcPr>
          <w:p>
            <w:pPr>
              <w:jc w:val="right"/>
              <w:ind w:right="19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CCEEFF"/>
            </w:tcBorders>
          </w:tcPr>
          <w:p>
            <w:pPr>
              <w:jc w:val="right"/>
              <w:ind w:right="111"/>
              <w:spacing w:after="0"/>
              <w:rPr>
                <w:sz w:val="20"/>
                <w:szCs w:val="20"/>
                <w:color w:val="auto"/>
              </w:rPr>
            </w:pPr>
            <w:r>
              <w:rPr>
                <w:rFonts w:ascii="Arial" w:cs="Arial" w:eastAsia="Arial" w:hAnsi="Arial"/>
                <w:sz w:val="18"/>
                <w:szCs w:val="18"/>
                <w:color w:val="auto"/>
                <w:w w:val="89"/>
              </w:rPr>
              <w:t>199,159</w:t>
            </w: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1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(2,105)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(2,221)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(5,827)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(7,286)</w:t>
            </w:r>
          </w:p>
        </w:tc>
      </w:tr>
      <w:tr>
        <w:trPr>
          <w:trHeight w:val="243"/>
        </w:trPr>
        <w:tc>
          <w:tcPr>
            <w:tcW w:w="20" w:type="dxa"/>
            <w:vAlign w:val="bottom"/>
          </w:tcPr>
          <w:p>
            <w:pPr>
              <w:spacing w:after="0"/>
              <w:rPr>
                <w:sz w:val="21"/>
                <w:szCs w:val="21"/>
                <w:color w:val="auto"/>
              </w:rPr>
            </w:pPr>
          </w:p>
        </w:tc>
        <w:tc>
          <w:tcPr>
            <w:tcW w:w="6180" w:type="dxa"/>
            <w:vAlign w:val="bottom"/>
            <w:gridSpan w:val="4"/>
          </w:tcPr>
          <w:p>
            <w:pPr>
              <w:spacing w:after="0"/>
              <w:rPr>
                <w:sz w:val="20"/>
                <w:szCs w:val="20"/>
                <w:color w:val="auto"/>
              </w:rPr>
            </w:pPr>
            <w:r>
              <w:rPr>
                <w:rFonts w:ascii="Arial" w:cs="Arial" w:eastAsia="Arial" w:hAnsi="Arial"/>
                <w:sz w:val="18"/>
                <w:szCs w:val="18"/>
                <w:color w:val="auto"/>
              </w:rPr>
              <w:t>Gain on sale of real estate and change in control of interests, net</w:t>
            </w:r>
          </w:p>
        </w:tc>
        <w:tc>
          <w:tcPr>
            <w:tcW w:w="260" w:type="dxa"/>
            <w:vAlign w:val="bottom"/>
          </w:tcPr>
          <w:p>
            <w:pPr>
              <w:spacing w:after="0"/>
              <w:rPr>
                <w:sz w:val="21"/>
                <w:szCs w:val="21"/>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(50,775)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(4,706)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(69,659)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ind w:right="51"/>
              <w:spacing w:after="0"/>
              <w:rPr>
                <w:sz w:val="20"/>
                <w:szCs w:val="20"/>
                <w:color w:val="auto"/>
              </w:rPr>
            </w:pPr>
            <w:r>
              <w:rPr>
                <w:rFonts w:ascii="Arial" w:cs="Arial" w:eastAsia="Arial" w:hAnsi="Arial"/>
                <w:sz w:val="18"/>
                <w:szCs w:val="18"/>
                <w:color w:val="auto"/>
                <w:w w:val="95"/>
              </w:rPr>
              <w:t>(31,133)</w:t>
            </w: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1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Depreciation and amortization of real estate assets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48,796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42,779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139,112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w w:val="89"/>
              </w:rPr>
              <w:t>126,806</w:t>
            </w:r>
          </w:p>
        </w:tc>
      </w:tr>
      <w:tr>
        <w:trPr>
          <w:trHeight w:val="243"/>
        </w:trPr>
        <w:tc>
          <w:tcPr>
            <w:tcW w:w="20" w:type="dxa"/>
            <w:vAlign w:val="bottom"/>
          </w:tcPr>
          <w:p>
            <w:pPr>
              <w:spacing w:after="0"/>
              <w:rPr>
                <w:sz w:val="21"/>
                <w:szCs w:val="21"/>
                <w:color w:val="auto"/>
              </w:rPr>
            </w:pPr>
          </w:p>
        </w:tc>
        <w:tc>
          <w:tcPr>
            <w:tcW w:w="6180" w:type="dxa"/>
            <w:vAlign w:val="bottom"/>
            <w:gridSpan w:val="4"/>
          </w:tcPr>
          <w:p>
            <w:pPr>
              <w:spacing w:after="0"/>
              <w:rPr>
                <w:sz w:val="20"/>
                <w:szCs w:val="20"/>
                <w:color w:val="auto"/>
              </w:rPr>
            </w:pPr>
            <w:r>
              <w:rPr>
                <w:rFonts w:ascii="Arial" w:cs="Arial" w:eastAsia="Arial" w:hAnsi="Arial"/>
                <w:sz w:val="18"/>
                <w:szCs w:val="18"/>
                <w:color w:val="auto"/>
              </w:rPr>
              <w:t>Amortization of initial direct costs of leases</w:t>
            </w:r>
          </w:p>
        </w:tc>
        <w:tc>
          <w:tcPr>
            <w:tcW w:w="260" w:type="dxa"/>
            <w:vAlign w:val="bottom"/>
          </w:tcPr>
          <w:p>
            <w:pPr>
              <w:spacing w:after="0"/>
              <w:rPr>
                <w:sz w:val="21"/>
                <w:szCs w:val="21"/>
                <w:color w:val="auto"/>
              </w:rPr>
            </w:pP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4,780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4,260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14,530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ind w:right="111"/>
              <w:spacing w:after="0"/>
              <w:rPr>
                <w:sz w:val="20"/>
                <w:szCs w:val="20"/>
                <w:color w:val="auto"/>
              </w:rPr>
            </w:pPr>
            <w:r>
              <w:rPr>
                <w:rFonts w:ascii="Arial" w:cs="Arial" w:eastAsia="Arial" w:hAnsi="Arial"/>
                <w:sz w:val="18"/>
                <w:szCs w:val="18"/>
                <w:color w:val="auto"/>
              </w:rPr>
              <w:t>12,729</w:t>
            </w:r>
          </w:p>
        </w:tc>
      </w:tr>
      <w:tr>
        <w:trPr>
          <w:trHeight w:val="27"/>
        </w:trPr>
        <w:tc>
          <w:tcPr>
            <w:tcW w:w="2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6180" w:type="dxa"/>
            <w:vAlign w:val="bottom"/>
            <w:tcBorders>
              <w:bottom w:val="single" w:sz="8" w:color="CCEEFF"/>
            </w:tcBorders>
            <w:gridSpan w:val="4"/>
            <w:shd w:val="clear" w:color="auto" w:fill="CCEEFF"/>
          </w:tcPr>
          <w:p>
            <w:pPr>
              <w:ind w:left="360"/>
              <w:spacing w:after="0"/>
              <w:rPr>
                <w:sz w:val="20"/>
                <w:szCs w:val="20"/>
                <w:color w:val="auto"/>
              </w:rPr>
            </w:pPr>
            <w:r>
              <w:rPr>
                <w:rFonts w:ascii="Arial" w:cs="Arial" w:eastAsia="Arial" w:hAnsi="Arial"/>
                <w:sz w:val="18"/>
                <w:szCs w:val="18"/>
                <w:color w:val="auto"/>
              </w:rPr>
              <w:t>Funds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109,578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101,310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323,241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w w:val="89"/>
              </w:rPr>
              <w:t>300,275</w:t>
            </w:r>
          </w:p>
        </w:tc>
      </w:tr>
      <w:tr>
        <w:trPr>
          <w:trHeight w:val="243"/>
        </w:trPr>
        <w:tc>
          <w:tcPr>
            <w:tcW w:w="20" w:type="dxa"/>
            <w:vAlign w:val="bottom"/>
          </w:tcPr>
          <w:p>
            <w:pPr>
              <w:spacing w:after="0"/>
              <w:rPr>
                <w:sz w:val="21"/>
                <w:szCs w:val="21"/>
                <w:color w:val="auto"/>
              </w:rPr>
            </w:pPr>
          </w:p>
        </w:tc>
        <w:tc>
          <w:tcPr>
            <w:tcW w:w="6180" w:type="dxa"/>
            <w:vAlign w:val="bottom"/>
            <w:gridSpan w:val="4"/>
          </w:tcPr>
          <w:p>
            <w:pPr>
              <w:spacing w:after="0"/>
              <w:rPr>
                <w:sz w:val="20"/>
                <w:szCs w:val="20"/>
                <w:color w:val="auto"/>
              </w:rPr>
            </w:pPr>
            <w:r>
              <w:rPr>
                <w:rFonts w:ascii="Arial" w:cs="Arial" w:eastAsia="Arial" w:hAnsi="Arial"/>
                <w:sz w:val="18"/>
                <w:szCs w:val="18"/>
                <w:color w:val="auto"/>
              </w:rPr>
              <w:t>Dividends on preferred shares (2)</w:t>
            </w:r>
          </w:p>
        </w:tc>
        <w:tc>
          <w:tcPr>
            <w:tcW w:w="260" w:type="dxa"/>
            <w:vAlign w:val="bottom"/>
          </w:tcPr>
          <w:p>
            <w:pPr>
              <w:spacing w:after="0"/>
              <w:rPr>
                <w:sz w:val="21"/>
                <w:szCs w:val="21"/>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ind w:right="51"/>
              <w:spacing w:after="0"/>
              <w:rPr>
                <w:sz w:val="20"/>
                <w:szCs w:val="20"/>
                <w:color w:val="auto"/>
              </w:rPr>
            </w:pPr>
            <w:r>
              <w:rPr>
                <w:rFonts w:ascii="Arial" w:cs="Arial" w:eastAsia="Arial" w:hAnsi="Arial"/>
                <w:sz w:val="18"/>
                <w:szCs w:val="18"/>
                <w:color w:val="auto"/>
              </w:rPr>
              <w:t>(406)</w:t>
            </w: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1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Income attributable to operating partnership units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788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2,355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2,397</w:t>
            </w:r>
          </w:p>
        </w:tc>
      </w:tr>
      <w:tr>
        <w:trPr>
          <w:trHeight w:val="243"/>
        </w:trPr>
        <w:tc>
          <w:tcPr>
            <w:tcW w:w="20" w:type="dxa"/>
            <w:vAlign w:val="bottom"/>
          </w:tcPr>
          <w:p>
            <w:pPr>
              <w:spacing w:after="0"/>
              <w:rPr>
                <w:sz w:val="21"/>
                <w:szCs w:val="21"/>
                <w:color w:val="auto"/>
              </w:rPr>
            </w:pPr>
          </w:p>
        </w:tc>
        <w:tc>
          <w:tcPr>
            <w:tcW w:w="6180" w:type="dxa"/>
            <w:vAlign w:val="bottom"/>
            <w:gridSpan w:val="4"/>
          </w:tcPr>
          <w:p>
            <w:pPr>
              <w:spacing w:after="0"/>
              <w:rPr>
                <w:sz w:val="20"/>
                <w:szCs w:val="20"/>
                <w:color w:val="auto"/>
              </w:rPr>
            </w:pPr>
            <w:r>
              <w:rPr>
                <w:rFonts w:ascii="Arial" w:cs="Arial" w:eastAsia="Arial" w:hAnsi="Arial"/>
                <w:sz w:val="18"/>
                <w:szCs w:val="18"/>
                <w:color w:val="auto"/>
              </w:rPr>
              <w:t>Income attributable to unvested shares</w:t>
            </w:r>
          </w:p>
        </w:tc>
        <w:tc>
          <w:tcPr>
            <w:tcW w:w="260" w:type="dxa"/>
            <w:vAlign w:val="bottom"/>
          </w:tcPr>
          <w:p>
            <w:pPr>
              <w:spacing w:after="0"/>
              <w:rPr>
                <w:sz w:val="21"/>
                <w:szCs w:val="21"/>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(357)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(1,064)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ind w:right="51"/>
              <w:spacing w:after="0"/>
              <w:rPr>
                <w:sz w:val="20"/>
                <w:szCs w:val="20"/>
                <w:color w:val="auto"/>
              </w:rPr>
            </w:pPr>
            <w:r>
              <w:rPr>
                <w:rFonts w:ascii="Arial" w:cs="Arial" w:eastAsia="Arial" w:hAnsi="Arial"/>
                <w:sz w:val="18"/>
                <w:szCs w:val="18"/>
                <w:color w:val="auto"/>
              </w:rPr>
              <w:t>(826)</w:t>
            </w:r>
          </w:p>
        </w:tc>
      </w:tr>
      <w:tr>
        <w:trPr>
          <w:trHeight w:val="27"/>
        </w:trPr>
        <w:tc>
          <w:tcPr>
            <w:tcW w:w="2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6180" w:type="dxa"/>
            <w:vAlign w:val="bottom"/>
            <w:tcBorders>
              <w:bottom w:val="single" w:sz="8" w:color="CCEEFF"/>
            </w:tcBorders>
            <w:gridSpan w:val="4"/>
            <w:shd w:val="clear" w:color="auto" w:fill="CCEEFF"/>
          </w:tcPr>
          <w:p>
            <w:pPr>
              <w:ind w:left="360"/>
              <w:spacing w:after="0"/>
              <w:rPr>
                <w:sz w:val="20"/>
                <w:szCs w:val="20"/>
                <w:color w:val="auto"/>
              </w:rPr>
            </w:pPr>
            <w:r>
              <w:rPr>
                <w:rFonts w:ascii="Arial" w:cs="Arial" w:eastAsia="Arial" w:hAnsi="Arial"/>
                <w:sz w:val="18"/>
                <w:szCs w:val="18"/>
                <w:color w:val="auto"/>
              </w:rPr>
              <w:t>FFO</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109,968</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101,661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324,491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89"/>
              </w:rPr>
              <w:t>301,440</w:t>
            </w: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91"/>
        </w:trPr>
        <w:tc>
          <w:tcPr>
            <w:tcW w:w="20" w:type="dxa"/>
            <w:vAlign w:val="bottom"/>
            <w:tcBorders>
              <w:bottom w:val="single" w:sz="8" w:color="CCEEFF"/>
            </w:tcBorders>
          </w:tcPr>
          <w:p>
            <w:pPr>
              <w:spacing w:after="0"/>
              <w:rPr>
                <w:sz w:val="24"/>
                <w:szCs w:val="24"/>
                <w:color w:val="auto"/>
              </w:rPr>
            </w:pPr>
          </w:p>
        </w:tc>
        <w:tc>
          <w:tcPr>
            <w:tcW w:w="618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Weighted average number of common shares, diluted</w:t>
            </w: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73,089</w:t>
            </w: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72,254</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73,001</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71,642</w:t>
            </w:r>
          </w:p>
        </w:tc>
      </w:tr>
      <w:tr>
        <w:trPr>
          <w:trHeight w:val="251"/>
        </w:trPr>
        <w:tc>
          <w:tcPr>
            <w:tcW w:w="20" w:type="dxa"/>
            <w:vAlign w:val="bottom"/>
            <w:tcBorders>
              <w:bottom w:val="single" w:sz="8" w:color="CCEEFF"/>
            </w:tcBorders>
            <w:shd w:val="clear" w:color="auto" w:fill="CCEEFF"/>
          </w:tcPr>
          <w:p>
            <w:pPr>
              <w:spacing w:after="0"/>
              <w:rPr>
                <w:sz w:val="21"/>
                <w:szCs w:val="21"/>
                <w:color w:val="auto"/>
              </w:rPr>
            </w:pPr>
          </w:p>
        </w:tc>
        <w:tc>
          <w:tcPr>
            <w:tcW w:w="61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FFO per diluted share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4.45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4.21</w:t>
            </w: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71"/>
        </w:trPr>
        <w:tc>
          <w:tcPr>
            <w:tcW w:w="2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03"/>
        </w:trPr>
        <w:tc>
          <w:tcPr>
            <w:tcW w:w="20" w:type="dxa"/>
            <w:vAlign w:val="bottom"/>
            <w:shd w:val="clear" w:color="auto" w:fill="CCEEFF"/>
          </w:tcPr>
          <w:p>
            <w:pPr>
              <w:spacing w:after="0"/>
              <w:rPr>
                <w:sz w:val="17"/>
                <w:szCs w:val="17"/>
                <w:color w:val="auto"/>
              </w:rPr>
            </w:pPr>
          </w:p>
        </w:tc>
        <w:tc>
          <w:tcPr>
            <w:tcW w:w="618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Summary of Capital Expenditures</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210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254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r>
      <w:tr>
        <w:trPr>
          <w:trHeight w:val="243"/>
        </w:trPr>
        <w:tc>
          <w:tcPr>
            <w:tcW w:w="20" w:type="dxa"/>
            <w:vAlign w:val="bottom"/>
          </w:tcPr>
          <w:p>
            <w:pPr>
              <w:spacing w:after="0"/>
              <w:rPr>
                <w:sz w:val="21"/>
                <w:szCs w:val="21"/>
                <w:color w:val="auto"/>
              </w:rPr>
            </w:pPr>
          </w:p>
        </w:tc>
        <w:tc>
          <w:tcPr>
            <w:tcW w:w="6180" w:type="dxa"/>
            <w:vAlign w:val="bottom"/>
            <w:gridSpan w:val="4"/>
          </w:tcPr>
          <w:p>
            <w:pPr>
              <w:spacing w:after="0"/>
              <w:rPr>
                <w:sz w:val="20"/>
                <w:szCs w:val="20"/>
                <w:color w:val="auto"/>
              </w:rPr>
            </w:pPr>
            <w:r>
              <w:rPr>
                <w:rFonts w:ascii="Arial" w:cs="Arial" w:eastAsia="Arial" w:hAnsi="Arial"/>
                <w:sz w:val="18"/>
                <w:szCs w:val="18"/>
                <w:color w:val="auto"/>
              </w:rPr>
              <w:t>Non-maintenance capital expenditures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180" w:type="dxa"/>
            <w:vAlign w:val="bottom"/>
            <w:tcBorders>
              <w:bottom w:val="single" w:sz="8" w:color="CCEEFF"/>
            </w:tcBorders>
            <w:gridSpan w:val="4"/>
            <w:shd w:val="clear" w:color="auto" w:fill="CCEEFF"/>
          </w:tcPr>
          <w:p>
            <w:pPr>
              <w:ind w:left="360"/>
              <w:spacing w:after="0"/>
              <w:rPr>
                <w:sz w:val="20"/>
                <w:szCs w:val="20"/>
                <w:color w:val="auto"/>
              </w:rPr>
            </w:pPr>
            <w:r>
              <w:rPr>
                <w:rFonts w:ascii="Arial" w:cs="Arial" w:eastAsia="Arial" w:hAnsi="Arial"/>
                <w:sz w:val="18"/>
                <w:szCs w:val="18"/>
                <w:color w:val="auto"/>
              </w:rPr>
              <w:t>Development, redevelopment and expansions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110,861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130,312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326,508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w w:val="89"/>
              </w:rPr>
              <w:t>295,533</w:t>
            </w:r>
          </w:p>
        </w:tc>
      </w:tr>
      <w:tr>
        <w:trPr>
          <w:trHeight w:val="243"/>
        </w:trPr>
        <w:tc>
          <w:tcPr>
            <w:tcW w:w="20" w:type="dxa"/>
            <w:vAlign w:val="bottom"/>
          </w:tcPr>
          <w:p>
            <w:pPr>
              <w:spacing w:after="0"/>
              <w:rPr>
                <w:sz w:val="21"/>
                <w:szCs w:val="21"/>
                <w:color w:val="auto"/>
              </w:rPr>
            </w:pPr>
          </w:p>
        </w:tc>
        <w:tc>
          <w:tcPr>
            <w:tcW w:w="6180" w:type="dxa"/>
            <w:vAlign w:val="bottom"/>
            <w:gridSpan w:val="4"/>
          </w:tcPr>
          <w:p>
            <w:pPr>
              <w:ind w:left="360"/>
              <w:spacing w:after="0"/>
              <w:rPr>
                <w:sz w:val="20"/>
                <w:szCs w:val="20"/>
                <w:color w:val="auto"/>
              </w:rPr>
            </w:pPr>
            <w:r>
              <w:rPr>
                <w:rFonts w:ascii="Arial" w:cs="Arial" w:eastAsia="Arial" w:hAnsi="Arial"/>
                <w:sz w:val="18"/>
                <w:szCs w:val="18"/>
                <w:color w:val="auto"/>
              </w:rPr>
              <w:t>Tenant improvements and incentives</w:t>
            </w:r>
          </w:p>
        </w:tc>
        <w:tc>
          <w:tcPr>
            <w:tcW w:w="260" w:type="dxa"/>
            <w:vAlign w:val="bottom"/>
          </w:tcPr>
          <w:p>
            <w:pPr>
              <w:spacing w:after="0"/>
              <w:rPr>
                <w:sz w:val="21"/>
                <w:szCs w:val="21"/>
                <w:color w:val="auto"/>
              </w:rPr>
            </w:pP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9,482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8,976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31,219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ind w:right="111"/>
              <w:spacing w:after="0"/>
              <w:rPr>
                <w:sz w:val="20"/>
                <w:szCs w:val="20"/>
                <w:color w:val="auto"/>
              </w:rPr>
            </w:pPr>
            <w:r>
              <w:rPr>
                <w:rFonts w:ascii="Arial" w:cs="Arial" w:eastAsia="Arial" w:hAnsi="Arial"/>
                <w:sz w:val="18"/>
                <w:szCs w:val="18"/>
                <w:color w:val="auto"/>
              </w:rPr>
              <w:t>24,404</w:t>
            </w:r>
          </w:p>
        </w:tc>
      </w:tr>
      <w:tr>
        <w:trPr>
          <w:trHeight w:val="27"/>
        </w:trPr>
        <w:tc>
          <w:tcPr>
            <w:tcW w:w="2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61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Total non-maintenance capital expenditures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120,343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139,288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357,727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w w:val="89"/>
              </w:rPr>
              <w:t>319,937</w:t>
            </w:r>
          </w:p>
        </w:tc>
      </w:tr>
      <w:tr>
        <w:trPr>
          <w:trHeight w:val="243"/>
        </w:trPr>
        <w:tc>
          <w:tcPr>
            <w:tcW w:w="20" w:type="dxa"/>
            <w:vAlign w:val="bottom"/>
          </w:tcPr>
          <w:p>
            <w:pPr>
              <w:spacing w:after="0"/>
              <w:rPr>
                <w:sz w:val="21"/>
                <w:szCs w:val="21"/>
                <w:color w:val="auto"/>
              </w:rPr>
            </w:pPr>
          </w:p>
        </w:tc>
        <w:tc>
          <w:tcPr>
            <w:tcW w:w="6180" w:type="dxa"/>
            <w:vAlign w:val="bottom"/>
            <w:gridSpan w:val="4"/>
          </w:tcPr>
          <w:p>
            <w:pPr>
              <w:ind w:left="360"/>
              <w:spacing w:after="0"/>
              <w:rPr>
                <w:sz w:val="20"/>
                <w:szCs w:val="20"/>
                <w:color w:val="auto"/>
              </w:rPr>
            </w:pPr>
            <w:r>
              <w:rPr>
                <w:rFonts w:ascii="Arial" w:cs="Arial" w:eastAsia="Arial" w:hAnsi="Arial"/>
                <w:sz w:val="18"/>
                <w:szCs w:val="18"/>
                <w:color w:val="auto"/>
              </w:rPr>
              <w:t>Maintenance capital expenditures</w:t>
            </w:r>
          </w:p>
        </w:tc>
        <w:tc>
          <w:tcPr>
            <w:tcW w:w="260" w:type="dxa"/>
            <w:vAlign w:val="bottom"/>
          </w:tcPr>
          <w:p>
            <w:pPr>
              <w:spacing w:after="0"/>
              <w:rPr>
                <w:sz w:val="21"/>
                <w:szCs w:val="21"/>
                <w:color w:val="auto"/>
              </w:rPr>
            </w:pP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8,021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8,949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17,919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ind w:right="111"/>
              <w:spacing w:after="0"/>
              <w:rPr>
                <w:sz w:val="20"/>
                <w:szCs w:val="20"/>
                <w:color w:val="auto"/>
              </w:rPr>
            </w:pPr>
            <w:r>
              <w:rPr>
                <w:rFonts w:ascii="Arial" w:cs="Arial" w:eastAsia="Arial" w:hAnsi="Arial"/>
                <w:sz w:val="18"/>
                <w:szCs w:val="18"/>
                <w:color w:val="auto"/>
              </w:rPr>
              <w:t>16,130</w:t>
            </w:r>
          </w:p>
        </w:tc>
      </w:tr>
      <w:tr>
        <w:trPr>
          <w:trHeight w:val="27"/>
        </w:trPr>
        <w:tc>
          <w:tcPr>
            <w:tcW w:w="2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61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Total capital expenditures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128,364</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148,237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375,646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89"/>
              </w:rPr>
              <w:t>336,067</w:t>
            </w: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71"/>
        </w:trPr>
        <w:tc>
          <w:tcPr>
            <w:tcW w:w="2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03"/>
        </w:trPr>
        <w:tc>
          <w:tcPr>
            <w:tcW w:w="20" w:type="dxa"/>
            <w:vAlign w:val="bottom"/>
            <w:shd w:val="clear" w:color="auto" w:fill="CCEEFF"/>
          </w:tcPr>
          <w:p>
            <w:pPr>
              <w:spacing w:after="0"/>
              <w:rPr>
                <w:sz w:val="17"/>
                <w:szCs w:val="17"/>
                <w:color w:val="auto"/>
              </w:rPr>
            </w:pPr>
          </w:p>
        </w:tc>
        <w:tc>
          <w:tcPr>
            <w:tcW w:w="618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Dividends and Payout Ratios</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210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54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r>
      <w:tr>
        <w:trPr>
          <w:trHeight w:val="243"/>
        </w:trPr>
        <w:tc>
          <w:tcPr>
            <w:tcW w:w="20" w:type="dxa"/>
            <w:vAlign w:val="bottom"/>
          </w:tcPr>
          <w:p>
            <w:pPr>
              <w:spacing w:after="0"/>
              <w:rPr>
                <w:sz w:val="21"/>
                <w:szCs w:val="21"/>
                <w:color w:val="auto"/>
              </w:rPr>
            </w:pPr>
          </w:p>
        </w:tc>
        <w:tc>
          <w:tcPr>
            <w:tcW w:w="6180" w:type="dxa"/>
            <w:vAlign w:val="bottom"/>
            <w:gridSpan w:val="4"/>
          </w:tcPr>
          <w:p>
            <w:pPr>
              <w:spacing w:after="0"/>
              <w:rPr>
                <w:sz w:val="20"/>
                <w:szCs w:val="20"/>
                <w:color w:val="auto"/>
              </w:rPr>
            </w:pPr>
            <w:r>
              <w:rPr>
                <w:rFonts w:ascii="Arial" w:cs="Arial" w:eastAsia="Arial" w:hAnsi="Arial"/>
                <w:sz w:val="18"/>
                <w:szCs w:val="18"/>
                <w:color w:val="auto"/>
              </w:rPr>
              <w:t>Regular common dividends declared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72,503</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70,301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213,954</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1"/>
              <w:spacing w:after="0"/>
              <w:rPr>
                <w:sz w:val="20"/>
                <w:szCs w:val="20"/>
                <w:color w:val="auto"/>
              </w:rPr>
            </w:pPr>
            <w:r>
              <w:rPr>
                <w:rFonts w:ascii="Arial" w:cs="Arial" w:eastAsia="Arial" w:hAnsi="Arial"/>
                <w:sz w:val="18"/>
                <w:szCs w:val="18"/>
                <w:color w:val="auto"/>
                <w:w w:val="89"/>
              </w:rPr>
              <w:t>203,890</w:t>
            </w: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84"/>
        </w:trPr>
        <w:tc>
          <w:tcPr>
            <w:tcW w:w="20" w:type="dxa"/>
            <w:vAlign w:val="bottom"/>
            <w:shd w:val="clear" w:color="auto" w:fill="CCEEFF"/>
          </w:tcPr>
          <w:p>
            <w:pPr>
              <w:spacing w:after="0"/>
              <w:rPr>
                <w:sz w:val="24"/>
                <w:szCs w:val="24"/>
                <w:color w:val="auto"/>
              </w:rPr>
            </w:pPr>
          </w:p>
        </w:tc>
        <w:tc>
          <w:tcPr>
            <w:tcW w:w="2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25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6180" w:type="dxa"/>
            <w:vAlign w:val="bottom"/>
            <w:gridSpan w:val="4"/>
          </w:tcPr>
          <w:p>
            <w:pPr>
              <w:spacing w:after="0"/>
              <w:rPr>
                <w:sz w:val="20"/>
                <w:szCs w:val="20"/>
                <w:color w:val="auto"/>
              </w:rPr>
            </w:pPr>
            <w:r>
              <w:rPr>
                <w:rFonts w:ascii="Arial" w:cs="Arial" w:eastAsia="Arial" w:hAnsi="Arial"/>
                <w:sz w:val="18"/>
                <w:szCs w:val="18"/>
                <w:color w:val="auto"/>
              </w:rPr>
              <w:t>Dividend payout ratio as a percentage of FFO</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23"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See Glossary of Terms.</w:t>
      </w:r>
    </w:p>
    <w:p>
      <w:pPr>
        <w:spacing w:after="0" w:line="9" w:lineRule="exact"/>
        <w:rPr>
          <w:rFonts w:ascii="Arial" w:cs="Arial" w:eastAsia="Arial" w:hAnsi="Arial"/>
          <w:sz w:val="18"/>
          <w:szCs w:val="18"/>
          <w:color w:val="auto"/>
        </w:rPr>
      </w:pPr>
    </w:p>
    <w:p>
      <w:pPr>
        <w:ind w:left="660" w:hanging="652"/>
        <w:spacing w:after="0" w:line="261"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the three and nine months ended September 30, 2017, dividends on our Series 1 preferred stock are not deducted in the calculation of FFO, as the related shares are dilutive and included in "weighted average common shares, diluted."</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742" w:right="239" w:bottom="1440" w:gutter="0" w:footer="0" w:header="0"/>
        </w:sectPr>
      </w:pPr>
    </w:p>
    <w:bookmarkStart w:id="12" w:name="page13"/>
    <w:bookmarkEnd w:id="12"/>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Market Data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September 30, 2017</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tcBorders>
              <w:bottom w:val="single" w:sz="8" w:color="auto"/>
            </w:tcBorders>
          </w:tcPr>
          <w:p>
            <w:pPr>
              <w:spacing w:after="0"/>
              <w:rPr>
                <w:sz w:val="16"/>
                <w:szCs w:val="16"/>
                <w:color w:val="auto"/>
              </w:rPr>
            </w:pPr>
          </w:p>
        </w:tc>
      </w:tr>
      <w:tr>
        <w:trPr>
          <w:trHeight w:val="264"/>
        </w:trPr>
        <w:tc>
          <w:tcPr>
            <w:tcW w:w="84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2016</w:t>
            </w:r>
          </w:p>
        </w:tc>
      </w:tr>
      <w:tr>
        <w:trPr>
          <w:trHeight w:val="250"/>
        </w:trPr>
        <w:tc>
          <w:tcPr>
            <w:tcW w:w="8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740" w:type="dxa"/>
            <w:vAlign w:val="bottom"/>
            <w:gridSpan w:val="4"/>
          </w:tcPr>
          <w:p>
            <w:pPr>
              <w:jc w:val="right"/>
              <w:ind w:right="272"/>
              <w:spacing w:after="0"/>
              <w:rPr>
                <w:sz w:val="20"/>
                <w:szCs w:val="20"/>
                <w:color w:val="auto"/>
              </w:rPr>
            </w:pPr>
            <w:r>
              <w:rPr>
                <w:rFonts w:ascii="Arial" w:cs="Arial" w:eastAsia="Arial" w:hAnsi="Arial"/>
                <w:sz w:val="14"/>
                <w:szCs w:val="14"/>
                <w:b w:val="1"/>
                <w:bCs w:val="1"/>
                <w:color w:val="auto"/>
                <w:w w:val="95"/>
              </w:rPr>
              <w:t>(in thousands, except per share data)</w:t>
            </w:r>
          </w:p>
        </w:tc>
      </w:tr>
      <w:tr>
        <w:trPr>
          <w:trHeight w:val="256"/>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 Data</w:t>
            </w: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r>
      <w:tr>
        <w:trPr>
          <w:trHeight w:val="243"/>
        </w:trPr>
        <w:tc>
          <w:tcPr>
            <w:tcW w:w="8420" w:type="dxa"/>
            <w:vAlign w:val="bottom"/>
          </w:tcPr>
          <w:p>
            <w:pPr>
              <w:ind w:left="360"/>
              <w:spacing w:after="0"/>
              <w:rPr>
                <w:sz w:val="20"/>
                <w:szCs w:val="20"/>
                <w:color w:val="auto"/>
              </w:rPr>
            </w:pPr>
            <w:r>
              <w:rPr>
                <w:rFonts w:ascii="Arial" w:cs="Arial" w:eastAsia="Arial" w:hAnsi="Arial"/>
                <w:sz w:val="18"/>
                <w:szCs w:val="18"/>
                <w:color w:val="auto"/>
              </w:rPr>
              <w:t>Common shares outstanding and operating partnership units (1)</w:t>
            </w:r>
          </w:p>
        </w:tc>
        <w:tc>
          <w:tcPr>
            <w:tcW w:w="260" w:type="dxa"/>
            <w:vAlign w:val="bottom"/>
          </w:tcPr>
          <w:p>
            <w:pPr>
              <w:spacing w:after="0"/>
              <w:rPr>
                <w:sz w:val="21"/>
                <w:szCs w:val="21"/>
                <w:color w:val="auto"/>
              </w:rPr>
            </w:pP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73,331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72,547</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4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Market price per common share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124.21</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153.93</w:t>
            </w:r>
          </w:p>
        </w:tc>
      </w:tr>
      <w:tr>
        <w:trPr>
          <w:trHeight w:val="237"/>
        </w:trPr>
        <w:tc>
          <w:tcPr>
            <w:tcW w:w="8420" w:type="dxa"/>
            <w:vAlign w:val="bottom"/>
          </w:tcPr>
          <w:p>
            <w:pPr>
              <w:ind w:left="720"/>
              <w:spacing w:after="0"/>
              <w:rPr>
                <w:sz w:val="20"/>
                <w:szCs w:val="20"/>
                <w:color w:val="auto"/>
              </w:rPr>
            </w:pPr>
            <w:r>
              <w:rPr>
                <w:rFonts w:ascii="Arial" w:cs="Arial" w:eastAsia="Arial" w:hAnsi="Arial"/>
                <w:sz w:val="18"/>
                <w:szCs w:val="18"/>
                <w:color w:val="auto"/>
              </w:rPr>
              <w:t>Common equity market capitalization including operating partnership units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9,108,444</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w w:val="90"/>
              </w:rPr>
              <w:t>11,167,160</w:t>
            </w:r>
          </w:p>
        </w:tc>
      </w:tr>
      <w:tr>
        <w:trPr>
          <w:trHeight w:val="27"/>
        </w:trPr>
        <w:tc>
          <w:tcPr>
            <w:tcW w:w="8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77"/>
        </w:trPr>
        <w:tc>
          <w:tcPr>
            <w:tcW w:w="84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43"/>
        </w:trPr>
        <w:tc>
          <w:tcPr>
            <w:tcW w:w="8420" w:type="dxa"/>
            <w:vAlign w:val="bottom"/>
          </w:tcPr>
          <w:p>
            <w:pPr>
              <w:ind w:left="360"/>
              <w:spacing w:after="0"/>
              <w:rPr>
                <w:sz w:val="20"/>
                <w:szCs w:val="20"/>
                <w:color w:val="auto"/>
              </w:rPr>
            </w:pPr>
            <w:r>
              <w:rPr>
                <w:rFonts w:ascii="Arial" w:cs="Arial" w:eastAsia="Arial" w:hAnsi="Arial"/>
                <w:sz w:val="18"/>
                <w:szCs w:val="18"/>
                <w:color w:val="auto"/>
              </w:rPr>
              <w:t>Series C preferred shares outstanding</w:t>
            </w:r>
          </w:p>
        </w:tc>
        <w:tc>
          <w:tcPr>
            <w:tcW w:w="260" w:type="dxa"/>
            <w:vAlign w:val="bottom"/>
          </w:tcPr>
          <w:p>
            <w:pPr>
              <w:spacing w:after="0"/>
              <w:rPr>
                <w:sz w:val="21"/>
                <w:szCs w:val="21"/>
                <w:color w:val="auto"/>
              </w:rPr>
            </w:pP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4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Liquidation price per Series C preferred share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25,000.00</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r>
      <w:tr>
        <w:trPr>
          <w:trHeight w:val="237"/>
        </w:trPr>
        <w:tc>
          <w:tcPr>
            <w:tcW w:w="8420" w:type="dxa"/>
            <w:vAlign w:val="bottom"/>
          </w:tcPr>
          <w:p>
            <w:pPr>
              <w:ind w:left="720"/>
              <w:spacing w:after="0"/>
              <w:rPr>
                <w:sz w:val="20"/>
                <w:szCs w:val="20"/>
                <w:color w:val="auto"/>
              </w:rPr>
            </w:pPr>
            <w:r>
              <w:rPr>
                <w:rFonts w:ascii="Arial" w:cs="Arial" w:eastAsia="Arial" w:hAnsi="Arial"/>
                <w:sz w:val="18"/>
                <w:szCs w:val="18"/>
                <w:color w:val="auto"/>
              </w:rPr>
              <w:t>Series C preferred equity market capitalization</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150,000</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w:t>
            </w:r>
          </w:p>
        </w:tc>
      </w:tr>
      <w:tr>
        <w:trPr>
          <w:trHeight w:val="27"/>
        </w:trPr>
        <w:tc>
          <w:tcPr>
            <w:tcW w:w="8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77"/>
        </w:trPr>
        <w:tc>
          <w:tcPr>
            <w:tcW w:w="84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43"/>
        </w:trPr>
        <w:tc>
          <w:tcPr>
            <w:tcW w:w="8420" w:type="dxa"/>
            <w:vAlign w:val="bottom"/>
          </w:tcPr>
          <w:p>
            <w:pPr>
              <w:ind w:left="360"/>
              <w:spacing w:after="0"/>
              <w:rPr>
                <w:sz w:val="20"/>
                <w:szCs w:val="20"/>
                <w:color w:val="auto"/>
              </w:rPr>
            </w:pPr>
            <w:r>
              <w:rPr>
                <w:rFonts w:ascii="Arial" w:cs="Arial" w:eastAsia="Arial" w:hAnsi="Arial"/>
                <w:sz w:val="18"/>
                <w:szCs w:val="18"/>
                <w:color w:val="auto"/>
              </w:rPr>
              <w:t>Series 1 preferred shares outstanding (2)</w:t>
            </w:r>
          </w:p>
        </w:tc>
        <w:tc>
          <w:tcPr>
            <w:tcW w:w="260" w:type="dxa"/>
            <w:vAlign w:val="bottom"/>
          </w:tcPr>
          <w:p>
            <w:pPr>
              <w:spacing w:after="0"/>
              <w:rPr>
                <w:sz w:val="21"/>
                <w:szCs w:val="21"/>
                <w:color w:val="auto"/>
              </w:rPr>
            </w:pP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400</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4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Liquidation price per Series 1 preferred share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25.00</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25.00</w:t>
            </w:r>
          </w:p>
        </w:tc>
      </w:tr>
      <w:tr>
        <w:trPr>
          <w:trHeight w:val="237"/>
        </w:trPr>
        <w:tc>
          <w:tcPr>
            <w:tcW w:w="8420" w:type="dxa"/>
            <w:vAlign w:val="bottom"/>
          </w:tcPr>
          <w:p>
            <w:pPr>
              <w:ind w:left="720"/>
              <w:spacing w:after="0"/>
              <w:rPr>
                <w:sz w:val="20"/>
                <w:szCs w:val="20"/>
                <w:color w:val="auto"/>
              </w:rPr>
            </w:pPr>
            <w:r>
              <w:rPr>
                <w:rFonts w:ascii="Arial" w:cs="Arial" w:eastAsia="Arial" w:hAnsi="Arial"/>
                <w:sz w:val="18"/>
                <w:szCs w:val="18"/>
                <w:color w:val="auto"/>
              </w:rPr>
              <w:t>Series 1 preferred equity market capitalization</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10,000</w:t>
            </w:r>
          </w:p>
        </w:tc>
      </w:tr>
      <w:tr>
        <w:trPr>
          <w:trHeight w:val="27"/>
        </w:trPr>
        <w:tc>
          <w:tcPr>
            <w:tcW w:w="8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77"/>
        </w:trPr>
        <w:tc>
          <w:tcPr>
            <w:tcW w:w="84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43"/>
        </w:trPr>
        <w:tc>
          <w:tcPr>
            <w:tcW w:w="8420" w:type="dxa"/>
            <w:vAlign w:val="bottom"/>
          </w:tcPr>
          <w:p>
            <w:pPr>
              <w:ind w:left="360"/>
              <w:spacing w:after="0"/>
              <w:rPr>
                <w:sz w:val="20"/>
                <w:szCs w:val="20"/>
                <w:color w:val="auto"/>
              </w:rPr>
            </w:pPr>
            <w:r>
              <w:rPr>
                <w:rFonts w:ascii="Arial" w:cs="Arial" w:eastAsia="Arial" w:hAnsi="Arial"/>
                <w:sz w:val="18"/>
                <w:szCs w:val="18"/>
                <w:color w:val="auto"/>
              </w:rPr>
              <w:t>Equity market capitalization</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9,268,444</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2"/>
              <w:spacing w:after="0"/>
              <w:rPr>
                <w:sz w:val="20"/>
                <w:szCs w:val="20"/>
                <w:color w:val="auto"/>
              </w:rPr>
            </w:pPr>
            <w:r>
              <w:rPr>
                <w:rFonts w:ascii="Arial" w:cs="Arial" w:eastAsia="Arial" w:hAnsi="Arial"/>
                <w:sz w:val="18"/>
                <w:szCs w:val="18"/>
                <w:color w:val="auto"/>
                <w:w w:val="90"/>
              </w:rPr>
              <w:t>11,177,160</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84"/>
        </w:trPr>
        <w:tc>
          <w:tcPr>
            <w:tcW w:w="84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43"/>
        </w:trPr>
        <w:tc>
          <w:tcPr>
            <w:tcW w:w="8420" w:type="dxa"/>
            <w:vAlign w:val="bottom"/>
          </w:tcPr>
          <w:p>
            <w:pPr>
              <w:ind w:left="360"/>
              <w:spacing w:after="0"/>
              <w:rPr>
                <w:sz w:val="20"/>
                <w:szCs w:val="20"/>
                <w:color w:val="auto"/>
              </w:rPr>
            </w:pPr>
            <w:r>
              <w:rPr>
                <w:rFonts w:ascii="Arial" w:cs="Arial" w:eastAsia="Arial" w:hAnsi="Arial"/>
                <w:sz w:val="18"/>
                <w:szCs w:val="18"/>
                <w:color w:val="auto"/>
              </w:rPr>
              <w:t>Total debt (3)</w:t>
            </w:r>
          </w:p>
        </w:tc>
        <w:tc>
          <w:tcPr>
            <w:tcW w:w="260" w:type="dxa"/>
            <w:vAlign w:val="bottom"/>
          </w:tcPr>
          <w:p>
            <w:pPr>
              <w:spacing w:after="0"/>
              <w:rPr>
                <w:sz w:val="21"/>
                <w:szCs w:val="21"/>
                <w:color w:val="auto"/>
              </w:rPr>
            </w:pP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3,263,462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2,809,564</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84"/>
        </w:trPr>
        <w:tc>
          <w:tcPr>
            <w:tcW w:w="84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spacing w:after="0"/>
              <w:rPr>
                <w:sz w:val="24"/>
                <w:szCs w:val="24"/>
                <w:color w:val="auto"/>
              </w:rPr>
            </w:pPr>
          </w:p>
        </w:tc>
      </w:tr>
      <w:tr>
        <w:trPr>
          <w:trHeight w:val="297"/>
        </w:trPr>
        <w:tc>
          <w:tcPr>
            <w:tcW w:w="84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market capitalization</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12,531,906</w:t>
            </w: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0"/>
              </w:rPr>
              <w:t>13,986,724</w:t>
            </w:r>
          </w:p>
        </w:tc>
      </w:tr>
      <w:tr>
        <w:trPr>
          <w:trHeight w:val="271"/>
        </w:trPr>
        <w:tc>
          <w:tcPr>
            <w:tcW w:w="84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43"/>
        </w:trPr>
        <w:tc>
          <w:tcPr>
            <w:tcW w:w="8420" w:type="dxa"/>
            <w:vAlign w:val="bottom"/>
          </w:tcPr>
          <w:p>
            <w:pPr>
              <w:ind w:left="360"/>
              <w:spacing w:after="0"/>
              <w:rPr>
                <w:sz w:val="20"/>
                <w:szCs w:val="20"/>
                <w:color w:val="auto"/>
              </w:rPr>
            </w:pPr>
            <w:r>
              <w:rPr>
                <w:rFonts w:ascii="Arial" w:cs="Arial" w:eastAsia="Arial" w:hAnsi="Arial"/>
                <w:sz w:val="18"/>
                <w:szCs w:val="18"/>
                <w:color w:val="auto"/>
              </w:rPr>
              <w:t>Total debt to market capitalization at market price per common share</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84"/>
        </w:trPr>
        <w:tc>
          <w:tcPr>
            <w:tcW w:w="84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43"/>
        </w:trPr>
        <w:tc>
          <w:tcPr>
            <w:tcW w:w="8420" w:type="dxa"/>
            <w:vAlign w:val="bottom"/>
          </w:tcPr>
          <w:p>
            <w:pPr>
              <w:ind w:left="360"/>
              <w:spacing w:after="0"/>
              <w:rPr>
                <w:sz w:val="20"/>
                <w:szCs w:val="20"/>
                <w:color w:val="auto"/>
              </w:rPr>
            </w:pPr>
            <w:r>
              <w:rPr>
                <w:rFonts w:ascii="Arial" w:cs="Arial" w:eastAsia="Arial" w:hAnsi="Arial"/>
                <w:sz w:val="18"/>
                <w:szCs w:val="18"/>
                <w:color w:val="auto"/>
              </w:rPr>
              <w:t>Fixed rate debt ratio:</w:t>
            </w: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Fixed rate debt and capital lease obligations (4)</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8420" w:type="dxa"/>
            <w:vAlign w:val="bottom"/>
          </w:tcPr>
          <w:p>
            <w:pPr>
              <w:ind w:left="720"/>
              <w:spacing w:after="0"/>
              <w:rPr>
                <w:sz w:val="20"/>
                <w:szCs w:val="20"/>
                <w:color w:val="auto"/>
              </w:rPr>
            </w:pPr>
            <w:r>
              <w:rPr>
                <w:rFonts w:ascii="Arial" w:cs="Arial" w:eastAsia="Arial" w:hAnsi="Arial"/>
                <w:sz w:val="18"/>
                <w:szCs w:val="18"/>
                <w:color w:val="auto"/>
              </w:rPr>
              <w:t>Variable rate debt</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92"/>
              <w:spacing w:after="0"/>
              <w:rPr>
                <w:sz w:val="20"/>
                <w:szCs w:val="20"/>
                <w:color w:val="auto"/>
              </w:rPr>
            </w:pPr>
            <w:r>
              <w:rPr>
                <w:rFonts w:ascii="Arial" w:cs="Arial" w:eastAsia="Arial" w:hAnsi="Arial"/>
                <w:sz w:val="16"/>
                <w:szCs w:val="16"/>
                <w:color w:val="auto"/>
              </w:rPr>
              <w:t>&lt;1%</w:t>
            </w:r>
          </w:p>
        </w:tc>
      </w:tr>
      <w:tr>
        <w:trPr>
          <w:trHeight w:val="27"/>
        </w:trPr>
        <w:tc>
          <w:tcPr>
            <w:tcW w:w="8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84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6"/>
          <w:szCs w:val="16"/>
          <w:u w:val="single" w:color="auto"/>
          <w:color w:val="auto"/>
        </w:rPr>
        <w:t>Notes:</w:t>
      </w:r>
    </w:p>
    <w:p>
      <w:pPr>
        <w:spacing w:after="0" w:line="49"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Amounts include 787,962 and 763,797 operating partnership units outstanding at September 30, 2017 and 2016, respectively.</w:t>
      </w:r>
    </w:p>
    <w:p>
      <w:pPr>
        <w:spacing w:after="0" w:line="59" w:lineRule="exact"/>
        <w:rPr>
          <w:rFonts w:ascii="Arial" w:cs="Arial" w:eastAsia="Arial" w:hAnsi="Arial"/>
          <w:sz w:val="16"/>
          <w:szCs w:val="16"/>
          <w:color w:val="auto"/>
        </w:rPr>
      </w:pPr>
    </w:p>
    <w:p>
      <w:pPr>
        <w:ind w:left="660" w:hanging="652"/>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These shares, issued March 8, 2007, are unregistered.</w:t>
      </w:r>
    </w:p>
    <w:p>
      <w:pPr>
        <w:spacing w:after="0" w:line="59" w:lineRule="exact"/>
        <w:rPr>
          <w:rFonts w:ascii="Arial" w:cs="Arial" w:eastAsia="Arial" w:hAnsi="Arial"/>
          <w:sz w:val="16"/>
          <w:szCs w:val="16"/>
          <w:color w:val="auto"/>
        </w:rPr>
      </w:pPr>
    </w:p>
    <w:p>
      <w:pPr>
        <w:ind w:left="660" w:hanging="652"/>
        <w:spacing w:after="0"/>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Total debt includes capital leases, mortgages payable, notes payable, senior notes and debentures, net of premiums and discounts from our consolidated balance sheet</w:t>
      </w:r>
      <w:r>
        <w:rPr>
          <w:rFonts w:ascii="Arial" w:cs="Arial" w:eastAsia="Arial" w:hAnsi="Arial"/>
          <w:sz w:val="12"/>
          <w:szCs w:val="12"/>
          <w:color w:val="auto"/>
        </w:rPr>
        <w:t>.</w:t>
      </w:r>
    </w:p>
    <w:p>
      <w:pPr>
        <w:spacing w:after="0" w:line="95" w:lineRule="exact"/>
        <w:rPr>
          <w:rFonts w:ascii="Arial" w:cs="Arial" w:eastAsia="Arial" w:hAnsi="Arial"/>
          <w:sz w:val="14"/>
          <w:szCs w:val="14"/>
          <w:color w:val="auto"/>
        </w:rPr>
      </w:pPr>
    </w:p>
    <w:p>
      <w:pPr>
        <w:ind w:left="660" w:hanging="652"/>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Fixed rate debt includes our $275.0 million term loan as the rate is effectively fixed by two interest rate swap agreements.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42" w:right="239" w:bottom="1440" w:gutter="0" w:footer="0" w:header="0"/>
        </w:sectPr>
      </w:pPr>
    </w:p>
    <w:bookmarkStart w:id="13" w:name="page14"/>
    <w:bookmarkEnd w:id="13"/>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Components of Rental Income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September 30, 2017</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6"/>
                <w:szCs w:val="16"/>
                <w:color w:val="auto"/>
              </w:rPr>
            </w:pPr>
          </w:p>
        </w:tc>
        <w:tc>
          <w:tcPr>
            <w:tcW w:w="2380" w:type="dxa"/>
            <w:vAlign w:val="bottom"/>
            <w:gridSpan w:val="4"/>
          </w:tcPr>
          <w:p>
            <w:pPr>
              <w:jc w:val="right"/>
              <w:ind w:right="693"/>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5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24"/>
                <w:szCs w:val="24"/>
                <w:color w:val="auto"/>
              </w:rPr>
            </w:pPr>
          </w:p>
        </w:tc>
      </w:tr>
      <w:tr>
        <w:trPr>
          <w:trHeight w:val="264"/>
        </w:trPr>
        <w:tc>
          <w:tcPr>
            <w:tcW w:w="56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r>
      <w:tr>
        <w:trPr>
          <w:trHeight w:val="250"/>
        </w:trPr>
        <w:tc>
          <w:tcPr>
            <w:tcW w:w="5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Minimum rents (1)</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Retail and commercial</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147,971</w:t>
            </w:r>
          </w:p>
        </w:tc>
        <w:tc>
          <w:tcPr>
            <w:tcW w:w="12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137,009</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434,390</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409,027</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Residential</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13,837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12,886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40,781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36,476</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Cost reimbursements</w:t>
            </w:r>
          </w:p>
        </w:tc>
        <w:tc>
          <w:tcPr>
            <w:tcW w:w="32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43,602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40,565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124,997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119,004</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Percentage rents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2,304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2,315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7,524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7,866</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4,334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4,694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13,049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13,339</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rental income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212,048</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197,469</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620,741</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585,712</w:t>
            </w: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Notes:</w:t>
      </w:r>
    </w:p>
    <w:p>
      <w:pPr>
        <w:spacing w:after="0" w:line="59" w:lineRule="exact"/>
        <w:rPr>
          <w:sz w:val="20"/>
          <w:szCs w:val="20"/>
          <w:color w:val="auto"/>
        </w:rPr>
      </w:pPr>
    </w:p>
    <w:p>
      <w:pPr>
        <w:ind w:left="660" w:right="140" w:hanging="652"/>
        <w:spacing w:after="0" w:line="256"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Minimum rents include $3.9 million and $1.5 million for the three months ended September 30, 2017 and 2016, respectively, and $11.3 million and $6.2 million for the nine months ended September 30, 2017 and 2016, respectively, to recognize minimum rents on a straight-line basis. In addition, minimum rents include $0.9 million and $0.5 million for the three months ended September 30, 2017 and 2016, respectively, and $3.3 million and $1.2 million for the nine months ended September 30, 2017 and 2016, respectively, to recognize income from the amortization of in-place leases.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42" w:right="239" w:bottom="1440" w:gutter="0" w:footer="0" w:header="0"/>
        </w:sectPr>
      </w:pPr>
    </w:p>
    <w:bookmarkStart w:id="14" w:name="page15"/>
    <w:bookmarkEnd w:id="14"/>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Comparable Property Information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September 30, 2017</w:t>
      </w:r>
    </w:p>
    <w:p>
      <w:pPr>
        <w:spacing w:after="0" w:line="347" w:lineRule="exact"/>
        <w:rPr>
          <w:sz w:val="20"/>
          <w:szCs w:val="20"/>
          <w:color w:val="auto"/>
        </w:rPr>
      </w:pPr>
    </w:p>
    <w:p>
      <w:pPr>
        <w:ind w:left="40" w:right="180"/>
        <w:spacing w:after="0" w:line="272" w:lineRule="auto"/>
        <w:rPr>
          <w:sz w:val="20"/>
          <w:szCs w:val="20"/>
          <w:color w:val="auto"/>
        </w:rPr>
      </w:pPr>
      <w:r>
        <w:rPr>
          <w:rFonts w:ascii="Arial" w:cs="Arial" w:eastAsia="Arial" w:hAnsi="Arial"/>
          <w:sz w:val="16"/>
          <w:szCs w:val="16"/>
          <w:color w:val="auto"/>
        </w:rPr>
        <w:t>The following information is being provided for “Comparable Properties.” Comparable Properties represents our consolidated property portfolio other than those properties that distort comparability between periods in two primary categories: (1) assets that were not owned for the full quarter in both periods presented and (2) assets currently under development or being repositioned for significant redevelopment and investment. The assets excluded from Comparable Properties in Q3 include: 500 Santana Row, Assembly Row - Phase 2, CocoWalk, Pike &amp; Rose, The Point at Plaza El Segundo, The Shops at Sunset Place, Towson Residential, and all properties acquired or disposed of from Q3 2016 to Q3 2017. Comparable Property property operating income (“Comparable Property POI”) is a non-GAAP measure used by management in evaluating the operating performance of our properties period over period.</w:t>
      </w:r>
    </w:p>
    <w:p>
      <w:pPr>
        <w:spacing w:after="0" w:line="26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Reconciliation of GAAP operating income to Comparable Property POI</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80" w:type="dxa"/>
            <w:vAlign w:val="bottom"/>
            <w:gridSpan w:val="3"/>
          </w:tcPr>
          <w:p>
            <w:pPr>
              <w:jc w:val="center"/>
              <w:ind w:left="497"/>
              <w:spacing w:after="0"/>
              <w:rPr>
                <w:sz w:val="20"/>
                <w:szCs w:val="20"/>
                <w:color w:val="auto"/>
              </w:rPr>
            </w:pPr>
            <w:r>
              <w:rPr>
                <w:rFonts w:ascii="Arial" w:cs="Arial" w:eastAsia="Arial" w:hAnsi="Arial"/>
                <w:sz w:val="14"/>
                <w:szCs w:val="14"/>
                <w:b w:val="1"/>
                <w:bCs w:val="1"/>
                <w:color w:val="auto"/>
                <w:w w:val="93"/>
              </w:rPr>
              <w:t>Three Months Ended</w:t>
            </w:r>
          </w:p>
        </w:tc>
        <w:tc>
          <w:tcPr>
            <w:tcW w:w="9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76"/>
        </w:trPr>
        <w:tc>
          <w:tcPr>
            <w:tcW w:w="71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3"/>
          </w:tcPr>
          <w:p>
            <w:pPr>
              <w:jc w:val="center"/>
              <w:ind w:left="477"/>
              <w:spacing w:after="0"/>
              <w:rPr>
                <w:sz w:val="20"/>
                <w:szCs w:val="20"/>
                <w:color w:val="auto"/>
              </w:rPr>
            </w:pPr>
            <w:r>
              <w:rPr>
                <w:rFonts w:ascii="Arial" w:cs="Arial" w:eastAsia="Arial" w:hAnsi="Arial"/>
                <w:sz w:val="14"/>
                <w:szCs w:val="14"/>
                <w:b w:val="1"/>
                <w:bCs w:val="1"/>
                <w:color w:val="auto"/>
                <w:w w:val="91"/>
              </w:rPr>
              <w:t>September 30,</w:t>
            </w:r>
          </w:p>
        </w:tc>
        <w:tc>
          <w:tcPr>
            <w:tcW w:w="920" w:type="dxa"/>
            <w:vAlign w:val="bottom"/>
            <w:tcBorders>
              <w:bottom w:val="single" w:sz="8" w:color="auto"/>
            </w:tcBorders>
          </w:tcPr>
          <w:p>
            <w:pPr>
              <w:spacing w:after="0"/>
              <w:rPr>
                <w:sz w:val="24"/>
                <w:szCs w:val="24"/>
                <w:color w:val="auto"/>
              </w:rPr>
            </w:pPr>
          </w:p>
        </w:tc>
        <w:tc>
          <w:tcPr>
            <w:tcW w:w="1100" w:type="dxa"/>
            <w:vAlign w:val="bottom"/>
          </w:tcPr>
          <w:p>
            <w:pPr>
              <w:spacing w:after="0"/>
              <w:rPr>
                <w:sz w:val="24"/>
                <w:szCs w:val="24"/>
                <w:color w:val="auto"/>
              </w:rPr>
            </w:pPr>
          </w:p>
        </w:tc>
      </w:tr>
      <w:tr>
        <w:trPr>
          <w:trHeight w:val="264"/>
        </w:trPr>
        <w:tc>
          <w:tcPr>
            <w:tcW w:w="71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w w:val="89"/>
              </w:rPr>
              <w:t>2016</w:t>
            </w:r>
          </w:p>
        </w:tc>
        <w:tc>
          <w:tcPr>
            <w:tcW w:w="1100" w:type="dxa"/>
            <w:vAlign w:val="bottom"/>
          </w:tcPr>
          <w:p>
            <w:pPr>
              <w:spacing w:after="0"/>
              <w:rPr>
                <w:sz w:val="22"/>
                <w:szCs w:val="22"/>
                <w:color w:val="auto"/>
              </w:rPr>
            </w:pPr>
          </w:p>
        </w:tc>
      </w:tr>
      <w:tr>
        <w:trPr>
          <w:trHeight w:val="250"/>
        </w:trPr>
        <w:tc>
          <w:tcPr>
            <w:tcW w:w="7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80" w:type="dxa"/>
            <w:vAlign w:val="bottom"/>
            <w:gridSpan w:val="3"/>
          </w:tcPr>
          <w:p>
            <w:pPr>
              <w:jc w:val="center"/>
              <w:ind w:left="477"/>
              <w:spacing w:after="0"/>
              <w:rPr>
                <w:sz w:val="20"/>
                <w:szCs w:val="20"/>
                <w:color w:val="auto"/>
              </w:rPr>
            </w:pPr>
            <w:r>
              <w:rPr>
                <w:rFonts w:ascii="Arial" w:cs="Arial" w:eastAsia="Arial" w:hAnsi="Arial"/>
                <w:sz w:val="14"/>
                <w:szCs w:val="14"/>
                <w:b w:val="1"/>
                <w:bCs w:val="1"/>
                <w:color w:val="auto"/>
                <w:w w:val="91"/>
              </w:rPr>
              <w:t>(in thousands)</w:t>
            </w:r>
          </w:p>
        </w:tc>
        <w:tc>
          <w:tcPr>
            <w:tcW w:w="9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56"/>
        </w:trPr>
        <w:tc>
          <w:tcPr>
            <w:tcW w:w="7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Operating Income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84,497</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80,461</w:t>
            </w:r>
          </w:p>
        </w:tc>
        <w:tc>
          <w:tcPr>
            <w:tcW w:w="1100" w:type="dxa"/>
            <w:vAlign w:val="bottom"/>
          </w:tcPr>
          <w:p>
            <w:pPr>
              <w:spacing w:after="0"/>
              <w:rPr>
                <w:sz w:val="22"/>
                <w:szCs w:val="22"/>
                <w:color w:val="auto"/>
              </w:rPr>
            </w:pPr>
          </w:p>
        </w:tc>
      </w:tr>
      <w:tr>
        <w:trPr>
          <w:trHeight w:val="243"/>
        </w:trPr>
        <w:tc>
          <w:tcPr>
            <w:tcW w:w="7140" w:type="dxa"/>
            <w:vAlign w:val="bottom"/>
          </w:tcPr>
          <w:p>
            <w:pPr>
              <w:ind w:left="380"/>
              <w:spacing w:after="0"/>
              <w:rPr>
                <w:sz w:val="20"/>
                <w:szCs w:val="20"/>
                <w:color w:val="auto"/>
              </w:rPr>
            </w:pPr>
            <w:r>
              <w:rPr>
                <w:rFonts w:ascii="Arial" w:cs="Arial" w:eastAsia="Arial" w:hAnsi="Arial"/>
                <w:sz w:val="18"/>
                <w:szCs w:val="18"/>
                <w:color w:val="auto"/>
              </w:rPr>
              <w:t>Add:</w:t>
            </w: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7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Depreciation and amortization</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55,611</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48,903</w:t>
            </w:r>
          </w:p>
        </w:tc>
        <w:tc>
          <w:tcPr>
            <w:tcW w:w="1100" w:type="dxa"/>
            <w:vAlign w:val="bottom"/>
          </w:tcPr>
          <w:p>
            <w:pPr>
              <w:spacing w:after="0"/>
              <w:rPr>
                <w:sz w:val="21"/>
                <w:szCs w:val="21"/>
                <w:color w:val="auto"/>
              </w:rPr>
            </w:pPr>
          </w:p>
        </w:tc>
      </w:tr>
      <w:tr>
        <w:trPr>
          <w:trHeight w:val="243"/>
        </w:trPr>
        <w:tc>
          <w:tcPr>
            <w:tcW w:w="714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380" w:type="dxa"/>
            <w:vAlign w:val="bottom"/>
          </w:tcPr>
          <w:p>
            <w:pPr>
              <w:spacing w:after="0"/>
              <w:rPr>
                <w:sz w:val="21"/>
                <w:szCs w:val="21"/>
                <w:color w:val="auto"/>
              </w:rPr>
            </w:pPr>
          </w:p>
        </w:tc>
        <w:tc>
          <w:tcPr>
            <w:tcW w:w="1160" w:type="dxa"/>
            <w:vAlign w:val="bottom"/>
          </w:tcPr>
          <w:p>
            <w:pPr>
              <w:jc w:val="right"/>
              <w:ind w:right="117"/>
              <w:spacing w:after="0"/>
              <w:rPr>
                <w:sz w:val="20"/>
                <w:szCs w:val="20"/>
                <w:color w:val="auto"/>
              </w:rPr>
            </w:pPr>
            <w:r>
              <w:rPr>
                <w:rFonts w:ascii="Arial" w:cs="Arial" w:eastAsia="Arial" w:hAnsi="Arial"/>
                <w:sz w:val="18"/>
                <w:szCs w:val="18"/>
                <w:color w:val="auto"/>
              </w:rPr>
              <w:t>9,103</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jc w:val="right"/>
              <w:ind w:right="93"/>
              <w:spacing w:after="0"/>
              <w:rPr>
                <w:sz w:val="20"/>
                <w:szCs w:val="20"/>
                <w:color w:val="auto"/>
              </w:rPr>
            </w:pPr>
            <w:r>
              <w:rPr>
                <w:rFonts w:ascii="Arial" w:cs="Arial" w:eastAsia="Arial" w:hAnsi="Arial"/>
                <w:sz w:val="18"/>
                <w:szCs w:val="18"/>
                <w:color w:val="auto"/>
              </w:rPr>
              <w:t>8,232</w:t>
            </w:r>
          </w:p>
        </w:tc>
        <w:tc>
          <w:tcPr>
            <w:tcW w:w="1100" w:type="dxa"/>
            <w:vAlign w:val="bottom"/>
          </w:tcPr>
          <w:p>
            <w:pPr>
              <w:spacing w:after="0"/>
              <w:rPr>
                <w:sz w:val="21"/>
                <w:szCs w:val="21"/>
                <w:color w:val="auto"/>
              </w:rPr>
            </w:pPr>
          </w:p>
        </w:tc>
      </w:tr>
      <w:tr>
        <w:trPr>
          <w:trHeight w:val="27"/>
        </w:trPr>
        <w:tc>
          <w:tcPr>
            <w:tcW w:w="7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100" w:type="dxa"/>
            <w:vAlign w:val="bottom"/>
          </w:tcPr>
          <w:p>
            <w:pPr>
              <w:spacing w:after="0"/>
              <w:rPr>
                <w:sz w:val="2"/>
                <w:szCs w:val="2"/>
                <w:color w:val="auto"/>
              </w:rPr>
            </w:pPr>
          </w:p>
        </w:tc>
      </w:tr>
      <w:tr>
        <w:trPr>
          <w:trHeight w:val="244"/>
        </w:trPr>
        <w:tc>
          <w:tcPr>
            <w:tcW w:w="7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Property operating income (POI)</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149,211</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137,596</w:t>
            </w:r>
          </w:p>
        </w:tc>
        <w:tc>
          <w:tcPr>
            <w:tcW w:w="1100" w:type="dxa"/>
            <w:vAlign w:val="bottom"/>
          </w:tcPr>
          <w:p>
            <w:pPr>
              <w:spacing w:after="0"/>
              <w:rPr>
                <w:sz w:val="21"/>
                <w:szCs w:val="21"/>
                <w:color w:val="auto"/>
              </w:rPr>
            </w:pPr>
          </w:p>
        </w:tc>
      </w:tr>
      <w:tr>
        <w:trPr>
          <w:trHeight w:val="243"/>
        </w:trPr>
        <w:tc>
          <w:tcPr>
            <w:tcW w:w="7140" w:type="dxa"/>
            <w:vAlign w:val="bottom"/>
          </w:tcPr>
          <w:p>
            <w:pPr>
              <w:ind w:left="380"/>
              <w:spacing w:after="0"/>
              <w:rPr>
                <w:sz w:val="20"/>
                <w:szCs w:val="20"/>
                <w:color w:val="auto"/>
              </w:rPr>
            </w:pPr>
            <w:r>
              <w:rPr>
                <w:rFonts w:ascii="Arial" w:cs="Arial" w:eastAsia="Arial" w:hAnsi="Arial"/>
                <w:sz w:val="18"/>
                <w:szCs w:val="18"/>
                <w:color w:val="auto"/>
              </w:rPr>
              <w:t>Less: Non-comparable POI - acquisitions/dispositions</w:t>
            </w:r>
          </w:p>
        </w:tc>
        <w:tc>
          <w:tcPr>
            <w:tcW w:w="380" w:type="dxa"/>
            <w:vAlign w:val="bottom"/>
          </w:tcPr>
          <w:p>
            <w:pPr>
              <w:spacing w:after="0"/>
              <w:rPr>
                <w:sz w:val="21"/>
                <w:szCs w:val="21"/>
                <w:color w:val="auto"/>
              </w:rPr>
            </w:pPr>
          </w:p>
        </w:tc>
        <w:tc>
          <w:tcPr>
            <w:tcW w:w="1160" w:type="dxa"/>
            <w:vAlign w:val="bottom"/>
          </w:tcPr>
          <w:p>
            <w:pPr>
              <w:jc w:val="right"/>
              <w:ind w:right="57"/>
              <w:spacing w:after="0"/>
              <w:rPr>
                <w:sz w:val="20"/>
                <w:szCs w:val="20"/>
                <w:color w:val="auto"/>
              </w:rPr>
            </w:pPr>
            <w:r>
              <w:rPr>
                <w:rFonts w:ascii="Arial" w:cs="Arial" w:eastAsia="Arial" w:hAnsi="Arial"/>
                <w:sz w:val="18"/>
                <w:szCs w:val="18"/>
                <w:color w:val="auto"/>
              </w:rPr>
              <w:t>(5,174)</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(948)</w:t>
            </w:r>
          </w:p>
        </w:tc>
        <w:tc>
          <w:tcPr>
            <w:tcW w:w="1100" w:type="dxa"/>
            <w:vAlign w:val="bottom"/>
          </w:tcPr>
          <w:p>
            <w:pPr>
              <w:spacing w:after="0"/>
              <w:rPr>
                <w:sz w:val="21"/>
                <w:szCs w:val="21"/>
                <w:color w:val="auto"/>
              </w:rPr>
            </w:pPr>
          </w:p>
        </w:tc>
      </w:tr>
      <w:tr>
        <w:trPr>
          <w:trHeight w:val="27"/>
        </w:trPr>
        <w:tc>
          <w:tcPr>
            <w:tcW w:w="7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7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Less: Non-comparable POI - redevelopment, development &amp; other</w:t>
            </w: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(12,928)</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(9,304)</w:t>
            </w:r>
          </w:p>
        </w:tc>
        <w:tc>
          <w:tcPr>
            <w:tcW w:w="1100" w:type="dxa"/>
            <w:vAlign w:val="bottom"/>
          </w:tcPr>
          <w:p>
            <w:pPr>
              <w:spacing w:after="0"/>
              <w:rPr>
                <w:sz w:val="23"/>
                <w:szCs w:val="23"/>
                <w:color w:val="auto"/>
              </w:rPr>
            </w:pPr>
          </w:p>
        </w:tc>
      </w:tr>
      <w:tr>
        <w:trPr>
          <w:trHeight w:val="237"/>
        </w:trPr>
        <w:tc>
          <w:tcPr>
            <w:tcW w:w="7140" w:type="dxa"/>
            <w:vAlign w:val="bottom"/>
          </w:tcPr>
          <w:p>
            <w:pPr>
              <w:ind w:left="380"/>
              <w:spacing w:after="0"/>
              <w:rPr>
                <w:sz w:val="20"/>
                <w:szCs w:val="20"/>
                <w:color w:val="auto"/>
              </w:rPr>
            </w:pPr>
            <w:r>
              <w:rPr>
                <w:rFonts w:ascii="Arial" w:cs="Arial" w:eastAsia="Arial" w:hAnsi="Arial"/>
                <w:sz w:val="18"/>
                <w:szCs w:val="18"/>
                <w:color w:val="auto"/>
              </w:rPr>
              <w:t>Comparable Property POI</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17"/>
              <w:spacing w:after="0"/>
              <w:rPr>
                <w:sz w:val="20"/>
                <w:szCs w:val="20"/>
                <w:color w:val="auto"/>
              </w:rPr>
            </w:pPr>
            <w:r>
              <w:rPr>
                <w:rFonts w:ascii="Arial" w:cs="Arial" w:eastAsia="Arial" w:hAnsi="Arial"/>
                <w:sz w:val="18"/>
                <w:szCs w:val="18"/>
                <w:color w:val="auto"/>
              </w:rPr>
              <w:t>131,109</w:t>
            </w:r>
          </w:p>
        </w:tc>
        <w:tc>
          <w:tcPr>
            <w:tcW w:w="100" w:type="dxa"/>
            <w:vAlign w:val="bottom"/>
          </w:tcPr>
          <w:p>
            <w:pPr>
              <w:spacing w:after="0"/>
              <w:rPr>
                <w:sz w:val="20"/>
                <w:szCs w:val="20"/>
                <w:color w:val="auto"/>
              </w:rPr>
            </w:pPr>
          </w:p>
        </w:tc>
        <w:tc>
          <w:tcPr>
            <w:tcW w:w="62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127,344</w:t>
            </w:r>
          </w:p>
        </w:tc>
        <w:tc>
          <w:tcPr>
            <w:tcW w:w="1100" w:type="dxa"/>
            <w:vAlign w:val="bottom"/>
          </w:tcPr>
          <w:p>
            <w:pPr>
              <w:spacing w:after="0"/>
              <w:rPr>
                <w:sz w:val="20"/>
                <w:szCs w:val="20"/>
                <w:color w:val="auto"/>
              </w:rPr>
            </w:pPr>
          </w:p>
        </w:tc>
      </w:tr>
      <w:tr>
        <w:trPr>
          <w:trHeight w:val="513"/>
        </w:trPr>
        <w:tc>
          <w:tcPr>
            <w:tcW w:w="7140" w:type="dxa"/>
            <w:vAlign w:val="bottom"/>
          </w:tcPr>
          <w:p>
            <w:pPr>
              <w:ind w:left="40"/>
              <w:spacing w:after="0"/>
              <w:rPr>
                <w:sz w:val="20"/>
                <w:szCs w:val="20"/>
                <w:color w:val="auto"/>
              </w:rPr>
            </w:pPr>
            <w:r>
              <w:rPr>
                <w:rFonts w:ascii="Arial" w:cs="Arial" w:eastAsia="Arial" w:hAnsi="Arial"/>
                <w:sz w:val="18"/>
                <w:szCs w:val="18"/>
                <w:i w:val="1"/>
                <w:iCs w:val="1"/>
                <w:color w:val="auto"/>
              </w:rPr>
              <w:t>Additional information regarding the components of Comparable Property POI</w:t>
            </w: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85"/>
        </w:trPr>
        <w:tc>
          <w:tcPr>
            <w:tcW w:w="7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gridSpan w:val="3"/>
          </w:tcPr>
          <w:p>
            <w:pPr>
              <w:jc w:val="center"/>
              <w:ind w:left="497"/>
              <w:spacing w:after="0"/>
              <w:rPr>
                <w:sz w:val="20"/>
                <w:szCs w:val="20"/>
                <w:color w:val="auto"/>
              </w:rPr>
            </w:pPr>
            <w:r>
              <w:rPr>
                <w:rFonts w:ascii="Arial" w:cs="Arial" w:eastAsia="Arial" w:hAnsi="Arial"/>
                <w:sz w:val="14"/>
                <w:szCs w:val="14"/>
                <w:b w:val="1"/>
                <w:bCs w:val="1"/>
                <w:color w:val="auto"/>
                <w:w w:val="93"/>
              </w:rPr>
              <w:t>Three Months Ended</w:t>
            </w:r>
          </w:p>
        </w:tc>
        <w:tc>
          <w:tcPr>
            <w:tcW w:w="9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76"/>
        </w:trPr>
        <w:tc>
          <w:tcPr>
            <w:tcW w:w="71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3"/>
          </w:tcPr>
          <w:p>
            <w:pPr>
              <w:jc w:val="center"/>
              <w:ind w:left="477"/>
              <w:spacing w:after="0"/>
              <w:rPr>
                <w:sz w:val="20"/>
                <w:szCs w:val="20"/>
                <w:color w:val="auto"/>
              </w:rPr>
            </w:pPr>
            <w:r>
              <w:rPr>
                <w:rFonts w:ascii="Arial" w:cs="Arial" w:eastAsia="Arial" w:hAnsi="Arial"/>
                <w:sz w:val="14"/>
                <w:szCs w:val="14"/>
                <w:b w:val="1"/>
                <w:bCs w:val="1"/>
                <w:color w:val="auto"/>
                <w:w w:val="91"/>
              </w:rPr>
              <w:t>September 30,</w:t>
            </w:r>
          </w:p>
        </w:tc>
        <w:tc>
          <w:tcPr>
            <w:tcW w:w="920" w:type="dxa"/>
            <w:vAlign w:val="bottom"/>
            <w:tcBorders>
              <w:bottom w:val="single" w:sz="8" w:color="auto"/>
            </w:tcBorders>
          </w:tcPr>
          <w:p>
            <w:pPr>
              <w:spacing w:after="0"/>
              <w:rPr>
                <w:sz w:val="24"/>
                <w:szCs w:val="24"/>
                <w:color w:val="auto"/>
              </w:rPr>
            </w:pPr>
          </w:p>
        </w:tc>
        <w:tc>
          <w:tcPr>
            <w:tcW w:w="1100" w:type="dxa"/>
            <w:vAlign w:val="bottom"/>
          </w:tcPr>
          <w:p>
            <w:pPr>
              <w:spacing w:after="0"/>
              <w:rPr>
                <w:sz w:val="24"/>
                <w:szCs w:val="24"/>
                <w:color w:val="auto"/>
              </w:rPr>
            </w:pPr>
          </w:p>
        </w:tc>
      </w:tr>
      <w:tr>
        <w:trPr>
          <w:trHeight w:val="264"/>
        </w:trPr>
        <w:tc>
          <w:tcPr>
            <w:tcW w:w="71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w w:val="89"/>
              </w:rPr>
              <w:t>2016</w:t>
            </w:r>
          </w:p>
        </w:tc>
        <w:tc>
          <w:tcPr>
            <w:tcW w:w="110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w w:val="97"/>
              </w:rPr>
              <w:t>% Change</w:t>
            </w:r>
          </w:p>
        </w:tc>
      </w:tr>
      <w:tr>
        <w:trPr>
          <w:trHeight w:val="264"/>
        </w:trPr>
        <w:tc>
          <w:tcPr>
            <w:tcW w:w="7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880" w:type="dxa"/>
            <w:vAlign w:val="bottom"/>
            <w:gridSpan w:val="3"/>
          </w:tcPr>
          <w:p>
            <w:pPr>
              <w:jc w:val="center"/>
              <w:ind w:left="477"/>
              <w:spacing w:after="0"/>
              <w:rPr>
                <w:sz w:val="20"/>
                <w:szCs w:val="20"/>
                <w:color w:val="auto"/>
              </w:rPr>
            </w:pPr>
            <w:r>
              <w:rPr>
                <w:rFonts w:ascii="Arial" w:cs="Arial" w:eastAsia="Arial" w:hAnsi="Arial"/>
                <w:sz w:val="14"/>
                <w:szCs w:val="14"/>
                <w:b w:val="1"/>
                <w:bCs w:val="1"/>
                <w:color w:val="auto"/>
                <w:w w:val="91"/>
              </w:rPr>
              <w:t>(in thousands)</w:t>
            </w:r>
          </w:p>
        </w:tc>
        <w:tc>
          <w:tcPr>
            <w:tcW w:w="92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56"/>
        </w:trPr>
        <w:tc>
          <w:tcPr>
            <w:tcW w:w="7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Rental income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184,020</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180,513</w:t>
            </w:r>
          </w:p>
        </w:tc>
        <w:tc>
          <w:tcPr>
            <w:tcW w:w="1100" w:type="dxa"/>
            <w:vAlign w:val="bottom"/>
            <w:tcBorders>
              <w:bottom w:val="single" w:sz="8" w:color="CCEEFF"/>
            </w:tcBorders>
            <w:shd w:val="clear" w:color="auto" w:fill="CCEEFF"/>
          </w:tcPr>
          <w:p>
            <w:pPr>
              <w:spacing w:after="0"/>
              <w:rPr>
                <w:sz w:val="22"/>
                <w:szCs w:val="22"/>
                <w:color w:val="auto"/>
              </w:rPr>
            </w:pPr>
          </w:p>
        </w:tc>
      </w:tr>
      <w:tr>
        <w:trPr>
          <w:trHeight w:val="243"/>
        </w:trPr>
        <w:tc>
          <w:tcPr>
            <w:tcW w:w="7140" w:type="dxa"/>
            <w:vAlign w:val="bottom"/>
          </w:tcPr>
          <w:p>
            <w:pPr>
              <w:ind w:left="380"/>
              <w:spacing w:after="0"/>
              <w:rPr>
                <w:sz w:val="20"/>
                <w:szCs w:val="20"/>
                <w:color w:val="auto"/>
              </w:rPr>
            </w:pPr>
            <w:r>
              <w:rPr>
                <w:rFonts w:ascii="Arial" w:cs="Arial" w:eastAsia="Arial" w:hAnsi="Arial"/>
                <w:sz w:val="18"/>
                <w:szCs w:val="18"/>
                <w:color w:val="auto"/>
              </w:rPr>
              <w:t>Non-rental income</w:t>
            </w:r>
          </w:p>
        </w:tc>
        <w:tc>
          <w:tcPr>
            <w:tcW w:w="380" w:type="dxa"/>
            <w:vAlign w:val="bottom"/>
          </w:tcPr>
          <w:p>
            <w:pPr>
              <w:spacing w:after="0"/>
              <w:rPr>
                <w:sz w:val="21"/>
                <w:szCs w:val="21"/>
                <w:color w:val="auto"/>
              </w:rPr>
            </w:pPr>
          </w:p>
        </w:tc>
        <w:tc>
          <w:tcPr>
            <w:tcW w:w="1160" w:type="dxa"/>
            <w:vAlign w:val="bottom"/>
          </w:tcPr>
          <w:p>
            <w:pPr>
              <w:jc w:val="right"/>
              <w:ind w:right="117"/>
              <w:spacing w:after="0"/>
              <w:rPr>
                <w:sz w:val="20"/>
                <w:szCs w:val="20"/>
                <w:color w:val="auto"/>
              </w:rPr>
            </w:pPr>
            <w:r>
              <w:rPr>
                <w:rFonts w:ascii="Arial" w:cs="Arial" w:eastAsia="Arial" w:hAnsi="Arial"/>
                <w:sz w:val="18"/>
                <w:szCs w:val="18"/>
                <w:color w:val="auto"/>
              </w:rPr>
              <w:t>3,144</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jc w:val="right"/>
              <w:ind w:right="93"/>
              <w:spacing w:after="0"/>
              <w:rPr>
                <w:sz w:val="20"/>
                <w:szCs w:val="20"/>
                <w:color w:val="auto"/>
              </w:rPr>
            </w:pPr>
            <w:r>
              <w:rPr>
                <w:rFonts w:ascii="Arial" w:cs="Arial" w:eastAsia="Arial" w:hAnsi="Arial"/>
                <w:sz w:val="18"/>
                <w:szCs w:val="18"/>
                <w:color w:val="auto"/>
              </w:rPr>
              <w:t>2,436</w:t>
            </w:r>
          </w:p>
        </w:tc>
        <w:tc>
          <w:tcPr>
            <w:tcW w:w="1100" w:type="dxa"/>
            <w:vAlign w:val="bottom"/>
          </w:tcPr>
          <w:p>
            <w:pPr>
              <w:spacing w:after="0"/>
              <w:rPr>
                <w:sz w:val="21"/>
                <w:szCs w:val="21"/>
                <w:color w:val="auto"/>
              </w:rPr>
            </w:pPr>
          </w:p>
        </w:tc>
      </w:tr>
      <w:tr>
        <w:trPr>
          <w:trHeight w:val="27"/>
        </w:trPr>
        <w:tc>
          <w:tcPr>
            <w:tcW w:w="7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r>
      <w:tr>
        <w:trPr>
          <w:trHeight w:val="244"/>
        </w:trPr>
        <w:tc>
          <w:tcPr>
            <w:tcW w:w="7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187,164</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182,949</w:t>
            </w:r>
          </w:p>
        </w:tc>
        <w:tc>
          <w:tcPr>
            <w:tcW w:w="1100" w:type="dxa"/>
            <w:vAlign w:val="bottom"/>
            <w:tcBorders>
              <w:bottom w:val="single" w:sz="8" w:color="CCEEFF"/>
            </w:tcBorders>
            <w:shd w:val="clear" w:color="auto" w:fill="CCEEFF"/>
          </w:tcPr>
          <w:p>
            <w:pPr>
              <w:spacing w:after="0"/>
              <w:rPr>
                <w:sz w:val="21"/>
                <w:szCs w:val="21"/>
                <w:color w:val="auto"/>
              </w:rPr>
            </w:pPr>
          </w:p>
        </w:tc>
      </w:tr>
      <w:tr>
        <w:trPr>
          <w:trHeight w:val="230"/>
        </w:trPr>
        <w:tc>
          <w:tcPr>
            <w:tcW w:w="7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50"/>
        </w:trPr>
        <w:tc>
          <w:tcPr>
            <w:tcW w:w="7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Rental expenses</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(32,435)</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(32,665)</w:t>
            </w: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7140" w:type="dxa"/>
            <w:vAlign w:val="bottom"/>
          </w:tcPr>
          <w:p>
            <w:pPr>
              <w:ind w:left="380"/>
              <w:spacing w:after="0"/>
              <w:rPr>
                <w:sz w:val="20"/>
                <w:szCs w:val="20"/>
                <w:color w:val="auto"/>
              </w:rPr>
            </w:pPr>
            <w:r>
              <w:rPr>
                <w:rFonts w:ascii="Arial" w:cs="Arial" w:eastAsia="Arial" w:hAnsi="Arial"/>
                <w:sz w:val="18"/>
                <w:szCs w:val="18"/>
                <w:color w:val="auto"/>
              </w:rPr>
              <w:t>Real estate taxes</w:t>
            </w:r>
          </w:p>
        </w:tc>
        <w:tc>
          <w:tcPr>
            <w:tcW w:w="380" w:type="dxa"/>
            <w:vAlign w:val="bottom"/>
          </w:tcPr>
          <w:p>
            <w:pPr>
              <w:spacing w:after="0"/>
              <w:rPr>
                <w:sz w:val="21"/>
                <w:szCs w:val="21"/>
                <w:color w:val="auto"/>
              </w:rPr>
            </w:pPr>
          </w:p>
        </w:tc>
        <w:tc>
          <w:tcPr>
            <w:tcW w:w="1160" w:type="dxa"/>
            <w:vAlign w:val="bottom"/>
          </w:tcPr>
          <w:p>
            <w:pPr>
              <w:jc w:val="right"/>
              <w:ind w:right="57"/>
              <w:spacing w:after="0"/>
              <w:rPr>
                <w:sz w:val="20"/>
                <w:szCs w:val="20"/>
                <w:color w:val="auto"/>
              </w:rPr>
            </w:pPr>
            <w:r>
              <w:rPr>
                <w:rFonts w:ascii="Arial" w:cs="Arial" w:eastAsia="Arial" w:hAnsi="Arial"/>
                <w:sz w:val="18"/>
                <w:szCs w:val="18"/>
                <w:color w:val="auto"/>
              </w:rPr>
              <w:t>(23,620)</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(22,940)</w:t>
            </w:r>
          </w:p>
        </w:tc>
        <w:tc>
          <w:tcPr>
            <w:tcW w:w="1100" w:type="dxa"/>
            <w:vAlign w:val="bottom"/>
          </w:tcPr>
          <w:p>
            <w:pPr>
              <w:spacing w:after="0"/>
              <w:rPr>
                <w:sz w:val="21"/>
                <w:szCs w:val="21"/>
                <w:color w:val="auto"/>
              </w:rPr>
            </w:pPr>
          </w:p>
        </w:tc>
      </w:tr>
      <w:tr>
        <w:trPr>
          <w:trHeight w:val="27"/>
        </w:trPr>
        <w:tc>
          <w:tcPr>
            <w:tcW w:w="7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r>
      <w:tr>
        <w:trPr>
          <w:trHeight w:val="244"/>
        </w:trPr>
        <w:tc>
          <w:tcPr>
            <w:tcW w:w="7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(56,055)</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(55,605)</w:t>
            </w:r>
          </w:p>
        </w:tc>
        <w:tc>
          <w:tcPr>
            <w:tcW w:w="1100" w:type="dxa"/>
            <w:vAlign w:val="bottom"/>
            <w:tcBorders>
              <w:bottom w:val="single" w:sz="8" w:color="CCEEFF"/>
            </w:tcBorders>
            <w:shd w:val="clear" w:color="auto" w:fill="CCEEFF"/>
          </w:tcPr>
          <w:p>
            <w:pPr>
              <w:spacing w:after="0"/>
              <w:rPr>
                <w:sz w:val="21"/>
                <w:szCs w:val="21"/>
                <w:color w:val="auto"/>
              </w:rPr>
            </w:pPr>
          </w:p>
        </w:tc>
      </w:tr>
      <w:tr>
        <w:trPr>
          <w:trHeight w:val="230"/>
        </w:trPr>
        <w:tc>
          <w:tcPr>
            <w:tcW w:w="7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50"/>
        </w:trPr>
        <w:tc>
          <w:tcPr>
            <w:tcW w:w="7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Comparable Property POI</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131,109</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127,344</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7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50"/>
        </w:trPr>
        <w:tc>
          <w:tcPr>
            <w:tcW w:w="7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Comparable Property POI as a percentage of total POI</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100" w:type="dxa"/>
            <w:vAlign w:val="bottom"/>
            <w:tcBorders>
              <w:bottom w:val="single" w:sz="8" w:color="CCEEFF"/>
            </w:tcBorders>
            <w:shd w:val="clear" w:color="auto" w:fill="CCEEFF"/>
          </w:tcPr>
          <w:p>
            <w:pPr>
              <w:spacing w:after="0"/>
              <w:rPr>
                <w:sz w:val="21"/>
                <w:szCs w:val="21"/>
                <w:color w:val="auto"/>
              </w:rPr>
            </w:pPr>
          </w:p>
        </w:tc>
      </w:tr>
      <w:tr>
        <w:trPr>
          <w:trHeight w:val="486"/>
        </w:trPr>
        <w:tc>
          <w:tcPr>
            <w:tcW w:w="7140" w:type="dxa"/>
            <w:vAlign w:val="bottom"/>
          </w:tcPr>
          <w:p>
            <w:pPr>
              <w:ind w:left="40"/>
              <w:spacing w:after="0"/>
              <w:rPr>
                <w:sz w:val="20"/>
                <w:szCs w:val="20"/>
                <w:color w:val="auto"/>
              </w:rPr>
            </w:pPr>
            <w:r>
              <w:rPr>
                <w:rFonts w:ascii="Arial" w:cs="Arial" w:eastAsia="Arial" w:hAnsi="Arial"/>
                <w:sz w:val="18"/>
                <w:szCs w:val="18"/>
                <w:i w:val="1"/>
                <w:iCs w:val="1"/>
                <w:color w:val="auto"/>
              </w:rPr>
              <w:t>Comparable Property - Occupancy Statistics (1)</w:t>
            </w: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91"/>
        </w:trPr>
        <w:tc>
          <w:tcPr>
            <w:tcW w:w="71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3"/>
          </w:tcPr>
          <w:p>
            <w:pPr>
              <w:jc w:val="center"/>
              <w:ind w:left="497"/>
              <w:spacing w:after="0"/>
              <w:rPr>
                <w:sz w:val="20"/>
                <w:szCs w:val="20"/>
                <w:color w:val="auto"/>
              </w:rPr>
            </w:pPr>
            <w:r>
              <w:rPr>
                <w:rFonts w:ascii="Arial" w:cs="Arial" w:eastAsia="Arial" w:hAnsi="Arial"/>
                <w:sz w:val="14"/>
                <w:szCs w:val="14"/>
                <w:b w:val="1"/>
                <w:bCs w:val="1"/>
                <w:color w:val="auto"/>
                <w:w w:val="92"/>
              </w:rPr>
              <w:t>At September 30,</w:t>
            </w:r>
          </w:p>
        </w:tc>
        <w:tc>
          <w:tcPr>
            <w:tcW w:w="920" w:type="dxa"/>
            <w:vAlign w:val="bottom"/>
            <w:tcBorders>
              <w:bottom w:val="single" w:sz="8" w:color="auto"/>
            </w:tcBorders>
          </w:tcPr>
          <w:p>
            <w:pPr>
              <w:spacing w:after="0"/>
              <w:rPr>
                <w:sz w:val="24"/>
                <w:szCs w:val="24"/>
                <w:color w:val="auto"/>
              </w:rPr>
            </w:pPr>
          </w:p>
        </w:tc>
        <w:tc>
          <w:tcPr>
            <w:tcW w:w="1100" w:type="dxa"/>
            <w:vAlign w:val="bottom"/>
          </w:tcPr>
          <w:p>
            <w:pPr>
              <w:spacing w:after="0"/>
              <w:rPr>
                <w:sz w:val="24"/>
                <w:szCs w:val="24"/>
                <w:color w:val="auto"/>
              </w:rPr>
            </w:pPr>
          </w:p>
        </w:tc>
      </w:tr>
      <w:tr>
        <w:trPr>
          <w:trHeight w:val="264"/>
        </w:trPr>
        <w:tc>
          <w:tcPr>
            <w:tcW w:w="71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w w:val="89"/>
              </w:rPr>
              <w:t>2016</w:t>
            </w:r>
          </w:p>
        </w:tc>
        <w:tc>
          <w:tcPr>
            <w:tcW w:w="1100" w:type="dxa"/>
            <w:vAlign w:val="bottom"/>
          </w:tcPr>
          <w:p>
            <w:pPr>
              <w:spacing w:after="0"/>
              <w:rPr>
                <w:sz w:val="22"/>
                <w:szCs w:val="22"/>
                <w:color w:val="auto"/>
              </w:rPr>
            </w:pPr>
          </w:p>
        </w:tc>
      </w:tr>
      <w:tr>
        <w:trPr>
          <w:trHeight w:val="250"/>
        </w:trPr>
        <w:tc>
          <w:tcPr>
            <w:tcW w:w="7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Leased % - comparable retail properties</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1100" w:type="dxa"/>
            <w:vAlign w:val="bottom"/>
          </w:tcPr>
          <w:p>
            <w:pPr>
              <w:spacing w:after="0"/>
              <w:rPr>
                <w:sz w:val="21"/>
                <w:szCs w:val="21"/>
                <w:color w:val="auto"/>
              </w:rPr>
            </w:pPr>
          </w:p>
        </w:tc>
      </w:tr>
      <w:tr>
        <w:trPr>
          <w:trHeight w:val="243"/>
        </w:trPr>
        <w:tc>
          <w:tcPr>
            <w:tcW w:w="7140" w:type="dxa"/>
            <w:vAlign w:val="bottom"/>
          </w:tcPr>
          <w:p>
            <w:pPr>
              <w:ind w:left="380"/>
              <w:spacing w:after="0"/>
              <w:rPr>
                <w:sz w:val="20"/>
                <w:szCs w:val="20"/>
                <w:color w:val="auto"/>
              </w:rPr>
            </w:pPr>
            <w:r>
              <w:rPr>
                <w:rFonts w:ascii="Arial" w:cs="Arial" w:eastAsia="Arial" w:hAnsi="Arial"/>
                <w:sz w:val="18"/>
                <w:szCs w:val="18"/>
                <w:color w:val="auto"/>
              </w:rPr>
              <w:t>Occupancy % - comparable retail properties</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94.1%</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93.4%</w:t>
            </w:r>
          </w:p>
        </w:tc>
        <w:tc>
          <w:tcPr>
            <w:tcW w:w="1100" w:type="dxa"/>
            <w:vAlign w:val="bottom"/>
          </w:tcPr>
          <w:p>
            <w:pPr>
              <w:spacing w:after="0"/>
              <w:rPr>
                <w:sz w:val="21"/>
                <w:szCs w:val="21"/>
                <w:color w:val="auto"/>
              </w:rPr>
            </w:pPr>
          </w:p>
        </w:tc>
      </w:tr>
      <w:tr>
        <w:trPr>
          <w:trHeight w:val="513"/>
        </w:trPr>
        <w:tc>
          <w:tcPr>
            <w:tcW w:w="7140" w:type="dxa"/>
            <w:vAlign w:val="bottom"/>
          </w:tcPr>
          <w:p>
            <w:pPr>
              <w:ind w:left="40"/>
              <w:spacing w:after="0"/>
              <w:rPr>
                <w:sz w:val="20"/>
                <w:szCs w:val="20"/>
                <w:color w:val="auto"/>
              </w:rPr>
            </w:pPr>
            <w:r>
              <w:rPr>
                <w:rFonts w:ascii="Arial" w:cs="Arial" w:eastAsia="Arial" w:hAnsi="Arial"/>
                <w:sz w:val="18"/>
                <w:szCs w:val="18"/>
                <w:i w:val="1"/>
                <w:iCs w:val="1"/>
                <w:color w:val="auto"/>
              </w:rPr>
              <w:t>Comparable Property - Summary of Capital Expenditures (2)</w:t>
            </w: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85"/>
        </w:trPr>
        <w:tc>
          <w:tcPr>
            <w:tcW w:w="7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gridSpan w:val="3"/>
          </w:tcPr>
          <w:p>
            <w:pPr>
              <w:jc w:val="center"/>
              <w:ind w:left="497"/>
              <w:spacing w:after="0"/>
              <w:rPr>
                <w:sz w:val="20"/>
                <w:szCs w:val="20"/>
                <w:color w:val="auto"/>
              </w:rPr>
            </w:pPr>
            <w:r>
              <w:rPr>
                <w:rFonts w:ascii="Arial" w:cs="Arial" w:eastAsia="Arial" w:hAnsi="Arial"/>
                <w:sz w:val="14"/>
                <w:szCs w:val="14"/>
                <w:b w:val="1"/>
                <w:bCs w:val="1"/>
                <w:color w:val="auto"/>
                <w:w w:val="93"/>
              </w:rPr>
              <w:t>Three Months Ended</w:t>
            </w:r>
          </w:p>
        </w:tc>
        <w:tc>
          <w:tcPr>
            <w:tcW w:w="9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76"/>
        </w:trPr>
        <w:tc>
          <w:tcPr>
            <w:tcW w:w="71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3"/>
          </w:tcPr>
          <w:p>
            <w:pPr>
              <w:jc w:val="center"/>
              <w:ind w:left="477"/>
              <w:spacing w:after="0"/>
              <w:rPr>
                <w:sz w:val="20"/>
                <w:szCs w:val="20"/>
                <w:color w:val="auto"/>
              </w:rPr>
            </w:pPr>
            <w:r>
              <w:rPr>
                <w:rFonts w:ascii="Arial" w:cs="Arial" w:eastAsia="Arial" w:hAnsi="Arial"/>
                <w:sz w:val="14"/>
                <w:szCs w:val="14"/>
                <w:b w:val="1"/>
                <w:bCs w:val="1"/>
                <w:color w:val="auto"/>
                <w:w w:val="91"/>
              </w:rPr>
              <w:t>September 30,</w:t>
            </w:r>
          </w:p>
        </w:tc>
        <w:tc>
          <w:tcPr>
            <w:tcW w:w="920" w:type="dxa"/>
            <w:vAlign w:val="bottom"/>
            <w:tcBorders>
              <w:bottom w:val="single" w:sz="8" w:color="auto"/>
            </w:tcBorders>
          </w:tcPr>
          <w:p>
            <w:pPr>
              <w:spacing w:after="0"/>
              <w:rPr>
                <w:sz w:val="24"/>
                <w:szCs w:val="24"/>
                <w:color w:val="auto"/>
              </w:rPr>
            </w:pPr>
          </w:p>
        </w:tc>
        <w:tc>
          <w:tcPr>
            <w:tcW w:w="1100" w:type="dxa"/>
            <w:vAlign w:val="bottom"/>
          </w:tcPr>
          <w:p>
            <w:pPr>
              <w:spacing w:after="0"/>
              <w:rPr>
                <w:sz w:val="24"/>
                <w:szCs w:val="24"/>
                <w:color w:val="auto"/>
              </w:rPr>
            </w:pPr>
          </w:p>
        </w:tc>
      </w:tr>
      <w:tr>
        <w:trPr>
          <w:trHeight w:val="264"/>
        </w:trPr>
        <w:tc>
          <w:tcPr>
            <w:tcW w:w="71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w w:val="89"/>
              </w:rPr>
              <w:t>2016</w:t>
            </w:r>
          </w:p>
        </w:tc>
        <w:tc>
          <w:tcPr>
            <w:tcW w:w="1100" w:type="dxa"/>
            <w:vAlign w:val="bottom"/>
          </w:tcPr>
          <w:p>
            <w:pPr>
              <w:spacing w:after="0"/>
              <w:rPr>
                <w:sz w:val="22"/>
                <w:szCs w:val="22"/>
                <w:color w:val="auto"/>
              </w:rPr>
            </w:pPr>
          </w:p>
        </w:tc>
      </w:tr>
      <w:tr>
        <w:trPr>
          <w:trHeight w:val="244"/>
        </w:trPr>
        <w:tc>
          <w:tcPr>
            <w:tcW w:w="7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80" w:type="dxa"/>
            <w:vAlign w:val="bottom"/>
            <w:gridSpan w:val="3"/>
          </w:tcPr>
          <w:p>
            <w:pPr>
              <w:jc w:val="center"/>
              <w:ind w:left="477"/>
              <w:spacing w:after="0"/>
              <w:rPr>
                <w:sz w:val="20"/>
                <w:szCs w:val="20"/>
                <w:color w:val="auto"/>
              </w:rPr>
            </w:pPr>
            <w:r>
              <w:rPr>
                <w:rFonts w:ascii="Arial" w:cs="Arial" w:eastAsia="Arial" w:hAnsi="Arial"/>
                <w:sz w:val="14"/>
                <w:szCs w:val="14"/>
                <w:b w:val="1"/>
                <w:bCs w:val="1"/>
                <w:color w:val="auto"/>
                <w:w w:val="91"/>
              </w:rPr>
              <w:t>(in thousands)</w:t>
            </w:r>
          </w:p>
        </w:tc>
        <w:tc>
          <w:tcPr>
            <w:tcW w:w="9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55"/>
        </w:trPr>
        <w:tc>
          <w:tcPr>
            <w:tcW w:w="7140" w:type="dxa"/>
            <w:vAlign w:val="bottom"/>
          </w:tcPr>
          <w:p>
            <w:pPr>
              <w:ind w:left="380"/>
              <w:spacing w:after="0"/>
              <w:rPr>
                <w:sz w:val="20"/>
                <w:szCs w:val="20"/>
                <w:color w:val="auto"/>
              </w:rPr>
            </w:pPr>
            <w:r>
              <w:rPr>
                <w:rFonts w:ascii="Arial" w:cs="Arial" w:eastAsia="Arial" w:hAnsi="Arial"/>
                <w:sz w:val="18"/>
                <w:szCs w:val="18"/>
                <w:color w:val="auto"/>
              </w:rPr>
              <w:t>Redevelopment and tenant improvements and incentives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7"/>
              <w:spacing w:after="0"/>
              <w:rPr>
                <w:sz w:val="20"/>
                <w:szCs w:val="20"/>
                <w:color w:val="auto"/>
              </w:rPr>
            </w:pPr>
            <w:r>
              <w:rPr>
                <w:rFonts w:ascii="Arial" w:cs="Arial" w:eastAsia="Arial" w:hAnsi="Arial"/>
                <w:sz w:val="18"/>
                <w:szCs w:val="18"/>
                <w:color w:val="auto"/>
              </w:rPr>
              <w:t>23,114</w:t>
            </w:r>
          </w:p>
        </w:tc>
        <w:tc>
          <w:tcPr>
            <w:tcW w:w="100" w:type="dxa"/>
            <w:vAlign w:val="bottom"/>
          </w:tcPr>
          <w:p>
            <w:pPr>
              <w:spacing w:after="0"/>
              <w:rPr>
                <w:sz w:val="22"/>
                <w:szCs w:val="22"/>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3"/>
              <w:spacing w:after="0"/>
              <w:rPr>
                <w:sz w:val="20"/>
                <w:szCs w:val="20"/>
                <w:color w:val="auto"/>
              </w:rPr>
            </w:pPr>
            <w:r>
              <w:rPr>
                <w:rFonts w:ascii="Arial" w:cs="Arial" w:eastAsia="Arial" w:hAnsi="Arial"/>
                <w:sz w:val="18"/>
                <w:szCs w:val="18"/>
                <w:color w:val="auto"/>
              </w:rPr>
              <w:t>36,918</w:t>
            </w:r>
          </w:p>
        </w:tc>
        <w:tc>
          <w:tcPr>
            <w:tcW w:w="1100" w:type="dxa"/>
            <w:vAlign w:val="bottom"/>
          </w:tcPr>
          <w:p>
            <w:pPr>
              <w:spacing w:after="0"/>
              <w:rPr>
                <w:sz w:val="22"/>
                <w:szCs w:val="22"/>
                <w:color w:val="auto"/>
              </w:rPr>
            </w:pPr>
          </w:p>
        </w:tc>
      </w:tr>
      <w:tr>
        <w:trPr>
          <w:trHeight w:val="27"/>
        </w:trPr>
        <w:tc>
          <w:tcPr>
            <w:tcW w:w="7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7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Maintenance capital expenditures</w:t>
            </w: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7,702</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8,316</w:t>
            </w:r>
          </w:p>
        </w:tc>
        <w:tc>
          <w:tcPr>
            <w:tcW w:w="1100" w:type="dxa"/>
            <w:vAlign w:val="bottom"/>
          </w:tcPr>
          <w:p>
            <w:pPr>
              <w:spacing w:after="0"/>
              <w:rPr>
                <w:sz w:val="23"/>
                <w:szCs w:val="23"/>
                <w:color w:val="auto"/>
              </w:rPr>
            </w:pPr>
          </w:p>
        </w:tc>
      </w:tr>
      <w:tr>
        <w:trPr>
          <w:trHeight w:val="237"/>
        </w:trPr>
        <w:tc>
          <w:tcPr>
            <w:tcW w:w="714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17"/>
              <w:spacing w:after="0"/>
              <w:rPr>
                <w:sz w:val="20"/>
                <w:szCs w:val="20"/>
                <w:color w:val="auto"/>
              </w:rPr>
            </w:pPr>
            <w:r>
              <w:rPr>
                <w:rFonts w:ascii="Arial" w:cs="Arial" w:eastAsia="Arial" w:hAnsi="Arial"/>
                <w:sz w:val="18"/>
                <w:szCs w:val="18"/>
                <w:color w:val="auto"/>
              </w:rPr>
              <w:t>30,816</w:t>
            </w:r>
          </w:p>
        </w:tc>
        <w:tc>
          <w:tcPr>
            <w:tcW w:w="100" w:type="dxa"/>
            <w:vAlign w:val="bottom"/>
          </w:tcPr>
          <w:p>
            <w:pPr>
              <w:spacing w:after="0"/>
              <w:rPr>
                <w:sz w:val="20"/>
                <w:szCs w:val="20"/>
                <w:color w:val="auto"/>
              </w:rPr>
            </w:pPr>
          </w:p>
        </w:tc>
        <w:tc>
          <w:tcPr>
            <w:tcW w:w="62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45,234</w:t>
            </w:r>
          </w:p>
        </w:tc>
        <w:tc>
          <w:tcPr>
            <w:tcW w:w="1100" w:type="dxa"/>
            <w:vAlign w:val="bottom"/>
          </w:tcPr>
          <w:p>
            <w:pPr>
              <w:spacing w:after="0"/>
              <w:rPr>
                <w:sz w:val="20"/>
                <w:szCs w:val="20"/>
                <w:color w:val="auto"/>
              </w:rPr>
            </w:pPr>
          </w:p>
        </w:tc>
      </w:tr>
    </w:tbl>
    <w:p>
      <w:pPr>
        <w:spacing w:after="0" w:line="193"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Notes:</w:t>
      </w:r>
    </w:p>
    <w:p>
      <w:pPr>
        <w:spacing w:after="0" w:line="73" w:lineRule="exact"/>
        <w:rPr>
          <w:sz w:val="20"/>
          <w:szCs w:val="20"/>
          <w:color w:val="auto"/>
        </w:rPr>
      </w:pPr>
    </w:p>
    <w:p>
      <w:pPr>
        <w:ind w:left="620" w:hanging="585"/>
        <w:spacing w:after="0"/>
        <w:tabs>
          <w:tab w:leader="none" w:pos="6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See page 28 for entire portfolio occupancy statistics.</w:t>
      </w:r>
    </w:p>
    <w:p>
      <w:pPr>
        <w:spacing w:after="0" w:line="72" w:lineRule="exact"/>
        <w:rPr>
          <w:rFonts w:ascii="Arial" w:cs="Arial" w:eastAsia="Arial" w:hAnsi="Arial"/>
          <w:sz w:val="16"/>
          <w:szCs w:val="16"/>
          <w:color w:val="auto"/>
        </w:rPr>
      </w:pPr>
    </w:p>
    <w:p>
      <w:pPr>
        <w:ind w:left="620" w:hanging="585"/>
        <w:spacing w:after="0"/>
        <w:tabs>
          <w:tab w:leader="none" w:pos="6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See page 9 for "Summary of Capital Expenditures" for our entire portfolio.</w:t>
      </w:r>
    </w:p>
    <w:p>
      <w:pPr>
        <w:sectPr>
          <w:pgSz w:w="11900" w:h="16838" w:orient="portrait"/>
          <w:cols w:equalWidth="0" w:num="1">
            <w:col w:w="11420"/>
          </w:cols>
          <w:pgMar w:left="240" w:top="742" w:right="239" w:bottom="0" w:gutter="0" w:footer="0" w:header="0"/>
        </w:sectPr>
      </w:pPr>
    </w:p>
    <w:bookmarkStart w:id="15" w:name="page16"/>
    <w:bookmarkEnd w:id="15"/>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9019"/>
          </w:cols>
          <w:pgMar w:left="1440" w:top="125" w:right="1440" w:bottom="1440" w:gutter="0" w:footer="0" w:header="0"/>
        </w:sectPr>
      </w:pPr>
    </w:p>
    <w:bookmarkStart w:id="16" w:name="page17"/>
    <w:bookmarkEnd w:id="16"/>
    <w:p>
      <w:pPr>
        <w:spacing w:after="0" w:line="6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Summary of Outstanding Debt and Capital Lease Obligations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September 30, 2017</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5"/>
          </w:tcPr>
          <w:p>
            <w:pPr>
              <w:ind w:left="920"/>
              <w:spacing w:after="0"/>
              <w:rPr>
                <w:sz w:val="20"/>
                <w:szCs w:val="20"/>
                <w:color w:val="auto"/>
              </w:rPr>
            </w:pPr>
            <w:r>
              <w:rPr>
                <w:rFonts w:ascii="Arial" w:cs="Arial" w:eastAsia="Arial" w:hAnsi="Arial"/>
                <w:sz w:val="14"/>
                <w:szCs w:val="14"/>
                <w:b w:val="1"/>
                <w:bCs w:val="1"/>
                <w:color w:val="auto"/>
              </w:rPr>
              <w:t>As of September 30, 2017</w:t>
            </w: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00" w:type="dxa"/>
            <w:vAlign w:val="bottom"/>
            <w:vMerge w:val="restart"/>
          </w:tcPr>
          <w:p>
            <w:pPr>
              <w:jc w:val="center"/>
              <w:ind w:right="79"/>
              <w:spacing w:after="0"/>
              <w:rPr>
                <w:sz w:val="20"/>
                <w:szCs w:val="20"/>
                <w:color w:val="auto"/>
              </w:rPr>
            </w:pPr>
            <w:r>
              <w:rPr>
                <w:rFonts w:ascii="Arial" w:cs="Arial" w:eastAsia="Arial" w:hAnsi="Arial"/>
                <w:sz w:val="14"/>
                <w:szCs w:val="14"/>
                <w:b w:val="1"/>
                <w:bCs w:val="1"/>
                <w:color w:val="auto"/>
                <w:w w:val="93"/>
              </w:rPr>
              <w:t>Stated maturity date</w:t>
            </w:r>
          </w:p>
        </w:tc>
        <w:tc>
          <w:tcPr>
            <w:tcW w:w="100" w:type="dxa"/>
            <w:vAlign w:val="bottom"/>
            <w:vMerge w:val="restart"/>
          </w:tcPr>
          <w:p>
            <w:pPr>
              <w:spacing w:after="0"/>
              <w:rPr>
                <w:sz w:val="13"/>
                <w:szCs w:val="13"/>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Stated interest rate</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vMerge w:val="restart"/>
          </w:tcPr>
          <w:p>
            <w:pPr>
              <w:jc w:val="center"/>
              <w:ind w:right="59"/>
              <w:spacing w:after="0"/>
              <w:rPr>
                <w:sz w:val="20"/>
                <w:szCs w:val="20"/>
                <w:color w:val="auto"/>
              </w:rPr>
            </w:pPr>
            <w:r>
              <w:rPr>
                <w:rFonts w:ascii="Arial" w:cs="Arial" w:eastAsia="Arial" w:hAnsi="Arial"/>
                <w:sz w:val="14"/>
                <w:szCs w:val="14"/>
                <w:b w:val="1"/>
                <w:bCs w:val="1"/>
                <w:color w:val="auto"/>
                <w:w w:val="89"/>
              </w:rPr>
              <w:t>Balance</w:t>
            </w:r>
          </w:p>
        </w:tc>
        <w:tc>
          <w:tcPr>
            <w:tcW w:w="100" w:type="dxa"/>
            <w:vAlign w:val="bottom"/>
            <w:vMerge w:val="restart"/>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tcPr>
          <w:p>
            <w:pPr>
              <w:jc w:val="right"/>
              <w:ind w:right="59"/>
              <w:spacing w:after="0" w:line="153" w:lineRule="exact"/>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4"/>
                <w:szCs w:val="14"/>
                <w:b w:val="1"/>
                <w:bCs w:val="1"/>
                <w:color w:val="auto"/>
              </w:rPr>
              <w:t>effective rate (3)</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 thousands)</w:t>
            </w: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240" w:type="dxa"/>
            <w:vAlign w:val="bottom"/>
            <w:gridSpan w:val="6"/>
            <w:shd w:val="clear" w:color="auto" w:fill="CCEEFF"/>
          </w:tcPr>
          <w:p>
            <w:pPr>
              <w:spacing w:after="0"/>
              <w:rPr>
                <w:sz w:val="20"/>
                <w:szCs w:val="20"/>
                <w:color w:val="auto"/>
              </w:rPr>
            </w:pPr>
            <w:r>
              <w:rPr>
                <w:rFonts w:ascii="Arial" w:cs="Arial" w:eastAsia="Arial" w:hAnsi="Arial"/>
                <w:sz w:val="16"/>
                <w:szCs w:val="16"/>
                <w:color w:val="auto"/>
              </w:rPr>
              <w:t>Mortgages Payable</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auto"/>
            </w:tcBorders>
            <w:shd w:val="clear" w:color="auto" w:fill="CCEEFF"/>
          </w:tcPr>
          <w:p>
            <w:pPr>
              <w:spacing w:after="0"/>
              <w:rPr>
                <w:sz w:val="4"/>
                <w:szCs w:val="4"/>
                <w:color w:val="auto"/>
              </w:rPr>
            </w:pPr>
          </w:p>
        </w:tc>
        <w:tc>
          <w:tcPr>
            <w:tcW w:w="32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2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7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Arial" w:cs="Arial" w:eastAsia="Arial" w:hAnsi="Arial"/>
                <w:sz w:val="16"/>
                <w:szCs w:val="16"/>
                <w:i w:val="1"/>
                <w:iCs w:val="1"/>
                <w:color w:val="auto"/>
              </w:rPr>
              <w:t>Secured fixed rate</w:t>
            </w: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Arial" w:cs="Arial" w:eastAsia="Arial" w:hAnsi="Arial"/>
                <w:sz w:val="16"/>
                <w:szCs w:val="16"/>
                <w:color w:val="auto"/>
              </w:rPr>
              <w:t>The Grove at Shrewsbury (West)</w:t>
            </w:r>
          </w:p>
        </w:tc>
        <w:tc>
          <w:tcPr>
            <w:tcW w:w="170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93"/>
              </w:rPr>
              <w:t>3/1/2018</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6.38%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10,608</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Arial" w:cs="Arial" w:eastAsia="Arial" w:hAnsi="Arial"/>
                <w:sz w:val="16"/>
                <w:szCs w:val="16"/>
                <w:color w:val="auto"/>
              </w:rPr>
              <w:t>Rollingwood Apartments</w:t>
            </w:r>
          </w:p>
        </w:tc>
        <w:tc>
          <w:tcPr>
            <w:tcW w:w="1700" w:type="dxa"/>
            <w:vAlign w:val="bottom"/>
          </w:tcPr>
          <w:p>
            <w:pPr>
              <w:jc w:val="center"/>
              <w:ind w:right="79"/>
              <w:spacing w:after="0"/>
              <w:rPr>
                <w:sz w:val="20"/>
                <w:szCs w:val="20"/>
                <w:color w:val="auto"/>
              </w:rPr>
            </w:pPr>
            <w:r>
              <w:rPr>
                <w:rFonts w:ascii="Arial" w:cs="Arial" w:eastAsia="Arial" w:hAnsi="Arial"/>
                <w:sz w:val="16"/>
                <w:szCs w:val="16"/>
                <w:color w:val="auto"/>
                <w:w w:val="93"/>
              </w:rPr>
              <w:t>5/1/2019</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5.54%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20,939</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Arial" w:cs="Arial" w:eastAsia="Arial" w:hAnsi="Arial"/>
                <w:sz w:val="16"/>
                <w:szCs w:val="16"/>
                <w:color w:val="auto"/>
              </w:rPr>
              <w:t>The Shops at Sunset Place</w:t>
            </w:r>
          </w:p>
        </w:tc>
        <w:tc>
          <w:tcPr>
            <w:tcW w:w="170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93"/>
              </w:rPr>
              <w:t>9/1/2020</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5.62%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67,124</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Arial" w:cs="Arial" w:eastAsia="Arial" w:hAnsi="Arial"/>
                <w:sz w:val="16"/>
                <w:szCs w:val="16"/>
                <w:color w:val="auto"/>
              </w:rPr>
              <w:t>29th Place</w:t>
            </w:r>
          </w:p>
        </w:tc>
        <w:tc>
          <w:tcPr>
            <w:tcW w:w="1700" w:type="dxa"/>
            <w:vAlign w:val="bottom"/>
          </w:tcPr>
          <w:p>
            <w:pPr>
              <w:jc w:val="center"/>
              <w:ind w:right="79"/>
              <w:spacing w:after="0"/>
              <w:rPr>
                <w:sz w:val="20"/>
                <w:szCs w:val="20"/>
                <w:color w:val="auto"/>
              </w:rPr>
            </w:pPr>
            <w:r>
              <w:rPr>
                <w:rFonts w:ascii="Arial" w:cs="Arial" w:eastAsia="Arial" w:hAnsi="Arial"/>
                <w:sz w:val="16"/>
                <w:szCs w:val="16"/>
                <w:color w:val="auto"/>
                <w:w w:val="92"/>
              </w:rPr>
              <w:t>1/31/2021</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5.91%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4,395</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Arial" w:cs="Arial" w:eastAsia="Arial" w:hAnsi="Arial"/>
                <w:sz w:val="16"/>
                <w:szCs w:val="16"/>
                <w:color w:val="auto"/>
              </w:rPr>
              <w:t>Sylmar Towne Center</w:t>
            </w:r>
          </w:p>
        </w:tc>
        <w:tc>
          <w:tcPr>
            <w:tcW w:w="170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93"/>
              </w:rPr>
              <w:t>6/6/2021</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5.39%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17,448</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Arial" w:cs="Arial" w:eastAsia="Arial" w:hAnsi="Arial"/>
                <w:sz w:val="16"/>
                <w:szCs w:val="16"/>
                <w:color w:val="auto"/>
              </w:rPr>
              <w:t>Plaza Del Sol</w:t>
            </w:r>
          </w:p>
        </w:tc>
        <w:tc>
          <w:tcPr>
            <w:tcW w:w="1700" w:type="dxa"/>
            <w:vAlign w:val="bottom"/>
          </w:tcPr>
          <w:p>
            <w:pPr>
              <w:jc w:val="center"/>
              <w:ind w:right="79"/>
              <w:spacing w:after="0"/>
              <w:rPr>
                <w:sz w:val="20"/>
                <w:szCs w:val="20"/>
                <w:color w:val="auto"/>
              </w:rPr>
            </w:pPr>
            <w:r>
              <w:rPr>
                <w:rFonts w:ascii="Arial" w:cs="Arial" w:eastAsia="Arial" w:hAnsi="Arial"/>
                <w:sz w:val="16"/>
                <w:szCs w:val="16"/>
                <w:color w:val="auto"/>
                <w:w w:val="92"/>
              </w:rPr>
              <w:t>12/1/2021</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5.23%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8,621</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Arial" w:cs="Arial" w:eastAsia="Arial" w:hAnsi="Arial"/>
                <w:sz w:val="16"/>
                <w:szCs w:val="16"/>
                <w:color w:val="auto"/>
              </w:rPr>
              <w:t>THE AVENUE at White Marsh</w:t>
            </w:r>
          </w:p>
        </w:tc>
        <w:tc>
          <w:tcPr>
            <w:tcW w:w="170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93"/>
              </w:rPr>
              <w:t>1/1/2022</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52,705</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Arial" w:cs="Arial" w:eastAsia="Arial" w:hAnsi="Arial"/>
                <w:sz w:val="16"/>
                <w:szCs w:val="16"/>
                <w:color w:val="auto"/>
              </w:rPr>
              <w:t>Montrose Crossing</w:t>
            </w:r>
          </w:p>
        </w:tc>
        <w:tc>
          <w:tcPr>
            <w:tcW w:w="1700" w:type="dxa"/>
            <w:vAlign w:val="bottom"/>
          </w:tcPr>
          <w:p>
            <w:pPr>
              <w:jc w:val="center"/>
              <w:ind w:right="79"/>
              <w:spacing w:after="0"/>
              <w:rPr>
                <w:sz w:val="20"/>
                <w:szCs w:val="20"/>
                <w:color w:val="auto"/>
              </w:rPr>
            </w:pPr>
            <w:r>
              <w:rPr>
                <w:rFonts w:ascii="Arial" w:cs="Arial" w:eastAsia="Arial" w:hAnsi="Arial"/>
                <w:sz w:val="16"/>
                <w:szCs w:val="16"/>
                <w:color w:val="auto"/>
                <w:w w:val="92"/>
              </w:rPr>
              <w:t>1/10/2022</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4.20%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71,478</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Arial" w:cs="Arial" w:eastAsia="Arial" w:hAnsi="Arial"/>
                <w:sz w:val="16"/>
                <w:szCs w:val="16"/>
                <w:color w:val="auto"/>
              </w:rPr>
              <w:t>Azalea</w:t>
            </w:r>
          </w:p>
        </w:tc>
        <w:tc>
          <w:tcPr>
            <w:tcW w:w="170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92"/>
              </w:rPr>
              <w:t>11/1/2025</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40,000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Arial" w:cs="Arial" w:eastAsia="Arial" w:hAnsi="Arial"/>
                <w:sz w:val="16"/>
                <w:szCs w:val="16"/>
                <w:color w:val="auto"/>
              </w:rPr>
              <w:t>Bell Gardens</w:t>
            </w:r>
          </w:p>
        </w:tc>
        <w:tc>
          <w:tcPr>
            <w:tcW w:w="1700" w:type="dxa"/>
            <w:vAlign w:val="bottom"/>
          </w:tcPr>
          <w:p>
            <w:pPr>
              <w:jc w:val="center"/>
              <w:ind w:right="79"/>
              <w:spacing w:after="0"/>
              <w:rPr>
                <w:sz w:val="20"/>
                <w:szCs w:val="20"/>
                <w:color w:val="auto"/>
              </w:rPr>
            </w:pPr>
            <w:r>
              <w:rPr>
                <w:rFonts w:ascii="Arial" w:cs="Arial" w:eastAsia="Arial" w:hAnsi="Arial"/>
                <w:sz w:val="16"/>
                <w:szCs w:val="16"/>
                <w:color w:val="auto"/>
                <w:w w:val="93"/>
              </w:rPr>
              <w:t>8/1/2026</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4.06%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13,245</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Arial" w:cs="Arial" w:eastAsia="Arial" w:hAnsi="Arial"/>
                <w:sz w:val="16"/>
                <w:szCs w:val="16"/>
                <w:color w:val="auto"/>
              </w:rPr>
              <w:t>Plaze El Segundo</w:t>
            </w:r>
          </w:p>
        </w:tc>
        <w:tc>
          <w:tcPr>
            <w:tcW w:w="170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93"/>
              </w:rPr>
              <w:t>6/5/2027</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125,000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Arial" w:cs="Arial" w:eastAsia="Arial" w:hAnsi="Arial"/>
                <w:sz w:val="16"/>
                <w:szCs w:val="16"/>
                <w:color w:val="auto"/>
              </w:rPr>
              <w:t>The Grove at Shrewsbury (East)</w:t>
            </w:r>
          </w:p>
        </w:tc>
        <w:tc>
          <w:tcPr>
            <w:tcW w:w="1700" w:type="dxa"/>
            <w:vAlign w:val="bottom"/>
          </w:tcPr>
          <w:p>
            <w:pPr>
              <w:jc w:val="center"/>
              <w:ind w:right="79"/>
              <w:spacing w:after="0"/>
              <w:rPr>
                <w:sz w:val="20"/>
                <w:szCs w:val="20"/>
                <w:color w:val="auto"/>
              </w:rPr>
            </w:pPr>
            <w:r>
              <w:rPr>
                <w:rFonts w:ascii="Arial" w:cs="Arial" w:eastAsia="Arial" w:hAnsi="Arial"/>
                <w:sz w:val="16"/>
                <w:szCs w:val="16"/>
                <w:color w:val="auto"/>
                <w:w w:val="93"/>
              </w:rPr>
              <w:t>9/1/2027</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3.77%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43,600</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Arial" w:cs="Arial" w:eastAsia="Arial" w:hAnsi="Arial"/>
                <w:sz w:val="16"/>
                <w:szCs w:val="16"/>
                <w:color w:val="auto"/>
              </w:rPr>
              <w:t>Brook 35</w:t>
            </w:r>
          </w:p>
        </w:tc>
        <w:tc>
          <w:tcPr>
            <w:tcW w:w="170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93"/>
              </w:rPr>
              <w:t>7/1/2029</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4.65%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11,500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Arial" w:cs="Arial" w:eastAsia="Arial" w:hAnsi="Arial"/>
                <w:sz w:val="16"/>
                <w:szCs w:val="16"/>
                <w:color w:val="auto"/>
              </w:rPr>
              <w:t>Chelsea</w:t>
            </w:r>
          </w:p>
        </w:tc>
        <w:tc>
          <w:tcPr>
            <w:tcW w:w="1700" w:type="dxa"/>
            <w:vAlign w:val="bottom"/>
          </w:tcPr>
          <w:p>
            <w:pPr>
              <w:jc w:val="center"/>
              <w:ind w:right="79"/>
              <w:spacing w:after="0"/>
              <w:rPr>
                <w:sz w:val="20"/>
                <w:szCs w:val="20"/>
                <w:color w:val="auto"/>
              </w:rPr>
            </w:pPr>
            <w:r>
              <w:rPr>
                <w:rFonts w:ascii="Arial" w:cs="Arial" w:eastAsia="Arial" w:hAnsi="Arial"/>
                <w:sz w:val="16"/>
                <w:szCs w:val="16"/>
                <w:color w:val="auto"/>
                <w:w w:val="92"/>
              </w:rPr>
              <w:t>1/15/2031</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5.36%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6,346</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4240" w:type="dxa"/>
            <w:vAlign w:val="bottom"/>
            <w:tcBorders>
              <w:bottom w:val="single" w:sz="8" w:color="CCEEFF"/>
            </w:tcBorders>
            <w:gridSpan w:val="6"/>
            <w:shd w:val="clear" w:color="auto" w:fill="CCEEFF"/>
          </w:tcPr>
          <w:p>
            <w:pPr>
              <w:ind w:left="700"/>
              <w:spacing w:after="0"/>
              <w:rPr>
                <w:sz w:val="20"/>
                <w:szCs w:val="20"/>
                <w:color w:val="auto"/>
              </w:rPr>
            </w:pPr>
            <w:r>
              <w:rPr>
                <w:rFonts w:ascii="Arial" w:cs="Arial" w:eastAsia="Arial" w:hAnsi="Arial"/>
                <w:sz w:val="16"/>
                <w:szCs w:val="16"/>
                <w:color w:val="auto"/>
              </w:rPr>
              <w:t>Subtotal</w:t>
            </w:r>
          </w:p>
        </w:tc>
        <w:tc>
          <w:tcPr>
            <w:tcW w:w="1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493,009</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920"/>
              <w:spacing w:after="0"/>
              <w:rPr>
                <w:sz w:val="20"/>
                <w:szCs w:val="20"/>
                <w:color w:val="auto"/>
              </w:rPr>
            </w:pPr>
            <w:r>
              <w:rPr>
                <w:rFonts w:ascii="Arial" w:cs="Arial" w:eastAsia="Arial" w:hAnsi="Arial"/>
                <w:sz w:val="16"/>
                <w:szCs w:val="16"/>
                <w:color w:val="auto"/>
                <w:w w:val="91"/>
              </w:rPr>
              <w:t>Net unamortized premium and debt issuance costs</w:t>
            </w: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231</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700"/>
              <w:spacing w:after="0"/>
              <w:rPr>
                <w:sz w:val="20"/>
                <w:szCs w:val="20"/>
                <w:color w:val="auto"/>
              </w:rPr>
            </w:pPr>
            <w:r>
              <w:rPr>
                <w:rFonts w:ascii="Arial" w:cs="Arial" w:eastAsia="Arial" w:hAnsi="Arial"/>
                <w:sz w:val="16"/>
                <w:szCs w:val="16"/>
                <w:color w:val="auto"/>
              </w:rPr>
              <w:t>Total mortgages payable</w:t>
            </w: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493,240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rPr>
              <w:t>4.11%</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240" w:type="dxa"/>
            <w:vAlign w:val="bottom"/>
            <w:gridSpan w:val="6"/>
            <w:shd w:val="clear" w:color="auto" w:fill="CCEEFF"/>
          </w:tcPr>
          <w:p>
            <w:pPr>
              <w:spacing w:after="0"/>
              <w:rPr>
                <w:sz w:val="20"/>
                <w:szCs w:val="20"/>
                <w:color w:val="auto"/>
              </w:rPr>
            </w:pPr>
            <w:r>
              <w:rPr>
                <w:rFonts w:ascii="Arial" w:cs="Arial" w:eastAsia="Arial" w:hAnsi="Arial"/>
                <w:sz w:val="16"/>
                <w:szCs w:val="16"/>
                <w:color w:val="auto"/>
              </w:rPr>
              <w:t>Notes payable</w:t>
            </w: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auto"/>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2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7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Arial" w:cs="Arial" w:eastAsia="Arial" w:hAnsi="Arial"/>
                <w:sz w:val="16"/>
                <w:szCs w:val="16"/>
                <w:i w:val="1"/>
                <w:iCs w:val="1"/>
                <w:color w:val="auto"/>
              </w:rPr>
              <w:t>Unsecured fixed rate</w:t>
            </w: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Arial" w:cs="Arial" w:eastAsia="Arial" w:hAnsi="Arial"/>
                <w:sz w:val="16"/>
                <w:szCs w:val="16"/>
                <w:color w:val="auto"/>
              </w:rPr>
              <w:t>Term loan (1)</w:t>
            </w:r>
          </w:p>
        </w:tc>
        <w:tc>
          <w:tcPr>
            <w:tcW w:w="170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92"/>
              </w:rPr>
              <w:t>11/21/2018</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6"/>
              </w:rPr>
              <w:t>LIBOR + 0.90%</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275,000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Arial" w:cs="Arial" w:eastAsia="Arial" w:hAnsi="Arial"/>
                <w:sz w:val="16"/>
                <w:szCs w:val="16"/>
                <w:color w:val="auto"/>
              </w:rPr>
              <w:t>Various</w:t>
            </w:r>
          </w:p>
        </w:tc>
        <w:tc>
          <w:tcPr>
            <w:tcW w:w="1800" w:type="dxa"/>
            <w:vAlign w:val="bottom"/>
            <w:gridSpan w:val="2"/>
          </w:tcPr>
          <w:p>
            <w:pPr>
              <w:jc w:val="center"/>
              <w:ind w:right="240"/>
              <w:spacing w:after="0"/>
              <w:rPr>
                <w:sz w:val="20"/>
                <w:szCs w:val="20"/>
                <w:color w:val="auto"/>
              </w:rPr>
            </w:pPr>
            <w:r>
              <w:rPr>
                <w:rFonts w:ascii="Arial" w:cs="Arial" w:eastAsia="Arial" w:hAnsi="Arial"/>
                <w:sz w:val="16"/>
                <w:szCs w:val="16"/>
                <w:color w:val="auto"/>
                <w:w w:val="91"/>
              </w:rPr>
              <w:t>Various through 2028</w:t>
            </w: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11.31%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4,908</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Arial" w:cs="Arial" w:eastAsia="Arial" w:hAnsi="Arial"/>
                <w:sz w:val="16"/>
                <w:szCs w:val="16"/>
                <w:i w:val="1"/>
                <w:iCs w:val="1"/>
                <w:color w:val="auto"/>
              </w:rPr>
              <w:t>Unsecured variable rate</w:t>
            </w: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Arial" w:cs="Arial" w:eastAsia="Arial" w:hAnsi="Arial"/>
                <w:sz w:val="16"/>
                <w:szCs w:val="16"/>
                <w:color w:val="auto"/>
              </w:rPr>
              <w:t>Revolving credit facility (2)</w:t>
            </w:r>
          </w:p>
        </w:tc>
        <w:tc>
          <w:tcPr>
            <w:tcW w:w="1700" w:type="dxa"/>
            <w:vAlign w:val="bottom"/>
          </w:tcPr>
          <w:p>
            <w:pPr>
              <w:jc w:val="center"/>
              <w:ind w:right="79"/>
              <w:spacing w:after="0"/>
              <w:rPr>
                <w:sz w:val="20"/>
                <w:szCs w:val="20"/>
                <w:color w:val="auto"/>
              </w:rPr>
            </w:pPr>
            <w:r>
              <w:rPr>
                <w:rFonts w:ascii="Arial" w:cs="Arial" w:eastAsia="Arial" w:hAnsi="Arial"/>
                <w:sz w:val="16"/>
                <w:szCs w:val="16"/>
                <w:color w:val="auto"/>
                <w:w w:val="92"/>
              </w:rPr>
              <w:t>4/20/2020</w:t>
            </w:r>
          </w:p>
        </w:tc>
        <w:tc>
          <w:tcPr>
            <w:tcW w:w="100" w:type="dxa"/>
            <w:vAlign w:val="bottom"/>
          </w:tcPr>
          <w:p>
            <w:pPr>
              <w:spacing w:after="0"/>
              <w:rPr>
                <w:sz w:val="20"/>
                <w:szCs w:val="20"/>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LIBOR + 0.825%</w:t>
            </w: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41,500</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4240" w:type="dxa"/>
            <w:vAlign w:val="bottom"/>
            <w:tcBorders>
              <w:bottom w:val="single" w:sz="8" w:color="CCEEFF"/>
            </w:tcBorders>
            <w:gridSpan w:val="6"/>
            <w:shd w:val="clear" w:color="auto" w:fill="CCEEFF"/>
          </w:tcPr>
          <w:p>
            <w:pPr>
              <w:ind w:left="700"/>
              <w:spacing w:after="0"/>
              <w:rPr>
                <w:sz w:val="20"/>
                <w:szCs w:val="20"/>
                <w:color w:val="auto"/>
              </w:rPr>
            </w:pPr>
            <w:r>
              <w:rPr>
                <w:rFonts w:ascii="Arial" w:cs="Arial" w:eastAsia="Arial" w:hAnsi="Arial"/>
                <w:sz w:val="16"/>
                <w:szCs w:val="16"/>
                <w:color w:val="auto"/>
              </w:rPr>
              <w:t>Subtotal</w:t>
            </w:r>
          </w:p>
        </w:tc>
        <w:tc>
          <w:tcPr>
            <w:tcW w:w="1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321,408</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920"/>
              <w:spacing w:after="0"/>
              <w:rPr>
                <w:sz w:val="20"/>
                <w:szCs w:val="20"/>
                <w:color w:val="auto"/>
              </w:rPr>
            </w:pPr>
            <w:r>
              <w:rPr>
                <w:rFonts w:ascii="Arial" w:cs="Arial" w:eastAsia="Arial" w:hAnsi="Arial"/>
                <w:sz w:val="16"/>
                <w:szCs w:val="16"/>
                <w:color w:val="auto"/>
              </w:rPr>
              <w:t>Net unamortized debt issuance costs</w:t>
            </w: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(690)</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700"/>
              <w:spacing w:after="0"/>
              <w:rPr>
                <w:sz w:val="20"/>
                <w:szCs w:val="20"/>
                <w:color w:val="auto"/>
              </w:rPr>
            </w:pPr>
            <w:r>
              <w:rPr>
                <w:rFonts w:ascii="Arial" w:cs="Arial" w:eastAsia="Arial" w:hAnsi="Arial"/>
                <w:sz w:val="16"/>
                <w:szCs w:val="16"/>
                <w:color w:val="auto"/>
              </w:rPr>
              <w:t>Total notes payable</w:t>
            </w: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320,718</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rPr>
              <w:t>2.86%</w:t>
            </w:r>
          </w:p>
        </w:tc>
        <w:tc>
          <w:tcPr>
            <w:tcW w:w="4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91"/>
              </w:rPr>
              <w:t>(4)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4240" w:type="dxa"/>
            <w:vAlign w:val="bottom"/>
            <w:gridSpan w:val="6"/>
            <w:shd w:val="clear" w:color="auto" w:fill="CCEEFF"/>
          </w:tcPr>
          <w:p>
            <w:pPr>
              <w:spacing w:after="0"/>
              <w:rPr>
                <w:sz w:val="20"/>
                <w:szCs w:val="20"/>
                <w:color w:val="auto"/>
              </w:rPr>
            </w:pPr>
            <w:r>
              <w:rPr>
                <w:rFonts w:ascii="Arial" w:cs="Arial" w:eastAsia="Arial" w:hAnsi="Arial"/>
                <w:sz w:val="16"/>
                <w:szCs w:val="16"/>
                <w:color w:val="auto"/>
              </w:rPr>
              <w:t>Senior notes and debentures</w:t>
            </w:r>
          </w:p>
        </w:tc>
        <w:tc>
          <w:tcPr>
            <w:tcW w:w="1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CCEEFF"/>
            </w:tcBorders>
          </w:tcPr>
          <w:p>
            <w:pPr>
              <w:spacing w:after="0"/>
              <w:rPr>
                <w:sz w:val="20"/>
                <w:szCs w:val="20"/>
                <w:color w:val="auto"/>
              </w:rPr>
            </w:pPr>
          </w:p>
        </w:tc>
        <w:tc>
          <w:tcPr>
            <w:tcW w:w="1820" w:type="dxa"/>
            <w:vAlign w:val="bottom"/>
            <w:tcBorders>
              <w:top w:val="single" w:sz="8" w:color="auto"/>
            </w:tcBorders>
            <w:gridSpan w:val="4"/>
          </w:tcPr>
          <w:p>
            <w:pPr>
              <w:ind w:left="360"/>
              <w:spacing w:after="0"/>
              <w:rPr>
                <w:sz w:val="20"/>
                <w:szCs w:val="20"/>
                <w:color w:val="auto"/>
              </w:rPr>
            </w:pPr>
            <w:r>
              <w:rPr>
                <w:rFonts w:ascii="Arial" w:cs="Arial" w:eastAsia="Arial" w:hAnsi="Arial"/>
                <w:sz w:val="16"/>
                <w:szCs w:val="16"/>
                <w:i w:val="1"/>
                <w:iCs w:val="1"/>
                <w:color w:val="auto"/>
                <w:w w:val="97"/>
              </w:rPr>
              <w:t>Unsecured fixed rate</w:t>
            </w:r>
          </w:p>
        </w:tc>
        <w:tc>
          <w:tcPr>
            <w:tcW w:w="2420" w:type="dxa"/>
            <w:vAlign w:val="bottom"/>
            <w:tcBorders>
              <w:top w:val="single" w:sz="8" w:color="CCEEFF"/>
            </w:tcBorders>
            <w:gridSpan w:val="2"/>
          </w:tcPr>
          <w:p>
            <w:pPr>
              <w:spacing w:after="0"/>
              <w:rPr>
                <w:sz w:val="20"/>
                <w:szCs w:val="20"/>
                <w:color w:val="auto"/>
              </w:rPr>
            </w:pPr>
          </w:p>
        </w:tc>
        <w:tc>
          <w:tcPr>
            <w:tcW w:w="170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160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110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84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920" w:type="dxa"/>
            <w:vAlign w:val="bottom"/>
            <w:tcBorders>
              <w:top w:val="single" w:sz="8" w:color="CCEEFF"/>
            </w:tcBorders>
          </w:tcPr>
          <w:p>
            <w:pPr>
              <w:spacing w:after="0"/>
              <w:rPr>
                <w:sz w:val="20"/>
                <w:szCs w:val="20"/>
                <w:color w:val="auto"/>
              </w:rPr>
            </w:pPr>
          </w:p>
        </w:tc>
        <w:tc>
          <w:tcPr>
            <w:tcW w:w="44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Arial" w:cs="Arial" w:eastAsia="Arial" w:hAnsi="Arial"/>
                <w:sz w:val="16"/>
                <w:szCs w:val="16"/>
                <w:color w:val="auto"/>
              </w:rPr>
              <w:t>5.90% notes</w:t>
            </w:r>
          </w:p>
        </w:tc>
        <w:tc>
          <w:tcPr>
            <w:tcW w:w="170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93"/>
              </w:rPr>
              <w:t>4/1/2020</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5.90%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150,000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Arial" w:cs="Arial" w:eastAsia="Arial" w:hAnsi="Arial"/>
                <w:sz w:val="16"/>
                <w:szCs w:val="16"/>
                <w:color w:val="auto"/>
              </w:rPr>
              <w:t>2.55% notes</w:t>
            </w:r>
          </w:p>
        </w:tc>
        <w:tc>
          <w:tcPr>
            <w:tcW w:w="1700" w:type="dxa"/>
            <w:vAlign w:val="bottom"/>
          </w:tcPr>
          <w:p>
            <w:pPr>
              <w:jc w:val="center"/>
              <w:ind w:right="79"/>
              <w:spacing w:after="0"/>
              <w:rPr>
                <w:sz w:val="20"/>
                <w:szCs w:val="20"/>
                <w:color w:val="auto"/>
              </w:rPr>
            </w:pPr>
            <w:r>
              <w:rPr>
                <w:rFonts w:ascii="Arial" w:cs="Arial" w:eastAsia="Arial" w:hAnsi="Arial"/>
                <w:sz w:val="16"/>
                <w:szCs w:val="16"/>
                <w:color w:val="auto"/>
                <w:w w:val="92"/>
              </w:rPr>
              <w:t>1/15/2021</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2.55%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250,000</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Arial" w:cs="Arial" w:eastAsia="Arial" w:hAnsi="Arial"/>
                <w:sz w:val="16"/>
                <w:szCs w:val="16"/>
                <w:color w:val="auto"/>
              </w:rPr>
              <w:t>3.00% notes</w:t>
            </w:r>
          </w:p>
        </w:tc>
        <w:tc>
          <w:tcPr>
            <w:tcW w:w="170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93"/>
              </w:rPr>
              <w:t>8/1/2022</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250,000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Arial" w:cs="Arial" w:eastAsia="Arial" w:hAnsi="Arial"/>
                <w:sz w:val="16"/>
                <w:szCs w:val="16"/>
                <w:color w:val="auto"/>
              </w:rPr>
              <w:t>2.75% notes</w:t>
            </w:r>
          </w:p>
        </w:tc>
        <w:tc>
          <w:tcPr>
            <w:tcW w:w="1700" w:type="dxa"/>
            <w:vAlign w:val="bottom"/>
          </w:tcPr>
          <w:p>
            <w:pPr>
              <w:jc w:val="center"/>
              <w:ind w:right="79"/>
              <w:spacing w:after="0"/>
              <w:rPr>
                <w:sz w:val="20"/>
                <w:szCs w:val="20"/>
                <w:color w:val="auto"/>
              </w:rPr>
            </w:pPr>
            <w:r>
              <w:rPr>
                <w:rFonts w:ascii="Arial" w:cs="Arial" w:eastAsia="Arial" w:hAnsi="Arial"/>
                <w:sz w:val="16"/>
                <w:szCs w:val="16"/>
                <w:color w:val="auto"/>
                <w:w w:val="93"/>
              </w:rPr>
              <w:t>6/1/2023</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2.75%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275,000</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Arial" w:cs="Arial" w:eastAsia="Arial" w:hAnsi="Arial"/>
                <w:sz w:val="16"/>
                <w:szCs w:val="16"/>
                <w:color w:val="auto"/>
              </w:rPr>
              <w:t>3.95% notes</w:t>
            </w:r>
          </w:p>
        </w:tc>
        <w:tc>
          <w:tcPr>
            <w:tcW w:w="170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92"/>
              </w:rPr>
              <w:t>1/15/2024</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300,000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Arial" w:cs="Arial" w:eastAsia="Arial" w:hAnsi="Arial"/>
                <w:sz w:val="16"/>
                <w:szCs w:val="16"/>
                <w:color w:val="auto"/>
              </w:rPr>
              <w:t>7.48% debentures</w:t>
            </w:r>
          </w:p>
        </w:tc>
        <w:tc>
          <w:tcPr>
            <w:tcW w:w="1700" w:type="dxa"/>
            <w:vAlign w:val="bottom"/>
          </w:tcPr>
          <w:p>
            <w:pPr>
              <w:jc w:val="center"/>
              <w:ind w:right="79"/>
              <w:spacing w:after="0"/>
              <w:rPr>
                <w:sz w:val="20"/>
                <w:szCs w:val="20"/>
                <w:color w:val="auto"/>
              </w:rPr>
            </w:pPr>
            <w:r>
              <w:rPr>
                <w:rFonts w:ascii="Arial" w:cs="Arial" w:eastAsia="Arial" w:hAnsi="Arial"/>
                <w:sz w:val="16"/>
                <w:szCs w:val="16"/>
                <w:color w:val="auto"/>
                <w:w w:val="92"/>
              </w:rPr>
              <w:t>8/15/2026</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7.48%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29,200</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Arial" w:cs="Arial" w:eastAsia="Arial" w:hAnsi="Arial"/>
                <w:sz w:val="16"/>
                <w:szCs w:val="16"/>
                <w:color w:val="auto"/>
              </w:rPr>
              <w:t>3.25% notes</w:t>
            </w:r>
          </w:p>
        </w:tc>
        <w:tc>
          <w:tcPr>
            <w:tcW w:w="170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92"/>
              </w:rPr>
              <w:t>7/15/2027</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300,000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Arial" w:cs="Arial" w:eastAsia="Arial" w:hAnsi="Arial"/>
                <w:sz w:val="16"/>
                <w:szCs w:val="16"/>
                <w:color w:val="auto"/>
              </w:rPr>
              <w:t>6.82% medium term notes</w:t>
            </w:r>
          </w:p>
        </w:tc>
        <w:tc>
          <w:tcPr>
            <w:tcW w:w="1700" w:type="dxa"/>
            <w:vAlign w:val="bottom"/>
          </w:tcPr>
          <w:p>
            <w:pPr>
              <w:jc w:val="center"/>
              <w:ind w:right="79"/>
              <w:spacing w:after="0"/>
              <w:rPr>
                <w:sz w:val="20"/>
                <w:szCs w:val="20"/>
                <w:color w:val="auto"/>
              </w:rPr>
            </w:pPr>
            <w:r>
              <w:rPr>
                <w:rFonts w:ascii="Arial" w:cs="Arial" w:eastAsia="Arial" w:hAnsi="Arial"/>
                <w:sz w:val="16"/>
                <w:szCs w:val="16"/>
                <w:color w:val="auto"/>
                <w:w w:val="93"/>
              </w:rPr>
              <w:t>8/1/2027</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6.82%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40,000</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Arial" w:cs="Arial" w:eastAsia="Arial" w:hAnsi="Arial"/>
                <w:sz w:val="16"/>
                <w:szCs w:val="16"/>
                <w:color w:val="auto"/>
              </w:rPr>
              <w:t>4.50% notes</w:t>
            </w:r>
          </w:p>
        </w:tc>
        <w:tc>
          <w:tcPr>
            <w:tcW w:w="170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92"/>
              </w:rPr>
              <w:t>12/1/2044</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4.50%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550,000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Arial" w:cs="Arial" w:eastAsia="Arial" w:hAnsi="Arial"/>
                <w:sz w:val="16"/>
                <w:szCs w:val="16"/>
                <w:color w:val="auto"/>
              </w:rPr>
              <w:t>3.625% notes</w:t>
            </w:r>
          </w:p>
        </w:tc>
        <w:tc>
          <w:tcPr>
            <w:tcW w:w="1700" w:type="dxa"/>
            <w:vAlign w:val="bottom"/>
          </w:tcPr>
          <w:p>
            <w:pPr>
              <w:jc w:val="center"/>
              <w:ind w:right="79"/>
              <w:spacing w:after="0"/>
              <w:rPr>
                <w:sz w:val="20"/>
                <w:szCs w:val="20"/>
                <w:color w:val="auto"/>
              </w:rPr>
            </w:pPr>
            <w:r>
              <w:rPr>
                <w:rFonts w:ascii="Arial" w:cs="Arial" w:eastAsia="Arial" w:hAnsi="Arial"/>
                <w:sz w:val="16"/>
                <w:szCs w:val="16"/>
                <w:color w:val="auto"/>
                <w:w w:val="93"/>
              </w:rPr>
              <w:t>8/1/2046</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3.625%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250,000</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4240" w:type="dxa"/>
            <w:vAlign w:val="bottom"/>
            <w:tcBorders>
              <w:bottom w:val="single" w:sz="8" w:color="CCEEFF"/>
            </w:tcBorders>
            <w:gridSpan w:val="6"/>
            <w:shd w:val="clear" w:color="auto" w:fill="CCEEFF"/>
          </w:tcPr>
          <w:p>
            <w:pPr>
              <w:ind w:left="700"/>
              <w:spacing w:after="0"/>
              <w:rPr>
                <w:sz w:val="20"/>
                <w:szCs w:val="20"/>
                <w:color w:val="auto"/>
              </w:rPr>
            </w:pPr>
            <w:r>
              <w:rPr>
                <w:rFonts w:ascii="Arial" w:cs="Arial" w:eastAsia="Arial" w:hAnsi="Arial"/>
                <w:sz w:val="16"/>
                <w:szCs w:val="16"/>
                <w:color w:val="auto"/>
              </w:rPr>
              <w:t>Subtotal</w:t>
            </w:r>
          </w:p>
        </w:tc>
        <w:tc>
          <w:tcPr>
            <w:tcW w:w="1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2,394,200</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920"/>
              <w:spacing w:after="0"/>
              <w:rPr>
                <w:sz w:val="20"/>
                <w:szCs w:val="20"/>
                <w:color w:val="auto"/>
              </w:rPr>
            </w:pPr>
            <w:r>
              <w:rPr>
                <w:rFonts w:ascii="Arial" w:cs="Arial" w:eastAsia="Arial" w:hAnsi="Arial"/>
                <w:sz w:val="16"/>
                <w:szCs w:val="16"/>
                <w:color w:val="auto"/>
                <w:w w:val="92"/>
              </w:rPr>
              <w:t>Net unamortized discount and debt issuance costs</w:t>
            </w: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(16,261)</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700"/>
              <w:spacing w:after="0"/>
              <w:rPr>
                <w:sz w:val="20"/>
                <w:szCs w:val="20"/>
                <w:color w:val="auto"/>
              </w:rPr>
            </w:pPr>
            <w:r>
              <w:rPr>
                <w:rFonts w:ascii="Arial" w:cs="Arial" w:eastAsia="Arial" w:hAnsi="Arial"/>
                <w:sz w:val="16"/>
                <w:szCs w:val="16"/>
                <w:color w:val="auto"/>
              </w:rPr>
              <w:t>Total senior notes and debentures</w:t>
            </w: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2,377,939</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rPr>
              <w:t>3.93%</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6"/>
                <w:szCs w:val="16"/>
                <w:color w:val="auto"/>
                <w:w w:val="91"/>
              </w:rPr>
              <w:t>Capital lease obligations</w:t>
            </w:r>
          </w:p>
        </w:tc>
        <w:tc>
          <w:tcPr>
            <w:tcW w:w="2640" w:type="dxa"/>
            <w:vAlign w:val="bottom"/>
            <w:tcBorders>
              <w:bottom w:val="single" w:sz="8" w:color="CCEEFF"/>
            </w:tcBorders>
            <w:gridSpan w:val="3"/>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Arial" w:cs="Arial" w:eastAsia="Arial" w:hAnsi="Arial"/>
                <w:sz w:val="16"/>
                <w:szCs w:val="16"/>
                <w:color w:val="auto"/>
              </w:rPr>
              <w:t>Various</w:t>
            </w:r>
          </w:p>
        </w:tc>
        <w:tc>
          <w:tcPr>
            <w:tcW w:w="1800" w:type="dxa"/>
            <w:vAlign w:val="bottom"/>
            <w:gridSpan w:val="2"/>
          </w:tcPr>
          <w:p>
            <w:pPr>
              <w:jc w:val="center"/>
              <w:ind w:right="240"/>
              <w:spacing w:after="0"/>
              <w:rPr>
                <w:sz w:val="20"/>
                <w:szCs w:val="20"/>
                <w:color w:val="auto"/>
              </w:rPr>
            </w:pPr>
            <w:r>
              <w:rPr>
                <w:rFonts w:ascii="Arial" w:cs="Arial" w:eastAsia="Arial" w:hAnsi="Arial"/>
                <w:sz w:val="16"/>
                <w:szCs w:val="16"/>
                <w:color w:val="auto"/>
                <w:w w:val="91"/>
              </w:rPr>
              <w:t>Various through 2106</w:t>
            </w: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Various</w:t>
            </w: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71,565</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181"/>
              <w:spacing w:after="0"/>
              <w:rPr>
                <w:sz w:val="20"/>
                <w:szCs w:val="20"/>
                <w:color w:val="auto"/>
              </w:rPr>
            </w:pPr>
            <w:r>
              <w:rPr>
                <w:rFonts w:ascii="Arial" w:cs="Arial" w:eastAsia="Arial" w:hAnsi="Arial"/>
                <w:sz w:val="16"/>
                <w:szCs w:val="16"/>
                <w:color w:val="auto"/>
              </w:rPr>
              <w:t>8.04%</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60" w:type="dxa"/>
            <w:vAlign w:val="bottom"/>
            <w:tcBorders>
              <w:bottom w:val="single" w:sz="8" w:color="CCEEFF"/>
            </w:tcBorders>
            <w:gridSpan w:val="7"/>
            <w:shd w:val="clear" w:color="auto" w:fill="CCEEFF"/>
          </w:tcPr>
          <w:p>
            <w:pPr>
              <w:ind w:left="20"/>
              <w:spacing w:after="0"/>
              <w:rPr>
                <w:sz w:val="20"/>
                <w:szCs w:val="20"/>
                <w:color w:val="auto"/>
              </w:rPr>
            </w:pPr>
            <w:r>
              <w:rPr>
                <w:rFonts w:ascii="Arial" w:cs="Arial" w:eastAsia="Arial" w:hAnsi="Arial"/>
                <w:sz w:val="16"/>
                <w:szCs w:val="16"/>
                <w:color w:val="auto"/>
              </w:rPr>
              <w:t>Total debt and capital lease obligations</w:t>
            </w: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3,263,462</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260" w:type="dxa"/>
            <w:vAlign w:val="bottom"/>
            <w:tcBorders>
              <w:bottom w:val="single" w:sz="8" w:color="CCEEFF"/>
            </w:tcBorders>
            <w:gridSpan w:val="7"/>
            <w:shd w:val="clear" w:color="auto" w:fill="CCEEFF"/>
          </w:tcPr>
          <w:p>
            <w:pPr>
              <w:ind w:left="20"/>
              <w:spacing w:after="0"/>
              <w:rPr>
                <w:sz w:val="20"/>
                <w:szCs w:val="20"/>
                <w:color w:val="auto"/>
              </w:rPr>
            </w:pPr>
            <w:r>
              <w:rPr>
                <w:rFonts w:ascii="Arial" w:cs="Arial" w:eastAsia="Arial" w:hAnsi="Arial"/>
                <w:sz w:val="16"/>
                <w:szCs w:val="16"/>
                <w:color w:val="auto"/>
              </w:rPr>
              <w:t>Total fixed rate debt and capital lease obligations</w:t>
            </w: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3,221,962</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rPr>
              <w:t>3.96%</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260" w:type="dxa"/>
            <w:vAlign w:val="bottom"/>
            <w:gridSpan w:val="7"/>
          </w:tcPr>
          <w:p>
            <w:pPr>
              <w:ind w:left="20"/>
              <w:spacing w:after="0"/>
              <w:rPr>
                <w:sz w:val="20"/>
                <w:szCs w:val="20"/>
                <w:color w:val="auto"/>
              </w:rPr>
            </w:pPr>
            <w:r>
              <w:rPr>
                <w:rFonts w:ascii="Arial" w:cs="Arial" w:eastAsia="Arial" w:hAnsi="Arial"/>
                <w:sz w:val="16"/>
                <w:szCs w:val="16"/>
                <w:color w:val="auto"/>
              </w:rPr>
              <w:t>Total variable rate debt</w:t>
            </w: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41,500</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920" w:type="dxa"/>
            <w:vAlign w:val="bottom"/>
          </w:tcPr>
          <w:p>
            <w:pPr>
              <w:jc w:val="right"/>
              <w:ind w:right="181"/>
              <w:spacing w:after="0"/>
              <w:rPr>
                <w:sz w:val="20"/>
                <w:szCs w:val="20"/>
                <w:color w:val="auto"/>
              </w:rPr>
            </w:pPr>
            <w:r>
              <w:rPr>
                <w:rFonts w:ascii="Arial" w:cs="Arial" w:eastAsia="Arial" w:hAnsi="Arial"/>
                <w:sz w:val="16"/>
                <w:szCs w:val="16"/>
                <w:color w:val="auto"/>
              </w:rPr>
              <w:t>2.06%</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w w:val="91"/>
              </w:rPr>
              <w:t>(4)</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260" w:type="dxa"/>
            <w:vAlign w:val="bottom"/>
            <w:gridSpan w:val="7"/>
            <w:shd w:val="clear" w:color="auto" w:fill="CCEEFF"/>
          </w:tcPr>
          <w:p>
            <w:pPr>
              <w:ind w:left="20"/>
              <w:spacing w:after="0"/>
              <w:rPr>
                <w:sz w:val="20"/>
                <w:szCs w:val="20"/>
                <w:color w:val="auto"/>
              </w:rPr>
            </w:pPr>
            <w:r>
              <w:rPr>
                <w:rFonts w:ascii="Arial" w:cs="Arial" w:eastAsia="Arial" w:hAnsi="Arial"/>
                <w:sz w:val="16"/>
                <w:szCs w:val="16"/>
                <w:color w:val="auto"/>
              </w:rPr>
              <w:t>Total debt and capital lease obligations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3,263,462</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3.94%</w:t>
            </w:r>
          </w:p>
        </w:tc>
        <w:tc>
          <w:tcPr>
            <w:tcW w:w="4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91"/>
              </w:rPr>
              <w:t>(4)</w:t>
            </w:r>
          </w:p>
        </w:tc>
        <w:tc>
          <w:tcPr>
            <w:tcW w:w="0" w:type="dxa"/>
            <w:vAlign w:val="bottom"/>
          </w:tcPr>
          <w:p>
            <w:pPr>
              <w:spacing w:after="0"/>
              <w:rPr>
                <w:sz w:val="1"/>
                <w:szCs w:val="1"/>
                <w:color w:val="auto"/>
              </w:rPr>
            </w:pPr>
          </w:p>
        </w:tc>
      </w:tr>
      <w:tr>
        <w:trPr>
          <w:trHeight w:val="22"/>
        </w:trPr>
        <w:tc>
          <w:tcPr>
            <w:tcW w:w="2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7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900" w:orient="portrait"/>
          <w:cols w:equalWidth="0" w:num="1">
            <w:col w:w="11400"/>
          </w:cols>
          <w:pgMar w:left="260" w:top="747" w:right="239" w:bottom="0" w:gutter="0" w:footer="0" w:header="0"/>
        </w:sectPr>
      </w:pPr>
    </w:p>
    <w:bookmarkStart w:id="17" w:name="page18"/>
    <w:bookmarkEnd w:id="17"/>
    <w:p>
      <w:pPr>
        <w:jc w:val="cente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166370</wp:posOffset>
            </wp:positionH>
            <wp:positionV relativeFrom="page">
              <wp:posOffset>88900</wp:posOffset>
            </wp:positionV>
            <wp:extent cx="723773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37730" cy="26035"/>
                    </a:xfrm>
                    <a:prstGeom prst="rect">
                      <a:avLst/>
                    </a:prstGeom>
                    <a:noFill/>
                  </pic:spPr>
                </pic:pic>
              </a:graphicData>
            </a:graphic>
          </wp:anchor>
        </w:drawing>
        <w:t>13</w:t>
      </w:r>
    </w:p>
    <w:p>
      <w:pPr>
        <w:sectPr>
          <w:pgSz w:w="11900" w:h="16838" w:orient="portrait"/>
          <w:cols w:equalWidth="0" w:num="1">
            <w:col w:w="9019"/>
          </w:cols>
          <w:pgMar w:left="1440" w:top="409" w:right="1440" w:bottom="1440" w:gutter="0" w:footer="0" w:header="0"/>
        </w:sectPr>
      </w:pPr>
    </w:p>
    <w:bookmarkStart w:id="18" w:name="page19"/>
    <w:bookmarkEnd w:id="18"/>
    <w:p>
      <w:pPr>
        <w:jc w:val="center"/>
        <w:ind w:left="7740"/>
        <w:spacing w:after="0"/>
        <w:rPr>
          <w:sz w:val="20"/>
          <w:szCs w:val="20"/>
          <w:color w:val="auto"/>
        </w:rPr>
      </w:pPr>
      <w:r>
        <w:rPr>
          <w:rFonts w:ascii="Arial" w:cs="Arial" w:eastAsia="Arial" w:hAnsi="Arial"/>
          <w:sz w:val="13"/>
          <w:szCs w:val="13"/>
          <w:b w:val="1"/>
          <w:bCs w:val="1"/>
          <w:color w:val="auto"/>
        </w:rPr>
        <w:t>Three Months Ended</w:t>
      </w:r>
    </w:p>
    <w:p>
      <w:pPr>
        <w:spacing w:after="0" w:line="121" w:lineRule="exact"/>
        <w:rPr>
          <w:sz w:val="20"/>
          <w:szCs w:val="20"/>
          <w:color w:val="auto"/>
        </w:rPr>
      </w:pPr>
    </w:p>
    <w:p>
      <w:pPr>
        <w:jc w:val="center"/>
        <w:ind w:left="774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23495</wp:posOffset>
            </wp:positionV>
            <wp:extent cx="12433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103" w:lineRule="exact"/>
        <w:rPr>
          <w:sz w:val="20"/>
          <w:szCs w:val="20"/>
          <w:color w:val="auto"/>
        </w:rPr>
      </w:pPr>
    </w:p>
    <w:p>
      <w:pPr>
        <w:ind w:left="7740"/>
        <w:spacing w:after="0"/>
        <w:tabs>
          <w:tab w:leader="none" w:pos="8760" w:val="left"/>
        </w:tabs>
        <w:rPr>
          <w:sz w:val="20"/>
          <w:szCs w:val="20"/>
          <w:color w:val="auto"/>
        </w:rPr>
      </w:pPr>
      <w:r>
        <w:rPr>
          <w:rFonts w:ascii="Arial" w:cs="Arial" w:eastAsia="Arial" w:hAnsi="Arial"/>
          <w:sz w:val="13"/>
          <w:szCs w:val="13"/>
          <w:b w:val="1"/>
          <w:bCs w:val="1"/>
          <w:color w:val="auto"/>
        </w:rPr>
        <w:t>2017</w:t>
      </w:r>
      <w:r>
        <w:rPr>
          <w:sz w:val="20"/>
          <w:szCs w:val="20"/>
          <w:color w:val="auto"/>
        </w:rPr>
        <w:tab/>
      </w:r>
      <w:r>
        <w:rPr>
          <w:rFonts w:ascii="Arial" w:cs="Arial" w:eastAsia="Arial" w:hAnsi="Arial"/>
          <w:sz w:val="13"/>
          <w:szCs w:val="13"/>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31115</wp:posOffset>
            </wp:positionV>
            <wp:extent cx="7237730" cy="1803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3773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320"/>
        <w:spacing w:after="0"/>
        <w:rPr>
          <w:sz w:val="20"/>
          <w:szCs w:val="20"/>
          <w:color w:val="auto"/>
        </w:rPr>
      </w:pPr>
      <w:r>
        <w:rPr>
          <w:rFonts w:ascii="Arial" w:cs="Arial" w:eastAsia="Arial" w:hAnsi="Arial"/>
          <w:sz w:val="13"/>
          <w:szCs w:val="13"/>
          <w:b w:val="1"/>
          <w:bCs w:val="1"/>
          <w:color w:val="auto"/>
        </w:rPr>
        <w:t>Nine Months Ended</w:t>
      </w:r>
    </w:p>
    <w:p>
      <w:pPr>
        <w:spacing w:after="0" w:line="121" w:lineRule="exact"/>
        <w:rPr>
          <w:sz w:val="20"/>
          <w:szCs w:val="20"/>
          <w:color w:val="auto"/>
        </w:rPr>
      </w:pPr>
    </w:p>
    <w:p>
      <w:pPr>
        <w:jc w:val="center"/>
        <w:ind w:right="32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23495</wp:posOffset>
            </wp:positionV>
            <wp:extent cx="12179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17930" cy="8890"/>
                    </a:xfrm>
                    <a:prstGeom prst="rect">
                      <a:avLst/>
                    </a:prstGeom>
                    <a:noFill/>
                  </pic:spPr>
                </pic:pic>
              </a:graphicData>
            </a:graphic>
          </wp:anchor>
        </w:drawing>
      </w:r>
    </w:p>
    <w:p>
      <w:pPr>
        <w:spacing w:after="0" w:line="103" w:lineRule="exact"/>
        <w:rPr>
          <w:sz w:val="20"/>
          <w:szCs w:val="20"/>
          <w:color w:val="auto"/>
        </w:rPr>
      </w:pPr>
    </w:p>
    <w:p>
      <w:pPr>
        <w:spacing w:after="0"/>
        <w:tabs>
          <w:tab w:leader="none" w:pos="1000" w:val="left"/>
        </w:tabs>
        <w:rPr>
          <w:sz w:val="20"/>
          <w:szCs w:val="20"/>
          <w:color w:val="auto"/>
        </w:rPr>
      </w:pPr>
      <w:r>
        <w:rPr>
          <w:rFonts w:ascii="Arial" w:cs="Arial" w:eastAsia="Arial" w:hAnsi="Arial"/>
          <w:sz w:val="12"/>
          <w:szCs w:val="12"/>
          <w:b w:val="1"/>
          <w:bCs w:val="1"/>
          <w:color w:val="auto"/>
        </w:rPr>
        <w:t>2017</w:t>
      </w:r>
      <w:r>
        <w:rPr>
          <w:sz w:val="20"/>
          <w:szCs w:val="20"/>
          <w:color w:val="auto"/>
        </w:rPr>
        <w:tab/>
      </w:r>
      <w:r>
        <w:rPr>
          <w:rFonts w:ascii="Arial" w:cs="Arial" w:eastAsia="Arial" w:hAnsi="Arial"/>
          <w:sz w:val="12"/>
          <w:szCs w:val="12"/>
          <w:b w:val="1"/>
          <w:bCs w:val="1"/>
          <w:color w:val="auto"/>
        </w:rPr>
        <w:t>2016</w:t>
      </w:r>
    </w:p>
    <w:p>
      <w:pPr>
        <w:spacing w:after="0" w:line="104" w:lineRule="exact"/>
        <w:rPr>
          <w:sz w:val="20"/>
          <w:szCs w:val="20"/>
          <w:color w:val="auto"/>
        </w:rPr>
      </w:pPr>
    </w:p>
    <w:p>
      <w:pPr>
        <w:sectPr>
          <w:pgSz w:w="11900" w:h="16838" w:orient="portrait"/>
          <w:cols w:equalWidth="0" w:num="2">
            <w:col w:w="9080" w:space="720"/>
            <w:col w:w="1620"/>
          </w:cols>
          <w:pgMar w:left="240" w:top="806" w:right="239" w:bottom="1440" w:gutter="0" w:footer="0" w:header="0"/>
        </w:sectPr>
      </w:pPr>
    </w:p>
    <w:p>
      <w:pPr>
        <w:ind w:left="40"/>
        <w:spacing w:after="0"/>
        <w:rPr>
          <w:sz w:val="20"/>
          <w:szCs w:val="20"/>
          <w:color w:val="auto"/>
        </w:rPr>
      </w:pPr>
      <w:r>
        <w:rPr>
          <w:rFonts w:ascii="Arial" w:cs="Arial" w:eastAsia="Arial" w:hAnsi="Arial"/>
          <w:sz w:val="16"/>
          <w:szCs w:val="16"/>
          <w:u w:val="single" w:color="auto"/>
          <w:color w:val="auto"/>
        </w:rPr>
        <w:t>Operational Statistics</w:t>
      </w:r>
    </w:p>
    <w:p>
      <w:pPr>
        <w:spacing w:after="0" w:line="86"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7000" w:type="dxa"/>
            <w:vAlign w:val="bottom"/>
          </w:tcPr>
          <w:p>
            <w:pPr>
              <w:ind w:left="380"/>
              <w:spacing w:after="0"/>
              <w:rPr>
                <w:sz w:val="20"/>
                <w:szCs w:val="20"/>
                <w:color w:val="auto"/>
              </w:rPr>
            </w:pPr>
            <w:r>
              <w:rPr>
                <w:rFonts w:ascii="Arial" w:cs="Arial" w:eastAsia="Arial" w:hAnsi="Arial"/>
                <w:sz w:val="16"/>
                <w:szCs w:val="16"/>
                <w:color w:val="auto"/>
              </w:rPr>
              <w:t>Ratio of EBITDA to combined fixed charges and preferred share dividends (5)</w:t>
            </w:r>
          </w:p>
        </w:tc>
        <w:tc>
          <w:tcPr>
            <w:tcW w:w="1640" w:type="dxa"/>
            <w:vAlign w:val="bottom"/>
          </w:tcPr>
          <w:p>
            <w:pPr>
              <w:ind w:left="940"/>
              <w:spacing w:after="0"/>
              <w:rPr>
                <w:sz w:val="20"/>
                <w:szCs w:val="20"/>
                <w:color w:val="auto"/>
              </w:rPr>
            </w:pPr>
            <w:r>
              <w:rPr>
                <w:rFonts w:ascii="Arial" w:cs="Arial" w:eastAsia="Arial" w:hAnsi="Arial"/>
                <w:sz w:val="16"/>
                <w:szCs w:val="16"/>
                <w:color w:val="auto"/>
              </w:rPr>
              <w:t>5.65x</w:t>
            </w:r>
          </w:p>
        </w:tc>
        <w:tc>
          <w:tcPr>
            <w:tcW w:w="1020" w:type="dxa"/>
            <w:vAlign w:val="bottom"/>
          </w:tcPr>
          <w:p>
            <w:pPr>
              <w:ind w:left="340"/>
              <w:spacing w:after="0"/>
              <w:rPr>
                <w:sz w:val="20"/>
                <w:szCs w:val="20"/>
                <w:color w:val="auto"/>
              </w:rPr>
            </w:pPr>
            <w:r>
              <w:rPr>
                <w:rFonts w:ascii="Arial" w:cs="Arial" w:eastAsia="Arial" w:hAnsi="Arial"/>
                <w:sz w:val="16"/>
                <w:szCs w:val="16"/>
                <w:color w:val="auto"/>
              </w:rPr>
              <w:t>4.56x</w:t>
            </w:r>
          </w:p>
        </w:tc>
        <w:tc>
          <w:tcPr>
            <w:tcW w:w="1020" w:type="dxa"/>
            <w:vAlign w:val="bottom"/>
          </w:tcPr>
          <w:p>
            <w:pPr>
              <w:ind w:left="320"/>
              <w:spacing w:after="0"/>
              <w:rPr>
                <w:sz w:val="20"/>
                <w:szCs w:val="20"/>
                <w:color w:val="auto"/>
              </w:rPr>
            </w:pPr>
            <w:r>
              <w:rPr>
                <w:rFonts w:ascii="Arial" w:cs="Arial" w:eastAsia="Arial" w:hAnsi="Arial"/>
                <w:sz w:val="16"/>
                <w:szCs w:val="16"/>
                <w:color w:val="auto"/>
              </w:rPr>
              <w:t>5.10x</w:t>
            </w:r>
          </w:p>
        </w:tc>
        <w:tc>
          <w:tcPr>
            <w:tcW w:w="720" w:type="dxa"/>
            <w:vAlign w:val="bottom"/>
          </w:tcPr>
          <w:p>
            <w:pPr>
              <w:ind w:left="320"/>
              <w:spacing w:after="0"/>
              <w:rPr>
                <w:sz w:val="20"/>
                <w:szCs w:val="20"/>
                <w:color w:val="auto"/>
              </w:rPr>
            </w:pPr>
            <w:r>
              <w:rPr>
                <w:rFonts w:ascii="Arial" w:cs="Arial" w:eastAsia="Arial" w:hAnsi="Arial"/>
                <w:sz w:val="16"/>
                <w:szCs w:val="16"/>
                <w:color w:val="auto"/>
                <w:w w:val="96"/>
              </w:rPr>
              <w:t>4.87x</w:t>
            </w:r>
          </w:p>
        </w:tc>
      </w:tr>
      <w:tr>
        <w:trPr>
          <w:trHeight w:val="33"/>
        </w:trPr>
        <w:tc>
          <w:tcPr>
            <w:tcW w:w="70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7"/>
        </w:trPr>
        <w:tc>
          <w:tcPr>
            <w:tcW w:w="70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Ratio of adjusted EBITDA to combined fixed charges and preferred share dividends (5)</w:t>
            </w:r>
          </w:p>
        </w:tc>
        <w:tc>
          <w:tcPr>
            <w:tcW w:w="1640" w:type="dxa"/>
            <w:vAlign w:val="bottom"/>
            <w:shd w:val="clear" w:color="auto" w:fill="CCEEFF"/>
          </w:tcPr>
          <w:p>
            <w:pPr>
              <w:ind w:left="940"/>
              <w:spacing w:after="0"/>
              <w:rPr>
                <w:sz w:val="20"/>
                <w:szCs w:val="20"/>
                <w:color w:val="auto"/>
              </w:rPr>
            </w:pPr>
            <w:r>
              <w:rPr>
                <w:rFonts w:ascii="Arial" w:cs="Arial" w:eastAsia="Arial" w:hAnsi="Arial"/>
                <w:sz w:val="16"/>
                <w:szCs w:val="16"/>
                <w:color w:val="auto"/>
              </w:rPr>
              <w:t>4.14x</w:t>
            </w:r>
          </w:p>
        </w:tc>
        <w:tc>
          <w:tcPr>
            <w:tcW w:w="10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4.39x</w:t>
            </w:r>
          </w:p>
        </w:tc>
        <w:tc>
          <w:tcPr>
            <w:tcW w:w="10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4.34x</w:t>
            </w:r>
          </w:p>
        </w:tc>
        <w:tc>
          <w:tcPr>
            <w:tcW w:w="72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6"/>
              </w:rPr>
              <w:t>4.49x</w:t>
            </w:r>
          </w:p>
        </w:tc>
      </w:tr>
      <w:tr>
        <w:trPr>
          <w:trHeight w:val="33"/>
        </w:trPr>
        <w:tc>
          <w:tcPr>
            <w:tcW w:w="700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Notes:</w:t>
      </w:r>
    </w:p>
    <w:p>
      <w:pPr>
        <w:spacing w:after="0" w:line="55" w:lineRule="exact"/>
        <w:rPr>
          <w:sz w:val="20"/>
          <w:szCs w:val="20"/>
          <w:color w:val="auto"/>
        </w:rPr>
      </w:pPr>
    </w:p>
    <w:p>
      <w:pPr>
        <w:ind w:left="660" w:right="160" w:hanging="652"/>
        <w:spacing w:after="0" w:line="273" w:lineRule="auto"/>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We entered into two interest rate swap agreements to fix the variable rate portion of our $275.0 million term loan at 1.72% through November 1, 2018. The swap agreements effectively fix the rate on the term loan at 2.62% and thus, the loan is included in fixed rate debt.</w:t>
      </w:r>
    </w:p>
    <w:p>
      <w:pPr>
        <w:spacing w:after="0" w:line="11" w:lineRule="exact"/>
        <w:rPr>
          <w:rFonts w:ascii="Arial" w:cs="Arial" w:eastAsia="Arial" w:hAnsi="Arial"/>
          <w:sz w:val="14"/>
          <w:szCs w:val="14"/>
          <w:color w:val="auto"/>
        </w:rPr>
      </w:pPr>
    </w:p>
    <w:p>
      <w:pPr>
        <w:ind w:left="660" w:right="80" w:hanging="652"/>
        <w:spacing w:after="0" w:line="257" w:lineRule="auto"/>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maximum amount drawn under our revolving credit facility during the three and nine months ended September 30, 2017, was $281.5 million and $344.0 million, respectively. The weighted average interest rate on borrowings under our revolving credit facility, before amortization of debt fees, for the three and nine months ended September 30, 2017, was 2.1% and 1.9%, respectively.</w:t>
      </w:r>
    </w:p>
    <w:p>
      <w:pPr>
        <w:spacing w:after="0" w:line="23" w:lineRule="exact"/>
        <w:rPr>
          <w:rFonts w:ascii="Arial" w:cs="Arial" w:eastAsia="Arial" w:hAnsi="Arial"/>
          <w:sz w:val="14"/>
          <w:szCs w:val="14"/>
          <w:color w:val="auto"/>
        </w:rPr>
      </w:pPr>
    </w:p>
    <w:p>
      <w:pPr>
        <w:ind w:left="660" w:hanging="652"/>
        <w:spacing w:after="0"/>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weighted average effective interest rate includes the amortization of any debt issuance costs and discounts and premiums, if applicable, except as described in Note 4.</w:t>
      </w:r>
    </w:p>
    <w:p>
      <w:pPr>
        <w:spacing w:after="0" w:line="55" w:lineRule="exact"/>
        <w:rPr>
          <w:rFonts w:ascii="Arial" w:cs="Arial" w:eastAsia="Arial" w:hAnsi="Arial"/>
          <w:sz w:val="14"/>
          <w:szCs w:val="14"/>
          <w:color w:val="auto"/>
        </w:rPr>
      </w:pPr>
    </w:p>
    <w:p>
      <w:pPr>
        <w:ind w:left="660" w:right="120" w:hanging="652"/>
        <w:spacing w:after="0" w:line="257" w:lineRule="auto"/>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weighted average effective interest rate excludes $0.5 million in quarterly financing fees and quarterly debt fee amortization on our revolving credit facility which had $41.5 million outstanding on September 30, 2017. In addition, the weighted average effective interest rate is calculated using the fixed rate on our term loan of 2.62% as the result of the interest rate swap agreements discussed in Note 1. The term loan is included in fixed rate debt.</w:t>
      </w:r>
    </w:p>
    <w:p>
      <w:pPr>
        <w:spacing w:after="0" w:line="23" w:lineRule="exact"/>
        <w:rPr>
          <w:rFonts w:ascii="Arial" w:cs="Arial" w:eastAsia="Arial" w:hAnsi="Arial"/>
          <w:sz w:val="14"/>
          <w:szCs w:val="14"/>
          <w:color w:val="auto"/>
        </w:rPr>
      </w:pPr>
    </w:p>
    <w:p>
      <w:pPr>
        <w:ind w:left="660" w:right="40" w:hanging="652"/>
        <w:spacing w:after="0" w:line="252" w:lineRule="auto"/>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Fixed charges consist of interest on borrowed funds (including capitalized interest), amortization of debt discount/premium and debt costs, and the portion of rent expense representing an interest factor. EBITDA includes a gain on sale of real estate and change in control of interests of $51.1 million and $4.9 million for the three months ended September 30, 2017 and 2016, respectively, and $71.9 million and $32.5 million for the nine months ended September 30, 2017 and 2016, respectively. Adjusted EBITDA is reconciled to net income in the Glossary of Terms.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806" w:right="239" w:bottom="1440" w:gutter="0" w:footer="0" w:header="0"/>
          <w:type w:val="continuous"/>
        </w:sectPr>
      </w:pPr>
    </w:p>
    <w:bookmarkStart w:id="19" w:name="page20"/>
    <w:bookmarkEnd w:id="19"/>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Summary of Debt Maturities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September 30, 2017</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92"/>
              </w:rPr>
              <w:t>Cumulative</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1"/>
              </w:rPr>
              <w:t>Weighted</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gridSpan w:val="2"/>
          </w:tcPr>
          <w:p>
            <w:pPr>
              <w:jc w:val="center"/>
              <w:ind w:right="740"/>
              <w:spacing w:after="0"/>
              <w:rPr>
                <w:sz w:val="20"/>
                <w:szCs w:val="20"/>
                <w:color w:val="auto"/>
              </w:rPr>
            </w:pPr>
            <w:r>
              <w:rPr>
                <w:rFonts w:ascii="Arial" w:cs="Arial" w:eastAsia="Arial" w:hAnsi="Arial"/>
                <w:sz w:val="16"/>
                <w:szCs w:val="16"/>
                <w:b w:val="1"/>
                <w:bCs w:val="1"/>
                <w:color w:val="auto"/>
                <w:w w:val="88"/>
              </w:rPr>
              <w:t>Scheduled</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jc w:val="right"/>
              <w:ind w:right="31"/>
              <w:spacing w:after="0"/>
              <w:rPr>
                <w:sz w:val="20"/>
                <w:szCs w:val="20"/>
                <w:color w:val="auto"/>
              </w:rPr>
            </w:pPr>
            <w:r>
              <w:rPr>
                <w:rFonts w:ascii="Arial" w:cs="Arial" w:eastAsia="Arial" w:hAnsi="Arial"/>
                <w:sz w:val="16"/>
                <w:szCs w:val="16"/>
                <w:b w:val="1"/>
                <w:bCs w:val="1"/>
                <w:color w:val="auto"/>
                <w:w w:val="99"/>
              </w:rPr>
              <w:t>Percent of Debt</w:t>
            </w: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91"/>
              </w:rPr>
              <w:t>Percent of Debt</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1"/>
              </w:rPr>
              <w:t>Average Rate</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420" w:type="dxa"/>
            <w:vAlign w:val="bottom"/>
            <w:gridSpan w:val="2"/>
          </w:tcPr>
          <w:p>
            <w:pPr>
              <w:ind w:left="40"/>
              <w:spacing w:after="0"/>
              <w:rPr>
                <w:sz w:val="20"/>
                <w:szCs w:val="20"/>
                <w:color w:val="auto"/>
              </w:rPr>
            </w:pPr>
            <w:r>
              <w:rPr>
                <w:rFonts w:ascii="Arial" w:cs="Arial" w:eastAsia="Arial" w:hAnsi="Arial"/>
                <w:sz w:val="16"/>
                <w:szCs w:val="16"/>
                <w:b w:val="1"/>
                <w:bCs w:val="1"/>
                <w:color w:val="auto"/>
              </w:rPr>
              <w:t>Year</w:t>
            </w:r>
          </w:p>
        </w:tc>
        <w:tc>
          <w:tcPr>
            <w:tcW w:w="180" w:type="dxa"/>
            <w:vAlign w:val="bottom"/>
          </w:tcPr>
          <w:p>
            <w:pPr>
              <w:spacing w:after="0"/>
              <w:rPr>
                <w:sz w:val="18"/>
                <w:szCs w:val="18"/>
                <w:color w:val="auto"/>
              </w:rPr>
            </w:pPr>
          </w:p>
        </w:tc>
        <w:tc>
          <w:tcPr>
            <w:tcW w:w="1740" w:type="dxa"/>
            <w:vAlign w:val="bottom"/>
            <w:gridSpan w:val="2"/>
          </w:tcPr>
          <w:p>
            <w:pPr>
              <w:jc w:val="center"/>
              <w:ind w:right="740"/>
              <w:spacing w:after="0"/>
              <w:rPr>
                <w:sz w:val="20"/>
                <w:szCs w:val="20"/>
                <w:color w:val="auto"/>
              </w:rPr>
            </w:pPr>
            <w:r>
              <w:rPr>
                <w:rFonts w:ascii="Arial" w:cs="Arial" w:eastAsia="Arial" w:hAnsi="Arial"/>
                <w:sz w:val="16"/>
                <w:szCs w:val="16"/>
                <w:b w:val="1"/>
                <w:bCs w:val="1"/>
                <w:color w:val="auto"/>
                <w:w w:val="94"/>
              </w:rPr>
              <w:t>Amortization</w:t>
            </w:r>
          </w:p>
        </w:tc>
        <w:tc>
          <w:tcPr>
            <w:tcW w:w="180" w:type="dxa"/>
            <w:vAlign w:val="bottom"/>
          </w:tcPr>
          <w:p>
            <w:pPr>
              <w:spacing w:after="0"/>
              <w:rPr>
                <w:sz w:val="18"/>
                <w:szCs w:val="18"/>
                <w:color w:val="auto"/>
              </w:rPr>
            </w:pPr>
          </w:p>
        </w:tc>
        <w:tc>
          <w:tcPr>
            <w:tcW w:w="1160" w:type="dxa"/>
            <w:vAlign w:val="bottom"/>
          </w:tcPr>
          <w:p>
            <w:pPr>
              <w:jc w:val="right"/>
              <w:ind w:right="212"/>
              <w:spacing w:after="0"/>
              <w:rPr>
                <w:sz w:val="20"/>
                <w:szCs w:val="20"/>
                <w:color w:val="auto"/>
              </w:rPr>
            </w:pPr>
            <w:r>
              <w:rPr>
                <w:rFonts w:ascii="Arial" w:cs="Arial" w:eastAsia="Arial" w:hAnsi="Arial"/>
                <w:sz w:val="16"/>
                <w:szCs w:val="16"/>
                <w:b w:val="1"/>
                <w:bCs w:val="1"/>
                <w:color w:val="auto"/>
              </w:rPr>
              <w:t>Maturities</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ind w:right="840"/>
              <w:spacing w:after="0"/>
              <w:rPr>
                <w:sz w:val="20"/>
                <w:szCs w:val="20"/>
                <w:color w:val="auto"/>
              </w:rPr>
            </w:pPr>
            <w:r>
              <w:rPr>
                <w:rFonts w:ascii="Arial" w:cs="Arial" w:eastAsia="Arial" w:hAnsi="Arial"/>
                <w:sz w:val="16"/>
                <w:szCs w:val="16"/>
                <w:b w:val="1"/>
                <w:bCs w:val="1"/>
                <w:color w:val="auto"/>
              </w:rPr>
              <w:t>Total</w:t>
            </w:r>
          </w:p>
        </w:tc>
        <w:tc>
          <w:tcPr>
            <w:tcW w:w="1320" w:type="dxa"/>
            <w:vAlign w:val="bottom"/>
          </w:tcPr>
          <w:p>
            <w:pPr>
              <w:jc w:val="right"/>
              <w:ind w:right="231"/>
              <w:spacing w:after="0"/>
              <w:rPr>
                <w:sz w:val="20"/>
                <w:szCs w:val="20"/>
                <w:color w:val="auto"/>
              </w:rPr>
            </w:pPr>
            <w:r>
              <w:rPr>
                <w:rFonts w:ascii="Arial" w:cs="Arial" w:eastAsia="Arial" w:hAnsi="Arial"/>
                <w:sz w:val="16"/>
                <w:szCs w:val="16"/>
                <w:b w:val="1"/>
                <w:bCs w:val="1"/>
                <w:color w:val="auto"/>
              </w:rPr>
              <w:t>Maturing</w:t>
            </w: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rPr>
              <w:t>Maturing</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1"/>
              </w:rPr>
              <w:t>(4)</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132"/>
              <w:spacing w:after="0"/>
              <w:rPr>
                <w:sz w:val="20"/>
                <w:szCs w:val="20"/>
                <w:color w:val="auto"/>
              </w:rPr>
            </w:pPr>
            <w:r>
              <w:rPr>
                <w:rFonts w:ascii="Arial" w:cs="Arial" w:eastAsia="Arial" w:hAnsi="Arial"/>
                <w:sz w:val="14"/>
                <w:szCs w:val="14"/>
                <w:b w:val="1"/>
                <w:bCs w:val="1"/>
                <w:color w:val="auto"/>
                <w:w w:val="95"/>
              </w:rPr>
              <w:t>(in thousands)</w:t>
            </w: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2017</w:t>
            </w:r>
          </w:p>
        </w:tc>
        <w:tc>
          <w:tcPr>
            <w:tcW w:w="9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1,561</w:t>
            </w:r>
          </w:p>
        </w:tc>
        <w:tc>
          <w:tcPr>
            <w:tcW w:w="5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1,561</w:t>
            </w:r>
          </w:p>
        </w:tc>
        <w:tc>
          <w:tcPr>
            <w:tcW w:w="3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0.1%</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40" w:type="dxa"/>
            <w:vAlign w:val="bottom"/>
          </w:tcPr>
          <w:p>
            <w:pPr>
              <w:ind w:left="40"/>
              <w:spacing w:after="0"/>
              <w:rPr>
                <w:sz w:val="20"/>
                <w:szCs w:val="20"/>
                <w:color w:val="auto"/>
              </w:rPr>
            </w:pPr>
            <w:r>
              <w:rPr>
                <w:rFonts w:ascii="Arial" w:cs="Arial" w:eastAsia="Arial" w:hAnsi="Arial"/>
                <w:sz w:val="18"/>
                <w:szCs w:val="18"/>
                <w:color w:val="auto"/>
                <w:w w:val="94"/>
              </w:rPr>
              <w:t>2018</w:t>
            </w:r>
          </w:p>
        </w:tc>
        <w:tc>
          <w:tcPr>
            <w:tcW w:w="9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6,299</w:t>
            </w: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285,502</w:t>
            </w:r>
          </w:p>
        </w:tc>
        <w:tc>
          <w:tcPr>
            <w:tcW w:w="560" w:type="dxa"/>
            <w:vAlign w:val="bottom"/>
          </w:tcPr>
          <w:p>
            <w:pPr>
              <w:jc w:val="right"/>
              <w:ind w:right="288"/>
              <w:spacing w:after="0"/>
              <w:rPr>
                <w:sz w:val="20"/>
                <w:szCs w:val="20"/>
                <w:color w:val="auto"/>
              </w:rPr>
            </w:pPr>
            <w:r>
              <w:rPr>
                <w:rFonts w:ascii="Arial" w:cs="Arial" w:eastAsia="Arial" w:hAnsi="Arial"/>
                <w:sz w:val="14"/>
                <w:szCs w:val="14"/>
                <w:color w:val="auto"/>
              </w:rPr>
              <w:t>(1)</w:t>
            </w:r>
          </w:p>
        </w:tc>
        <w:tc>
          <w:tcPr>
            <w:tcW w:w="30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291,801</w:t>
            </w:r>
          </w:p>
        </w:tc>
        <w:tc>
          <w:tcPr>
            <w:tcW w:w="3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8.9%</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9.0%</w:t>
            </w:r>
          </w:p>
        </w:tc>
        <w:tc>
          <w:tcPr>
            <w:tcW w:w="1200" w:type="dxa"/>
            <w:vAlign w:val="bottom"/>
          </w:tcPr>
          <w:p>
            <w:pPr>
              <w:jc w:val="right"/>
              <w:spacing w:after="0"/>
              <w:rPr>
                <w:sz w:val="20"/>
                <w:szCs w:val="20"/>
                <w:color w:val="auto"/>
              </w:rPr>
            </w:pPr>
            <w:r>
              <w:rPr>
                <w:rFonts w:ascii="Arial" w:cs="Arial" w:eastAsia="Arial" w:hAnsi="Arial"/>
                <w:sz w:val="18"/>
                <w:szCs w:val="18"/>
                <w:color w:val="auto"/>
              </w:rPr>
              <w:t>2.9%</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2019</w:t>
            </w:r>
          </w:p>
        </w:tc>
        <w:tc>
          <w:tcPr>
            <w:tcW w:w="9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6,269</w:t>
            </w:r>
          </w:p>
        </w:tc>
        <w:tc>
          <w:tcPr>
            <w:tcW w:w="5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20,160</w:t>
            </w:r>
          </w:p>
        </w:tc>
        <w:tc>
          <w:tcPr>
            <w:tcW w:w="5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26,429</w:t>
            </w:r>
          </w:p>
        </w:tc>
        <w:tc>
          <w:tcPr>
            <w:tcW w:w="3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9.8%</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4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40" w:type="dxa"/>
            <w:vAlign w:val="bottom"/>
          </w:tcPr>
          <w:p>
            <w:pPr>
              <w:ind w:left="40"/>
              <w:spacing w:after="0"/>
              <w:rPr>
                <w:sz w:val="20"/>
                <w:szCs w:val="20"/>
                <w:color w:val="auto"/>
              </w:rPr>
            </w:pPr>
            <w:r>
              <w:rPr>
                <w:rFonts w:ascii="Arial" w:cs="Arial" w:eastAsia="Arial" w:hAnsi="Arial"/>
                <w:sz w:val="18"/>
                <w:szCs w:val="18"/>
                <w:color w:val="auto"/>
                <w:w w:val="94"/>
              </w:rPr>
              <w:t>2020</w:t>
            </w:r>
          </w:p>
        </w:tc>
        <w:tc>
          <w:tcPr>
            <w:tcW w:w="9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5,621</w:t>
            </w: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252,093</w:t>
            </w:r>
          </w:p>
        </w:tc>
        <w:tc>
          <w:tcPr>
            <w:tcW w:w="560" w:type="dxa"/>
            <w:vAlign w:val="bottom"/>
          </w:tcPr>
          <w:p>
            <w:pPr>
              <w:jc w:val="right"/>
              <w:ind w:right="288"/>
              <w:spacing w:after="0"/>
              <w:rPr>
                <w:sz w:val="20"/>
                <w:szCs w:val="20"/>
                <w:color w:val="auto"/>
              </w:rPr>
            </w:pPr>
            <w:r>
              <w:rPr>
                <w:rFonts w:ascii="Arial" w:cs="Arial" w:eastAsia="Arial" w:hAnsi="Arial"/>
                <w:sz w:val="14"/>
                <w:szCs w:val="14"/>
                <w:color w:val="auto"/>
              </w:rPr>
              <w:t>(2)</w:t>
            </w:r>
          </w:p>
        </w:tc>
        <w:tc>
          <w:tcPr>
            <w:tcW w:w="30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257,714</w:t>
            </w:r>
          </w:p>
        </w:tc>
        <w:tc>
          <w:tcPr>
            <w:tcW w:w="3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7.9%</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17.7%</w:t>
            </w:r>
          </w:p>
        </w:tc>
        <w:tc>
          <w:tcPr>
            <w:tcW w:w="1200" w:type="dxa"/>
            <w:vAlign w:val="bottom"/>
          </w:tcPr>
          <w:p>
            <w:pPr>
              <w:jc w:val="right"/>
              <w:spacing w:after="0"/>
              <w:rPr>
                <w:sz w:val="20"/>
                <w:szCs w:val="20"/>
                <w:color w:val="auto"/>
              </w:rPr>
            </w:pPr>
            <w:r>
              <w:rPr>
                <w:rFonts w:ascii="Arial" w:cs="Arial" w:eastAsia="Arial" w:hAnsi="Arial"/>
                <w:sz w:val="18"/>
                <w:szCs w:val="18"/>
                <w:color w:val="auto"/>
              </w:rPr>
              <w:t>4.8%</w:t>
            </w:r>
          </w:p>
        </w:tc>
        <w:tc>
          <w:tcPr>
            <w:tcW w:w="460" w:type="dxa"/>
            <w:vAlign w:val="bottom"/>
          </w:tcPr>
          <w:p>
            <w:pPr>
              <w:jc w:val="right"/>
              <w:ind w:right="18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56"/>
        </w:trPr>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2021</w:t>
            </w:r>
          </w:p>
        </w:tc>
        <w:tc>
          <w:tcPr>
            <w:tcW w:w="9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3,746</w:t>
            </w:r>
          </w:p>
        </w:tc>
        <w:tc>
          <w:tcPr>
            <w:tcW w:w="5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277,546</w:t>
            </w:r>
          </w:p>
        </w:tc>
        <w:tc>
          <w:tcPr>
            <w:tcW w:w="5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281,292</w:t>
            </w:r>
          </w:p>
        </w:tc>
        <w:tc>
          <w:tcPr>
            <w:tcW w:w="3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26.3%</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40" w:type="dxa"/>
            <w:vAlign w:val="bottom"/>
          </w:tcPr>
          <w:p>
            <w:pPr>
              <w:ind w:left="40"/>
              <w:spacing w:after="0"/>
              <w:rPr>
                <w:sz w:val="20"/>
                <w:szCs w:val="20"/>
                <w:color w:val="auto"/>
              </w:rPr>
            </w:pPr>
            <w:r>
              <w:rPr>
                <w:rFonts w:ascii="Arial" w:cs="Arial" w:eastAsia="Arial" w:hAnsi="Arial"/>
                <w:sz w:val="18"/>
                <w:szCs w:val="18"/>
                <w:color w:val="auto"/>
                <w:w w:val="94"/>
              </w:rPr>
              <w:t>2022</w:t>
            </w: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1,529</w:t>
            </w: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366,323</w:t>
            </w: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367,852</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11.2%</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37.5%</w:t>
            </w:r>
          </w:p>
        </w:tc>
        <w:tc>
          <w:tcPr>
            <w:tcW w:w="1200" w:type="dxa"/>
            <w:vAlign w:val="bottom"/>
          </w:tcPr>
          <w:p>
            <w:pPr>
              <w:jc w:val="right"/>
              <w:spacing w:after="0"/>
              <w:rPr>
                <w:sz w:val="20"/>
                <w:szCs w:val="20"/>
                <w:color w:val="auto"/>
              </w:rPr>
            </w:pPr>
            <w:r>
              <w:rPr>
                <w:rFonts w:ascii="Arial" w:cs="Arial" w:eastAsia="Arial" w:hAnsi="Arial"/>
                <w:sz w:val="18"/>
                <w:szCs w:val="18"/>
                <w:color w:val="auto"/>
              </w:rPr>
              <w:t>3.5%</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2023</w:t>
            </w:r>
          </w:p>
        </w:tc>
        <w:tc>
          <w:tcPr>
            <w:tcW w:w="9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1,541</w:t>
            </w:r>
          </w:p>
        </w:tc>
        <w:tc>
          <w:tcPr>
            <w:tcW w:w="5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330,010</w:t>
            </w:r>
          </w:p>
        </w:tc>
        <w:tc>
          <w:tcPr>
            <w:tcW w:w="5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331,551</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47.6%</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 w:type="dxa"/>
            <w:vAlign w:val="bottom"/>
          </w:tcPr>
          <w:p>
            <w:pPr>
              <w:ind w:left="40"/>
              <w:spacing w:after="0"/>
              <w:rPr>
                <w:sz w:val="20"/>
                <w:szCs w:val="20"/>
                <w:color w:val="auto"/>
              </w:rPr>
            </w:pPr>
            <w:r>
              <w:rPr>
                <w:rFonts w:ascii="Arial" w:cs="Arial" w:eastAsia="Arial" w:hAnsi="Arial"/>
                <w:sz w:val="18"/>
                <w:szCs w:val="18"/>
                <w:color w:val="auto"/>
                <w:w w:val="94"/>
              </w:rPr>
              <w:t>2024</w:t>
            </w: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1,320</w:t>
            </w: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300,000</w:t>
            </w: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301,320</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9.2%</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56.8%</w:t>
            </w:r>
          </w:p>
        </w:tc>
        <w:tc>
          <w:tcPr>
            <w:tcW w:w="1200" w:type="dxa"/>
            <w:vAlign w:val="bottom"/>
          </w:tcPr>
          <w:p>
            <w:pPr>
              <w:jc w:val="right"/>
              <w:spacing w:after="0"/>
              <w:rPr>
                <w:sz w:val="20"/>
                <w:szCs w:val="20"/>
                <w:color w:val="auto"/>
              </w:rPr>
            </w:pPr>
            <w:r>
              <w:rPr>
                <w:rFonts w:ascii="Arial" w:cs="Arial" w:eastAsia="Arial" w:hAnsi="Arial"/>
                <w:sz w:val="18"/>
                <w:szCs w:val="18"/>
                <w:color w:val="auto"/>
              </w:rPr>
              <w:t>4.2%</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2025</w:t>
            </w:r>
          </w:p>
        </w:tc>
        <w:tc>
          <w:tcPr>
            <w:tcW w:w="9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873</w:t>
            </w:r>
          </w:p>
        </w:tc>
        <w:tc>
          <w:tcPr>
            <w:tcW w:w="5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40,000</w:t>
            </w:r>
          </w:p>
        </w:tc>
        <w:tc>
          <w:tcPr>
            <w:tcW w:w="5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40,873</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58.0%</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 w:type="dxa"/>
            <w:vAlign w:val="bottom"/>
          </w:tcPr>
          <w:p>
            <w:pPr>
              <w:ind w:left="40"/>
              <w:spacing w:after="0"/>
              <w:rPr>
                <w:sz w:val="20"/>
                <w:szCs w:val="20"/>
                <w:color w:val="auto"/>
              </w:rPr>
            </w:pPr>
            <w:r>
              <w:rPr>
                <w:rFonts w:ascii="Arial" w:cs="Arial" w:eastAsia="Arial" w:hAnsi="Arial"/>
                <w:sz w:val="18"/>
                <w:szCs w:val="18"/>
                <w:color w:val="auto"/>
                <w:w w:val="94"/>
              </w:rPr>
              <w:t>2026</w:t>
            </w: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688</w:t>
            </w: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39,886</w:t>
            </w: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40,574</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59.2%</w:t>
            </w:r>
          </w:p>
        </w:tc>
        <w:tc>
          <w:tcPr>
            <w:tcW w:w="1200" w:type="dxa"/>
            <w:vAlign w:val="bottom"/>
          </w:tcPr>
          <w:p>
            <w:pPr>
              <w:jc w:val="right"/>
              <w:spacing w:after="0"/>
              <w:rPr>
                <w:sz w:val="20"/>
                <w:szCs w:val="20"/>
                <w:color w:val="auto"/>
              </w:rPr>
            </w:pPr>
            <w:r>
              <w:rPr>
                <w:rFonts w:ascii="Arial" w:cs="Arial" w:eastAsia="Arial" w:hAnsi="Arial"/>
                <w:sz w:val="18"/>
                <w:szCs w:val="18"/>
                <w:color w:val="auto"/>
              </w:rPr>
              <w:t>6.6%</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19,115</w:t>
            </w:r>
          </w:p>
        </w:tc>
        <w:tc>
          <w:tcPr>
            <w:tcW w:w="5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1,320,100</w:t>
            </w:r>
          </w:p>
        </w:tc>
        <w:tc>
          <w:tcPr>
            <w:tcW w:w="5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1,339,215</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100.0%</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42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48,562</w:t>
            </w:r>
          </w:p>
        </w:tc>
        <w:tc>
          <w:tcPr>
            <w:tcW w:w="56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3,231,620</w:t>
            </w:r>
          </w:p>
        </w:tc>
        <w:tc>
          <w:tcPr>
            <w:tcW w:w="56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140"/>
              <w:spacing w:after="0" w:line="263" w:lineRule="exact"/>
              <w:rPr>
                <w:sz w:val="20"/>
                <w:szCs w:val="20"/>
                <w:color w:val="auto"/>
              </w:rPr>
            </w:pPr>
            <w:r>
              <w:rPr>
                <w:rFonts w:ascii="Arial" w:cs="Arial" w:eastAsia="Arial" w:hAnsi="Arial"/>
                <w:sz w:val="18"/>
                <w:szCs w:val="18"/>
                <w:color w:val="auto"/>
              </w:rPr>
              <w:t xml:space="preserve">3,280,182  </w:t>
            </w:r>
            <w:r>
              <w:rPr>
                <w:rFonts w:ascii="Arial" w:cs="Arial" w:eastAsia="Arial" w:hAnsi="Arial"/>
                <w:sz w:val="28"/>
                <w:szCs w:val="28"/>
                <w:color w:val="auto"/>
                <w:vertAlign w:val="subscript"/>
              </w:rPr>
              <w:t>(3)</w:t>
            </w:r>
          </w:p>
        </w:tc>
        <w:tc>
          <w:tcPr>
            <w:tcW w:w="1320" w:type="dxa"/>
            <w:vAlign w:val="bottom"/>
          </w:tcPr>
          <w:p>
            <w:pPr>
              <w:jc w:val="right"/>
              <w:spacing w:after="0"/>
              <w:rPr>
                <w:sz w:val="20"/>
                <w:szCs w:val="20"/>
                <w:color w:val="auto"/>
              </w:rPr>
            </w:pPr>
            <w:r>
              <w:rPr>
                <w:rFonts w:ascii="Arial" w:cs="Arial" w:eastAsia="Arial" w:hAnsi="Arial"/>
                <w:sz w:val="18"/>
                <w:szCs w:val="18"/>
                <w:color w:val="auto"/>
              </w:rPr>
              <w:t>100.0%</w:t>
            </w:r>
          </w:p>
        </w:tc>
        <w:tc>
          <w:tcPr>
            <w:tcW w:w="15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40" w:type="dxa"/>
            <w:vAlign w:val="bottom"/>
            <w:vMerge w:val="restart"/>
          </w:tcPr>
          <w:p>
            <w:pPr>
              <w:spacing w:after="0" w:line="183" w:lineRule="exact"/>
              <w:rPr>
                <w:sz w:val="20"/>
                <w:szCs w:val="20"/>
                <w:color w:val="auto"/>
              </w:rPr>
            </w:pPr>
            <w:r>
              <w:rPr>
                <w:rFonts w:ascii="Arial" w:cs="Arial" w:eastAsia="Arial" w:hAnsi="Arial"/>
                <w:sz w:val="16"/>
                <w:szCs w:val="16"/>
                <w:color w:val="auto"/>
                <w:w w:val="90"/>
              </w:rPr>
              <w:t>Notes:</w:t>
            </w:r>
          </w:p>
        </w:tc>
        <w:tc>
          <w:tcPr>
            <w:tcW w:w="980" w:type="dxa"/>
            <w:vAlign w:val="bottom"/>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440" w:type="dxa"/>
            <w:vAlign w:val="bottom"/>
            <w:tcBorders>
              <w:bottom w:val="single" w:sz="8" w:color="auto"/>
            </w:tcBorders>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$275.0 million unsecured term loan matures on November 21, 2018, subject to a one-year extension at our option.</w:t>
      </w:r>
    </w:p>
    <w:p>
      <w:pPr>
        <w:spacing w:after="0" w:line="59" w:lineRule="exact"/>
        <w:rPr>
          <w:rFonts w:ascii="Arial" w:cs="Arial" w:eastAsia="Arial" w:hAnsi="Arial"/>
          <w:sz w:val="16"/>
          <w:szCs w:val="16"/>
          <w:color w:val="auto"/>
        </w:rPr>
      </w:pPr>
    </w:p>
    <w:p>
      <w:pPr>
        <w:ind w:left="660" w:right="40" w:hanging="652"/>
        <w:spacing w:after="0" w:line="275"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$800.0 million revolving credit facility matures on April 20, 2020, subject to two six-month extensions at our option. As of September 30, 2017, there was $41.5 million balance outstanding under this credit facility.</w:t>
      </w:r>
    </w:p>
    <w:p>
      <w:pPr>
        <w:spacing w:after="0" w:line="10" w:lineRule="exact"/>
        <w:rPr>
          <w:rFonts w:ascii="Arial" w:cs="Arial" w:eastAsia="Arial" w:hAnsi="Arial"/>
          <w:sz w:val="16"/>
          <w:szCs w:val="16"/>
          <w:color w:val="auto"/>
        </w:rPr>
      </w:pPr>
    </w:p>
    <w:p>
      <w:pPr>
        <w:ind w:left="660" w:right="160" w:hanging="652"/>
        <w:spacing w:after="0" w:line="275"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total debt maturities differs from the total reported on the consolidated balance sheet due to the unamortized net premium/(discount) and debt issuance costs on certain mortgage loans, notes payable, and senior notes as of September 30, 2017.</w:t>
      </w:r>
    </w:p>
    <w:p>
      <w:pPr>
        <w:spacing w:after="0" w:line="10" w:lineRule="exact"/>
        <w:rPr>
          <w:rFonts w:ascii="Arial" w:cs="Arial" w:eastAsia="Arial" w:hAnsi="Arial"/>
          <w:sz w:val="16"/>
          <w:szCs w:val="16"/>
          <w:color w:val="auto"/>
        </w:rPr>
      </w:pPr>
    </w:p>
    <w:p>
      <w:pPr>
        <w:ind w:left="660" w:hanging="652"/>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weighted average rate reflects the weighted average interest rate on debt maturing in the respective year.</w:t>
      </w:r>
    </w:p>
    <w:p>
      <w:pPr>
        <w:spacing w:after="0" w:line="59" w:lineRule="exact"/>
        <w:rPr>
          <w:rFonts w:ascii="Arial" w:cs="Arial" w:eastAsia="Arial" w:hAnsi="Arial"/>
          <w:sz w:val="16"/>
          <w:szCs w:val="16"/>
          <w:color w:val="auto"/>
        </w:rPr>
      </w:pPr>
    </w:p>
    <w:p>
      <w:pPr>
        <w:ind w:left="660" w:hanging="652"/>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weighted average rate excludes $0.5 million in quarterly financing fees and quarterly debt fee amortization on our revolving credit facility.</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742" w:right="239" w:bottom="1440" w:gutter="0" w:footer="0" w:header="0"/>
        </w:sectPr>
      </w:pPr>
    </w:p>
    <w:bookmarkStart w:id="20" w:name="page21"/>
    <w:bookmarkEnd w:id="20"/>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Summary of Redevelopment Opportunities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September 30, 2017</w:t>
      </w:r>
    </w:p>
    <w:p>
      <w:pPr>
        <w:spacing w:after="0" w:line="24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The following redevelopment opportunities have received or will shortly receive all necessary approvals to proceed and are actively being worked on by the Trust.</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(1)</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8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Projected</w:t>
            </w: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Projected</w:t>
            </w: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Cost to</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4"/>
              </w:rPr>
              <w:t>Anticipated</w:t>
            </w:r>
          </w:p>
        </w:tc>
        <w:tc>
          <w:tcPr>
            <w:tcW w:w="0" w:type="dxa"/>
            <w:vAlign w:val="bottom"/>
          </w:tcPr>
          <w:p>
            <w:pPr>
              <w:spacing w:after="0"/>
              <w:rPr>
                <w:sz w:val="1"/>
                <w:szCs w:val="1"/>
                <w:color w:val="auto"/>
              </w:rPr>
            </w:pPr>
          </w:p>
        </w:tc>
      </w:tr>
      <w:tr>
        <w:trPr>
          <w:trHeight w:val="149"/>
        </w:trPr>
        <w:tc>
          <w:tcPr>
            <w:tcW w:w="152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Property</w:t>
            </w:r>
          </w:p>
        </w:tc>
        <w:tc>
          <w:tcPr>
            <w:tcW w:w="144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Location</w:t>
            </w:r>
          </w:p>
        </w:tc>
        <w:tc>
          <w:tcPr>
            <w:tcW w:w="4940" w:type="dxa"/>
            <w:vAlign w:val="bottom"/>
            <w:vMerge w:val="restart"/>
          </w:tcPr>
          <w:p>
            <w:pPr>
              <w:ind w:left="2160"/>
              <w:spacing w:after="0"/>
              <w:rPr>
                <w:sz w:val="20"/>
                <w:szCs w:val="20"/>
                <w:color w:val="auto"/>
              </w:rPr>
            </w:pPr>
            <w:r>
              <w:rPr>
                <w:rFonts w:ascii="Arial" w:cs="Arial" w:eastAsia="Arial" w:hAnsi="Arial"/>
                <w:sz w:val="14"/>
                <w:szCs w:val="14"/>
                <w:b w:val="1"/>
                <w:bCs w:val="1"/>
                <w:color w:val="auto"/>
              </w:rPr>
              <w:t>Opportunity</w:t>
            </w:r>
          </w:p>
        </w:tc>
        <w:tc>
          <w:tcPr>
            <w:tcW w:w="84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Stabilization</w:t>
            </w:r>
          </w:p>
        </w:tc>
        <w:tc>
          <w:tcPr>
            <w:tcW w:w="0" w:type="dxa"/>
            <w:vAlign w:val="bottom"/>
          </w:tcPr>
          <w:p>
            <w:pPr>
              <w:spacing w:after="0"/>
              <w:rPr>
                <w:sz w:val="1"/>
                <w:szCs w:val="1"/>
                <w:color w:val="auto"/>
              </w:rPr>
            </w:pPr>
          </w:p>
        </w:tc>
      </w:tr>
      <w:tr>
        <w:trPr>
          <w:trHeight w:val="192"/>
        </w:trPr>
        <w:tc>
          <w:tcPr>
            <w:tcW w:w="1520" w:type="dxa"/>
            <w:vAlign w:val="bottom"/>
            <w:tcBorders>
              <w:bottom w:val="single" w:sz="8" w:color="auto"/>
            </w:tcBorders>
            <w:vMerge w:val="continue"/>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494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ROI (2)</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Cost (1)</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(3)</w:t>
            </w:r>
          </w:p>
        </w:tc>
        <w:tc>
          <w:tcPr>
            <w:tcW w:w="0" w:type="dxa"/>
            <w:vAlign w:val="bottom"/>
          </w:tcPr>
          <w:p>
            <w:pPr>
              <w:spacing w:after="0"/>
              <w:rPr>
                <w:sz w:val="1"/>
                <w:szCs w:val="1"/>
                <w:color w:val="auto"/>
              </w:rPr>
            </w:pPr>
          </w:p>
        </w:tc>
      </w:tr>
      <w:tr>
        <w:trPr>
          <w:trHeight w:val="258"/>
        </w:trPr>
        <w:tc>
          <w:tcPr>
            <w:tcW w:w="15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49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(in millions)</w:t>
            </w:r>
          </w:p>
        </w:tc>
        <w:tc>
          <w:tcPr>
            <w:tcW w:w="820" w:type="dxa"/>
            <w:vAlign w:val="bottom"/>
          </w:tcPr>
          <w:p>
            <w:pPr>
              <w:jc w:val="center"/>
              <w:spacing w:after="0"/>
              <w:rPr>
                <w:sz w:val="20"/>
                <w:szCs w:val="20"/>
                <w:color w:val="auto"/>
              </w:rPr>
            </w:pPr>
            <w:r>
              <w:rPr>
                <w:rFonts w:ascii="Arial" w:cs="Arial" w:eastAsia="Arial" w:hAnsi="Arial"/>
                <w:sz w:val="14"/>
                <w:szCs w:val="14"/>
                <w:color w:val="auto"/>
              </w:rPr>
              <w:t>(in millions)</w:t>
            </w: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8"/>
        </w:trPr>
        <w:tc>
          <w:tcPr>
            <w:tcW w:w="15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The Point</w:t>
            </w:r>
          </w:p>
        </w:tc>
        <w:tc>
          <w:tcPr>
            <w:tcW w:w="14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El Segundo, CA</w:t>
            </w:r>
          </w:p>
        </w:tc>
        <w:tc>
          <w:tcPr>
            <w:tcW w:w="4940" w:type="dxa"/>
            <w:vAlign w:val="bottom"/>
            <w:shd w:val="clear" w:color="auto" w:fill="CCEEFF"/>
          </w:tcPr>
          <w:p>
            <w:pPr>
              <w:ind w:left="160"/>
              <w:spacing w:after="0"/>
              <w:rPr>
                <w:sz w:val="20"/>
                <w:szCs w:val="20"/>
                <w:color w:val="auto"/>
              </w:rPr>
            </w:pPr>
            <w:r>
              <w:rPr>
                <w:rFonts w:ascii="Arial" w:cs="Arial" w:eastAsia="Arial" w:hAnsi="Arial"/>
                <w:sz w:val="14"/>
                <w:szCs w:val="14"/>
                <w:color w:val="auto"/>
                <w:w w:val="99"/>
              </w:rPr>
              <w:t>Addition of 90,000 square feet of retail and 25,000 square feet of office space</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$88</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$87</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2017</w:t>
            </w:r>
          </w:p>
        </w:tc>
        <w:tc>
          <w:tcPr>
            <w:tcW w:w="0" w:type="dxa"/>
            <w:vAlign w:val="bottom"/>
          </w:tcPr>
          <w:p>
            <w:pPr>
              <w:spacing w:after="0"/>
              <w:rPr>
                <w:sz w:val="1"/>
                <w:szCs w:val="1"/>
                <w:color w:val="auto"/>
              </w:rPr>
            </w:pPr>
          </w:p>
        </w:tc>
      </w:tr>
      <w:tr>
        <w:trPr>
          <w:trHeight w:val="80"/>
        </w:trPr>
        <w:tc>
          <w:tcPr>
            <w:tcW w:w="1520" w:type="dxa"/>
            <w:vAlign w:val="bottom"/>
            <w:shd w:val="clear" w:color="auto" w:fill="CCEEFF"/>
          </w:tcPr>
          <w:p>
            <w:pPr>
              <w:spacing w:after="0"/>
              <w:rPr>
                <w:sz w:val="6"/>
                <w:szCs w:val="6"/>
                <w:color w:val="auto"/>
              </w:rPr>
            </w:pPr>
          </w:p>
        </w:tc>
        <w:tc>
          <w:tcPr>
            <w:tcW w:w="1440" w:type="dxa"/>
            <w:vAlign w:val="bottom"/>
            <w:shd w:val="clear" w:color="auto" w:fill="CCEEFF"/>
          </w:tcPr>
          <w:p>
            <w:pPr>
              <w:spacing w:after="0"/>
              <w:rPr>
                <w:sz w:val="6"/>
                <w:szCs w:val="6"/>
                <w:color w:val="auto"/>
              </w:rPr>
            </w:pPr>
          </w:p>
        </w:tc>
        <w:tc>
          <w:tcPr>
            <w:tcW w:w="494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520" w:type="dxa"/>
            <w:vAlign w:val="bottom"/>
          </w:tcPr>
          <w:p>
            <w:pPr>
              <w:ind w:left="40"/>
              <w:spacing w:after="0" w:line="157" w:lineRule="exact"/>
              <w:rPr>
                <w:sz w:val="20"/>
                <w:szCs w:val="20"/>
                <w:color w:val="auto"/>
              </w:rPr>
            </w:pPr>
            <w:r>
              <w:rPr>
                <w:rFonts w:ascii="Arial" w:cs="Arial" w:eastAsia="Arial" w:hAnsi="Arial"/>
                <w:sz w:val="14"/>
                <w:szCs w:val="14"/>
                <w:color w:val="auto"/>
              </w:rPr>
              <w:t>Cocowalk</w:t>
            </w:r>
          </w:p>
        </w:tc>
        <w:tc>
          <w:tcPr>
            <w:tcW w:w="1440" w:type="dxa"/>
            <w:vAlign w:val="bottom"/>
          </w:tcPr>
          <w:p>
            <w:pPr>
              <w:ind w:left="120"/>
              <w:spacing w:after="0" w:line="157" w:lineRule="exact"/>
              <w:rPr>
                <w:sz w:val="20"/>
                <w:szCs w:val="20"/>
                <w:color w:val="auto"/>
              </w:rPr>
            </w:pPr>
            <w:r>
              <w:rPr>
                <w:rFonts w:ascii="Arial" w:cs="Arial" w:eastAsia="Arial" w:hAnsi="Arial"/>
                <w:sz w:val="14"/>
                <w:szCs w:val="14"/>
                <w:color w:val="auto"/>
              </w:rPr>
              <w:t>Coconut Grove, FL</w:t>
            </w:r>
          </w:p>
        </w:tc>
        <w:tc>
          <w:tcPr>
            <w:tcW w:w="4940" w:type="dxa"/>
            <w:vAlign w:val="bottom"/>
          </w:tcPr>
          <w:p>
            <w:pPr>
              <w:ind w:left="160"/>
              <w:spacing w:after="0" w:line="157" w:lineRule="exact"/>
              <w:rPr>
                <w:sz w:val="20"/>
                <w:szCs w:val="20"/>
                <w:color w:val="auto"/>
              </w:rPr>
            </w:pPr>
            <w:r>
              <w:rPr>
                <w:rFonts w:ascii="Arial" w:cs="Arial" w:eastAsia="Arial" w:hAnsi="Arial"/>
                <w:sz w:val="14"/>
                <w:szCs w:val="14"/>
                <w:color w:val="auto"/>
                <w:w w:val="96"/>
              </w:rPr>
              <w:t>Shopping center redevelopment to include demolition of three story east wing of</w:t>
            </w:r>
          </w:p>
        </w:tc>
        <w:tc>
          <w:tcPr>
            <w:tcW w:w="840" w:type="dxa"/>
            <w:vAlign w:val="bottom"/>
          </w:tcPr>
          <w:p>
            <w:pPr>
              <w:jc w:val="right"/>
              <w:ind w:right="88"/>
              <w:spacing w:after="0" w:line="157" w:lineRule="exact"/>
              <w:rPr>
                <w:sz w:val="20"/>
                <w:szCs w:val="20"/>
                <w:color w:val="auto"/>
              </w:rPr>
            </w:pPr>
            <w:r>
              <w:rPr>
                <w:rFonts w:ascii="Arial" w:cs="Arial" w:eastAsia="Arial" w:hAnsi="Arial"/>
                <w:sz w:val="14"/>
                <w:szCs w:val="14"/>
                <w:color w:val="auto"/>
              </w:rPr>
              <w:t>6%-7%</w:t>
            </w:r>
          </w:p>
        </w:tc>
        <w:tc>
          <w:tcPr>
            <w:tcW w:w="840" w:type="dxa"/>
            <w:vAlign w:val="bottom"/>
          </w:tcPr>
          <w:p>
            <w:pPr>
              <w:jc w:val="right"/>
              <w:ind w:right="8"/>
              <w:spacing w:after="0" w:line="157" w:lineRule="exact"/>
              <w:rPr>
                <w:sz w:val="20"/>
                <w:szCs w:val="20"/>
                <w:color w:val="auto"/>
              </w:rPr>
            </w:pPr>
            <w:r>
              <w:rPr>
                <w:rFonts w:ascii="Arial" w:cs="Arial" w:eastAsia="Arial" w:hAnsi="Arial"/>
                <w:sz w:val="14"/>
                <w:szCs w:val="14"/>
                <w:color w:val="auto"/>
              </w:rPr>
              <w:t>$73 - $77</w:t>
            </w:r>
          </w:p>
        </w:tc>
        <w:tc>
          <w:tcPr>
            <w:tcW w:w="820" w:type="dxa"/>
            <w:vAlign w:val="bottom"/>
          </w:tcPr>
          <w:p>
            <w:pPr>
              <w:jc w:val="right"/>
              <w:ind w:right="48"/>
              <w:spacing w:after="0" w:line="157" w:lineRule="exact"/>
              <w:rPr>
                <w:sz w:val="20"/>
                <w:szCs w:val="20"/>
                <w:color w:val="auto"/>
              </w:rPr>
            </w:pPr>
            <w:r>
              <w:rPr>
                <w:rFonts w:ascii="Arial" w:cs="Arial" w:eastAsia="Arial" w:hAnsi="Arial"/>
                <w:sz w:val="14"/>
                <w:szCs w:val="14"/>
                <w:color w:val="auto"/>
              </w:rPr>
              <w:t>$7</w:t>
            </w: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6"/>
              </w:rPr>
              <w:t>2020</w:t>
            </w: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940" w:type="dxa"/>
            <w:vAlign w:val="bottom"/>
          </w:tcPr>
          <w:p>
            <w:pPr>
              <w:ind w:left="160"/>
              <w:spacing w:after="0" w:line="149" w:lineRule="exact"/>
              <w:rPr>
                <w:sz w:val="20"/>
                <w:szCs w:val="20"/>
                <w:color w:val="auto"/>
              </w:rPr>
            </w:pPr>
            <w:r>
              <w:rPr>
                <w:rFonts w:ascii="Arial" w:cs="Arial" w:eastAsia="Arial" w:hAnsi="Arial"/>
                <w:sz w:val="14"/>
                <w:szCs w:val="14"/>
                <w:color w:val="auto"/>
                <w:w w:val="96"/>
              </w:rPr>
              <w:t>the property and construction of a 77,000 square foot 5-story office building with</w:t>
            </w: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5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940" w:type="dxa"/>
            <w:vAlign w:val="bottom"/>
          </w:tcPr>
          <w:p>
            <w:pPr>
              <w:ind w:left="160"/>
              <w:spacing w:after="0"/>
              <w:rPr>
                <w:sz w:val="20"/>
                <w:szCs w:val="20"/>
                <w:color w:val="auto"/>
              </w:rPr>
            </w:pPr>
            <w:r>
              <w:rPr>
                <w:rFonts w:ascii="Arial" w:cs="Arial" w:eastAsia="Arial" w:hAnsi="Arial"/>
                <w:sz w:val="14"/>
                <w:szCs w:val="14"/>
                <w:color w:val="auto"/>
              </w:rPr>
              <w:t>an additional 13,000 square feet of ground floor retail</w:t>
            </w: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Towson Residential</w:t>
            </w:r>
          </w:p>
        </w:tc>
        <w:tc>
          <w:tcPr>
            <w:tcW w:w="14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Towson, MD</w:t>
            </w:r>
          </w:p>
        </w:tc>
        <w:tc>
          <w:tcPr>
            <w:tcW w:w="49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New 105 unit 5-story apartment building with above grade parking</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2018</w:t>
            </w:r>
          </w:p>
        </w:tc>
        <w:tc>
          <w:tcPr>
            <w:tcW w:w="0" w:type="dxa"/>
            <w:vAlign w:val="bottom"/>
          </w:tcPr>
          <w:p>
            <w:pPr>
              <w:spacing w:after="0"/>
              <w:rPr>
                <w:sz w:val="1"/>
                <w:szCs w:val="1"/>
                <w:color w:val="auto"/>
              </w:rPr>
            </w:pPr>
          </w:p>
        </w:tc>
      </w:tr>
      <w:tr>
        <w:trPr>
          <w:trHeight w:val="80"/>
        </w:trPr>
        <w:tc>
          <w:tcPr>
            <w:tcW w:w="1520" w:type="dxa"/>
            <w:vAlign w:val="bottom"/>
            <w:shd w:val="clear" w:color="auto" w:fill="CCEEFF"/>
          </w:tcPr>
          <w:p>
            <w:pPr>
              <w:spacing w:after="0"/>
              <w:rPr>
                <w:sz w:val="6"/>
                <w:szCs w:val="6"/>
                <w:color w:val="auto"/>
              </w:rPr>
            </w:pPr>
          </w:p>
        </w:tc>
        <w:tc>
          <w:tcPr>
            <w:tcW w:w="1440" w:type="dxa"/>
            <w:vAlign w:val="bottom"/>
            <w:shd w:val="clear" w:color="auto" w:fill="CCEEFF"/>
          </w:tcPr>
          <w:p>
            <w:pPr>
              <w:spacing w:after="0"/>
              <w:rPr>
                <w:sz w:val="6"/>
                <w:szCs w:val="6"/>
                <w:color w:val="auto"/>
              </w:rPr>
            </w:pPr>
          </w:p>
        </w:tc>
        <w:tc>
          <w:tcPr>
            <w:tcW w:w="494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520" w:type="dxa"/>
            <w:vAlign w:val="bottom"/>
          </w:tcPr>
          <w:p>
            <w:pPr>
              <w:ind w:left="40"/>
              <w:spacing w:after="0"/>
              <w:rPr>
                <w:sz w:val="20"/>
                <w:szCs w:val="20"/>
                <w:color w:val="auto"/>
              </w:rPr>
            </w:pPr>
            <w:r>
              <w:rPr>
                <w:rFonts w:ascii="Arial" w:cs="Arial" w:eastAsia="Arial" w:hAnsi="Arial"/>
                <w:sz w:val="14"/>
                <w:szCs w:val="14"/>
                <w:color w:val="auto"/>
              </w:rPr>
              <w:t>Tower Shops</w:t>
            </w:r>
          </w:p>
        </w:tc>
        <w:tc>
          <w:tcPr>
            <w:tcW w:w="1440" w:type="dxa"/>
            <w:vAlign w:val="bottom"/>
          </w:tcPr>
          <w:p>
            <w:pPr>
              <w:ind w:left="120"/>
              <w:spacing w:after="0"/>
              <w:rPr>
                <w:sz w:val="20"/>
                <w:szCs w:val="20"/>
                <w:color w:val="auto"/>
              </w:rPr>
            </w:pPr>
            <w:r>
              <w:rPr>
                <w:rFonts w:ascii="Arial" w:cs="Arial" w:eastAsia="Arial" w:hAnsi="Arial"/>
                <w:sz w:val="14"/>
                <w:szCs w:val="14"/>
                <w:color w:val="auto"/>
              </w:rPr>
              <w:t>Davie, FL</w:t>
            </w:r>
          </w:p>
        </w:tc>
        <w:tc>
          <w:tcPr>
            <w:tcW w:w="4940" w:type="dxa"/>
            <w:vAlign w:val="bottom"/>
          </w:tcPr>
          <w:p>
            <w:pPr>
              <w:ind w:left="160"/>
              <w:spacing w:after="0"/>
              <w:rPr>
                <w:sz w:val="20"/>
                <w:szCs w:val="20"/>
                <w:color w:val="auto"/>
              </w:rPr>
            </w:pPr>
            <w:r>
              <w:rPr>
                <w:rFonts w:ascii="Arial" w:cs="Arial" w:eastAsia="Arial" w:hAnsi="Arial"/>
                <w:sz w:val="14"/>
                <w:szCs w:val="14"/>
                <w:color w:val="auto"/>
              </w:rPr>
              <w:t>Addition of 50,000 square foot pad building</w:t>
            </w:r>
          </w:p>
        </w:tc>
        <w:tc>
          <w:tcPr>
            <w:tcW w:w="840" w:type="dxa"/>
            <w:vAlign w:val="bottom"/>
          </w:tcPr>
          <w:p>
            <w:pPr>
              <w:jc w:val="right"/>
              <w:spacing w:after="0"/>
              <w:rPr>
                <w:sz w:val="20"/>
                <w:szCs w:val="20"/>
                <w:color w:val="auto"/>
              </w:rPr>
            </w:pPr>
            <w:r>
              <w:rPr>
                <w:rFonts w:ascii="Arial" w:cs="Arial" w:eastAsia="Arial" w:hAnsi="Arial"/>
                <w:sz w:val="14"/>
                <w:szCs w:val="14"/>
                <w:color w:val="auto"/>
              </w:rPr>
              <w:t>12%</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$15</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$14</w:t>
            </w:r>
          </w:p>
        </w:tc>
        <w:tc>
          <w:tcPr>
            <w:tcW w:w="1020" w:type="dxa"/>
            <w:vAlign w:val="bottom"/>
          </w:tcPr>
          <w:p>
            <w:pPr>
              <w:jc w:val="center"/>
              <w:spacing w:after="0"/>
              <w:rPr>
                <w:sz w:val="20"/>
                <w:szCs w:val="20"/>
                <w:color w:val="auto"/>
              </w:rPr>
            </w:pPr>
            <w:r>
              <w:rPr>
                <w:rFonts w:ascii="Arial" w:cs="Arial" w:eastAsia="Arial" w:hAnsi="Arial"/>
                <w:sz w:val="14"/>
                <w:szCs w:val="14"/>
                <w:color w:val="auto"/>
                <w:w w:val="95"/>
              </w:rPr>
              <w:t>Stabilized</w:t>
            </w:r>
          </w:p>
        </w:tc>
        <w:tc>
          <w:tcPr>
            <w:tcW w:w="0" w:type="dxa"/>
            <w:vAlign w:val="bottom"/>
          </w:tcPr>
          <w:p>
            <w:pPr>
              <w:spacing w:after="0"/>
              <w:rPr>
                <w:sz w:val="1"/>
                <w:szCs w:val="1"/>
                <w:color w:val="auto"/>
              </w:rPr>
            </w:pPr>
          </w:p>
        </w:tc>
      </w:tr>
      <w:tr>
        <w:trPr>
          <w:trHeight w:val="80"/>
        </w:trPr>
        <w:tc>
          <w:tcPr>
            <w:tcW w:w="1520" w:type="dxa"/>
            <w:vAlign w:val="bottom"/>
          </w:tcPr>
          <w:p>
            <w:pPr>
              <w:spacing w:after="0"/>
              <w:rPr>
                <w:sz w:val="6"/>
                <w:szCs w:val="6"/>
                <w:color w:val="auto"/>
              </w:rPr>
            </w:pPr>
          </w:p>
        </w:tc>
        <w:tc>
          <w:tcPr>
            <w:tcW w:w="1440" w:type="dxa"/>
            <w:vAlign w:val="bottom"/>
          </w:tcPr>
          <w:p>
            <w:pPr>
              <w:spacing w:after="0"/>
              <w:rPr>
                <w:sz w:val="6"/>
                <w:szCs w:val="6"/>
                <w:color w:val="auto"/>
              </w:rPr>
            </w:pPr>
          </w:p>
        </w:tc>
        <w:tc>
          <w:tcPr>
            <w:tcW w:w="49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52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Plaza Del Mercado</w:t>
            </w:r>
          </w:p>
        </w:tc>
        <w:tc>
          <w:tcPr>
            <w:tcW w:w="1440" w:type="dxa"/>
            <w:vAlign w:val="bottom"/>
            <w:shd w:val="clear" w:color="auto" w:fill="CCEEFF"/>
          </w:tcPr>
          <w:p>
            <w:pPr>
              <w:ind w:left="120"/>
              <w:spacing w:after="0" w:line="157" w:lineRule="exact"/>
              <w:rPr>
                <w:sz w:val="20"/>
                <w:szCs w:val="20"/>
                <w:color w:val="auto"/>
              </w:rPr>
            </w:pPr>
            <w:r>
              <w:rPr>
                <w:rFonts w:ascii="Arial" w:cs="Arial" w:eastAsia="Arial" w:hAnsi="Arial"/>
                <w:sz w:val="14"/>
                <w:szCs w:val="14"/>
                <w:color w:val="auto"/>
              </w:rPr>
              <w:t>Silver Spring, MD</w:t>
            </w:r>
          </w:p>
        </w:tc>
        <w:tc>
          <w:tcPr>
            <w:tcW w:w="4940" w:type="dxa"/>
            <w:vAlign w:val="bottom"/>
            <w:shd w:val="clear" w:color="auto" w:fill="CCEEFF"/>
          </w:tcPr>
          <w:p>
            <w:pPr>
              <w:ind w:left="160"/>
              <w:spacing w:after="0" w:line="157" w:lineRule="exact"/>
              <w:rPr>
                <w:sz w:val="20"/>
                <w:szCs w:val="20"/>
                <w:color w:val="auto"/>
              </w:rPr>
            </w:pPr>
            <w:r>
              <w:rPr>
                <w:rFonts w:ascii="Arial" w:cs="Arial" w:eastAsia="Arial" w:hAnsi="Arial"/>
                <w:sz w:val="14"/>
                <w:szCs w:val="14"/>
                <w:color w:val="auto"/>
                <w:w w:val="97"/>
              </w:rPr>
              <w:t>Demolition of former grocery anchor space to construct spaces for new grocery</w:t>
            </w:r>
          </w:p>
        </w:tc>
        <w:tc>
          <w:tcPr>
            <w:tcW w:w="8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8%</w:t>
            </w:r>
          </w:p>
        </w:tc>
        <w:tc>
          <w:tcPr>
            <w:tcW w:w="84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$15</w:t>
            </w:r>
          </w:p>
        </w:tc>
        <w:tc>
          <w:tcPr>
            <w:tcW w:w="82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$15</w:t>
            </w:r>
          </w:p>
        </w:tc>
        <w:tc>
          <w:tcPr>
            <w:tcW w:w="10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5"/>
              </w:rPr>
              <w:t>Stabilized</w:t>
            </w:r>
          </w:p>
        </w:tc>
        <w:tc>
          <w:tcPr>
            <w:tcW w:w="0" w:type="dxa"/>
            <w:vAlign w:val="bottom"/>
          </w:tcPr>
          <w:p>
            <w:pPr>
              <w:spacing w:after="0"/>
              <w:rPr>
                <w:sz w:val="1"/>
                <w:szCs w:val="1"/>
                <w:color w:val="auto"/>
              </w:rPr>
            </w:pPr>
          </w:p>
        </w:tc>
      </w:tr>
      <w:tr>
        <w:trPr>
          <w:trHeight w:val="194"/>
        </w:trPr>
        <w:tc>
          <w:tcPr>
            <w:tcW w:w="15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49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anchor and fitness center tenants</w:t>
            </w:r>
          </w:p>
        </w:tc>
        <w:tc>
          <w:tcPr>
            <w:tcW w:w="8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520" w:type="dxa"/>
            <w:vAlign w:val="bottom"/>
          </w:tcPr>
          <w:p>
            <w:pPr>
              <w:ind w:left="40"/>
              <w:spacing w:after="0" w:line="157" w:lineRule="exact"/>
              <w:rPr>
                <w:sz w:val="20"/>
                <w:szCs w:val="20"/>
                <w:color w:val="auto"/>
              </w:rPr>
            </w:pPr>
            <w:r>
              <w:rPr>
                <w:rFonts w:ascii="Arial" w:cs="Arial" w:eastAsia="Arial" w:hAnsi="Arial"/>
                <w:sz w:val="14"/>
                <w:szCs w:val="14"/>
                <w:color w:val="auto"/>
              </w:rPr>
              <w:t>Del Mar Village</w:t>
            </w:r>
          </w:p>
        </w:tc>
        <w:tc>
          <w:tcPr>
            <w:tcW w:w="1440" w:type="dxa"/>
            <w:vAlign w:val="bottom"/>
          </w:tcPr>
          <w:p>
            <w:pPr>
              <w:ind w:left="120"/>
              <w:spacing w:after="0" w:line="157" w:lineRule="exact"/>
              <w:rPr>
                <w:sz w:val="20"/>
                <w:szCs w:val="20"/>
                <w:color w:val="auto"/>
              </w:rPr>
            </w:pPr>
            <w:r>
              <w:rPr>
                <w:rFonts w:ascii="Arial" w:cs="Arial" w:eastAsia="Arial" w:hAnsi="Arial"/>
                <w:sz w:val="14"/>
                <w:szCs w:val="14"/>
                <w:color w:val="auto"/>
              </w:rPr>
              <w:t>Boca Raton, FL</w:t>
            </w:r>
          </w:p>
        </w:tc>
        <w:tc>
          <w:tcPr>
            <w:tcW w:w="4940" w:type="dxa"/>
            <w:vAlign w:val="bottom"/>
          </w:tcPr>
          <w:p>
            <w:pPr>
              <w:ind w:left="160"/>
              <w:spacing w:after="0" w:line="157" w:lineRule="exact"/>
              <w:rPr>
                <w:sz w:val="20"/>
                <w:szCs w:val="20"/>
                <w:color w:val="auto"/>
              </w:rPr>
            </w:pPr>
            <w:r>
              <w:rPr>
                <w:rFonts w:ascii="Arial" w:cs="Arial" w:eastAsia="Arial" w:hAnsi="Arial"/>
                <w:sz w:val="14"/>
                <w:szCs w:val="14"/>
                <w:color w:val="auto"/>
                <w:w w:val="96"/>
              </w:rPr>
              <w:t>Demolition of small shop spaces and relocation of tenants to accommodate new</w:t>
            </w: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7%</w:t>
            </w:r>
          </w:p>
        </w:tc>
        <w:tc>
          <w:tcPr>
            <w:tcW w:w="840" w:type="dxa"/>
            <w:vAlign w:val="bottom"/>
          </w:tcPr>
          <w:p>
            <w:pPr>
              <w:jc w:val="right"/>
              <w:ind w:right="8"/>
              <w:spacing w:after="0" w:line="157" w:lineRule="exact"/>
              <w:rPr>
                <w:sz w:val="20"/>
                <w:szCs w:val="20"/>
                <w:color w:val="auto"/>
              </w:rPr>
            </w:pPr>
            <w:r>
              <w:rPr>
                <w:rFonts w:ascii="Arial" w:cs="Arial" w:eastAsia="Arial" w:hAnsi="Arial"/>
                <w:sz w:val="14"/>
                <w:szCs w:val="14"/>
                <w:color w:val="auto"/>
              </w:rPr>
              <w:t>$11</w:t>
            </w:r>
          </w:p>
        </w:tc>
        <w:tc>
          <w:tcPr>
            <w:tcW w:w="820" w:type="dxa"/>
            <w:vAlign w:val="bottom"/>
          </w:tcPr>
          <w:p>
            <w:pPr>
              <w:jc w:val="right"/>
              <w:ind w:right="48"/>
              <w:spacing w:after="0" w:line="157" w:lineRule="exact"/>
              <w:rPr>
                <w:sz w:val="20"/>
                <w:szCs w:val="20"/>
                <w:color w:val="auto"/>
              </w:rPr>
            </w:pPr>
            <w:r>
              <w:rPr>
                <w:rFonts w:ascii="Arial" w:cs="Arial" w:eastAsia="Arial" w:hAnsi="Arial"/>
                <w:sz w:val="14"/>
                <w:szCs w:val="14"/>
                <w:color w:val="auto"/>
              </w:rPr>
              <w:t>$6</w:t>
            </w: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6"/>
              </w:rPr>
              <w:t>2018</w:t>
            </w:r>
          </w:p>
        </w:tc>
        <w:tc>
          <w:tcPr>
            <w:tcW w:w="0" w:type="dxa"/>
            <w:vAlign w:val="bottom"/>
          </w:tcPr>
          <w:p>
            <w:pPr>
              <w:spacing w:after="0"/>
              <w:rPr>
                <w:sz w:val="1"/>
                <w:szCs w:val="1"/>
                <w:color w:val="auto"/>
              </w:rPr>
            </w:pPr>
          </w:p>
        </w:tc>
      </w:tr>
      <w:tr>
        <w:trPr>
          <w:trHeight w:val="188"/>
        </w:trPr>
        <w:tc>
          <w:tcPr>
            <w:tcW w:w="15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940" w:type="dxa"/>
            <w:vAlign w:val="bottom"/>
          </w:tcPr>
          <w:p>
            <w:pPr>
              <w:ind w:left="160"/>
              <w:spacing w:after="0"/>
              <w:rPr>
                <w:sz w:val="20"/>
                <w:szCs w:val="20"/>
                <w:color w:val="auto"/>
              </w:rPr>
            </w:pPr>
            <w:r>
              <w:rPr>
                <w:rFonts w:ascii="Arial" w:cs="Arial" w:eastAsia="Arial" w:hAnsi="Arial"/>
                <w:sz w:val="14"/>
                <w:szCs w:val="14"/>
                <w:color w:val="auto"/>
              </w:rPr>
              <w:t>37,000 square foot fitness center tenant</w:t>
            </w: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Montrose Crossing</w:t>
            </w:r>
          </w:p>
        </w:tc>
        <w:tc>
          <w:tcPr>
            <w:tcW w:w="14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Rockville, MD</w:t>
            </w:r>
          </w:p>
        </w:tc>
        <w:tc>
          <w:tcPr>
            <w:tcW w:w="49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Demolition of 10,000 square foot restaurant building to construct an 18,000</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2018</w:t>
            </w:r>
          </w:p>
        </w:tc>
        <w:tc>
          <w:tcPr>
            <w:tcW w:w="0" w:type="dxa"/>
            <w:vAlign w:val="bottom"/>
          </w:tcPr>
          <w:p>
            <w:pPr>
              <w:spacing w:after="0"/>
              <w:rPr>
                <w:sz w:val="1"/>
                <w:szCs w:val="1"/>
                <w:color w:val="auto"/>
              </w:rPr>
            </w:pPr>
          </w:p>
        </w:tc>
      </w:tr>
      <w:tr>
        <w:trPr>
          <w:trHeight w:val="194"/>
        </w:trPr>
        <w:tc>
          <w:tcPr>
            <w:tcW w:w="15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49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square foot multi-tenant pad building</w:t>
            </w:r>
          </w:p>
        </w:tc>
        <w:tc>
          <w:tcPr>
            <w:tcW w:w="8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520" w:type="dxa"/>
            <w:vAlign w:val="bottom"/>
          </w:tcPr>
          <w:p>
            <w:pPr>
              <w:ind w:left="40"/>
              <w:spacing w:after="0"/>
              <w:rPr>
                <w:sz w:val="20"/>
                <w:szCs w:val="20"/>
                <w:color w:val="auto"/>
              </w:rPr>
            </w:pPr>
            <w:r>
              <w:rPr>
                <w:rFonts w:ascii="Arial" w:cs="Arial" w:eastAsia="Arial" w:hAnsi="Arial"/>
                <w:sz w:val="14"/>
                <w:szCs w:val="14"/>
                <w:color w:val="auto"/>
              </w:rPr>
              <w:t>Pike 7 Plaza</w:t>
            </w:r>
          </w:p>
        </w:tc>
        <w:tc>
          <w:tcPr>
            <w:tcW w:w="1440" w:type="dxa"/>
            <w:vAlign w:val="bottom"/>
          </w:tcPr>
          <w:p>
            <w:pPr>
              <w:ind w:left="120"/>
              <w:spacing w:after="0"/>
              <w:rPr>
                <w:sz w:val="20"/>
                <w:szCs w:val="20"/>
                <w:color w:val="auto"/>
              </w:rPr>
            </w:pPr>
            <w:r>
              <w:rPr>
                <w:rFonts w:ascii="Arial" w:cs="Arial" w:eastAsia="Arial" w:hAnsi="Arial"/>
                <w:sz w:val="14"/>
                <w:szCs w:val="14"/>
                <w:color w:val="auto"/>
              </w:rPr>
              <w:t>Vienna, VA</w:t>
            </w:r>
          </w:p>
        </w:tc>
        <w:tc>
          <w:tcPr>
            <w:tcW w:w="4940" w:type="dxa"/>
            <w:vAlign w:val="bottom"/>
          </w:tcPr>
          <w:p>
            <w:pPr>
              <w:ind w:left="160"/>
              <w:spacing w:after="0"/>
              <w:rPr>
                <w:sz w:val="20"/>
                <w:szCs w:val="20"/>
                <w:color w:val="auto"/>
              </w:rPr>
            </w:pPr>
            <w:r>
              <w:rPr>
                <w:rFonts w:ascii="Arial" w:cs="Arial" w:eastAsia="Arial" w:hAnsi="Arial"/>
                <w:sz w:val="14"/>
                <w:szCs w:val="14"/>
                <w:color w:val="auto"/>
              </w:rPr>
              <w:t>Addition of 8,300 square foot multi-tenant retail pad building</w:t>
            </w:r>
          </w:p>
        </w:tc>
        <w:tc>
          <w:tcPr>
            <w:tcW w:w="840" w:type="dxa"/>
            <w:vAlign w:val="bottom"/>
          </w:tcPr>
          <w:p>
            <w:pPr>
              <w:jc w:val="right"/>
              <w:spacing w:after="0"/>
              <w:rPr>
                <w:sz w:val="20"/>
                <w:szCs w:val="20"/>
                <w:color w:val="auto"/>
              </w:rPr>
            </w:pPr>
            <w:r>
              <w:rPr>
                <w:rFonts w:ascii="Arial" w:cs="Arial" w:eastAsia="Arial" w:hAnsi="Arial"/>
                <w:sz w:val="14"/>
                <w:szCs w:val="14"/>
                <w:color w:val="auto"/>
              </w:rPr>
              <w:t>7%</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$10</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020" w:type="dxa"/>
            <w:vAlign w:val="bottom"/>
          </w:tcPr>
          <w:p>
            <w:pPr>
              <w:jc w:val="center"/>
              <w:spacing w:after="0"/>
              <w:rPr>
                <w:sz w:val="20"/>
                <w:szCs w:val="20"/>
                <w:color w:val="auto"/>
              </w:rPr>
            </w:pPr>
            <w:r>
              <w:rPr>
                <w:rFonts w:ascii="Arial" w:cs="Arial" w:eastAsia="Arial" w:hAnsi="Arial"/>
                <w:sz w:val="14"/>
                <w:szCs w:val="14"/>
                <w:color w:val="auto"/>
                <w:w w:val="96"/>
              </w:rPr>
              <w:t>2019</w:t>
            </w:r>
          </w:p>
        </w:tc>
        <w:tc>
          <w:tcPr>
            <w:tcW w:w="0" w:type="dxa"/>
            <w:vAlign w:val="bottom"/>
          </w:tcPr>
          <w:p>
            <w:pPr>
              <w:spacing w:after="0"/>
              <w:rPr>
                <w:sz w:val="1"/>
                <w:szCs w:val="1"/>
                <w:color w:val="auto"/>
              </w:rPr>
            </w:pPr>
          </w:p>
        </w:tc>
      </w:tr>
      <w:tr>
        <w:trPr>
          <w:trHeight w:val="80"/>
        </w:trPr>
        <w:tc>
          <w:tcPr>
            <w:tcW w:w="1520" w:type="dxa"/>
            <w:vAlign w:val="bottom"/>
          </w:tcPr>
          <w:p>
            <w:pPr>
              <w:spacing w:after="0"/>
              <w:rPr>
                <w:sz w:val="6"/>
                <w:szCs w:val="6"/>
                <w:color w:val="auto"/>
              </w:rPr>
            </w:pPr>
          </w:p>
        </w:tc>
        <w:tc>
          <w:tcPr>
            <w:tcW w:w="1440" w:type="dxa"/>
            <w:vAlign w:val="bottom"/>
          </w:tcPr>
          <w:p>
            <w:pPr>
              <w:spacing w:after="0"/>
              <w:rPr>
                <w:sz w:val="6"/>
                <w:szCs w:val="6"/>
                <w:color w:val="auto"/>
              </w:rPr>
            </w:pPr>
          </w:p>
        </w:tc>
        <w:tc>
          <w:tcPr>
            <w:tcW w:w="49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52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Willow Lawn</w:t>
            </w:r>
          </w:p>
        </w:tc>
        <w:tc>
          <w:tcPr>
            <w:tcW w:w="1440" w:type="dxa"/>
            <w:vAlign w:val="bottom"/>
            <w:shd w:val="clear" w:color="auto" w:fill="CCEEFF"/>
          </w:tcPr>
          <w:p>
            <w:pPr>
              <w:ind w:left="120"/>
              <w:spacing w:after="0" w:line="157" w:lineRule="exact"/>
              <w:rPr>
                <w:sz w:val="20"/>
                <w:szCs w:val="20"/>
                <w:color w:val="auto"/>
              </w:rPr>
            </w:pPr>
            <w:r>
              <w:rPr>
                <w:rFonts w:ascii="Arial" w:cs="Arial" w:eastAsia="Arial" w:hAnsi="Arial"/>
                <w:sz w:val="14"/>
                <w:szCs w:val="14"/>
                <w:color w:val="auto"/>
              </w:rPr>
              <w:t>Richmond, VA</w:t>
            </w:r>
          </w:p>
        </w:tc>
        <w:tc>
          <w:tcPr>
            <w:tcW w:w="4940" w:type="dxa"/>
            <w:vAlign w:val="bottom"/>
            <w:shd w:val="clear" w:color="auto" w:fill="CCEEFF"/>
          </w:tcPr>
          <w:p>
            <w:pPr>
              <w:ind w:left="160"/>
              <w:spacing w:after="0" w:line="157" w:lineRule="exact"/>
              <w:rPr>
                <w:sz w:val="20"/>
                <w:szCs w:val="20"/>
                <w:color w:val="auto"/>
              </w:rPr>
            </w:pPr>
            <w:r>
              <w:rPr>
                <w:rFonts w:ascii="Arial" w:cs="Arial" w:eastAsia="Arial" w:hAnsi="Arial"/>
                <w:sz w:val="14"/>
                <w:szCs w:val="14"/>
                <w:color w:val="auto"/>
                <w:w w:val="94"/>
              </w:rPr>
              <w:t>Demolition of small shop and mini anchor spaces to construct new 49,000 square</w:t>
            </w:r>
          </w:p>
        </w:tc>
        <w:tc>
          <w:tcPr>
            <w:tcW w:w="8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7%</w:t>
            </w:r>
          </w:p>
        </w:tc>
        <w:tc>
          <w:tcPr>
            <w:tcW w:w="84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$10</w:t>
            </w:r>
          </w:p>
        </w:tc>
        <w:tc>
          <w:tcPr>
            <w:tcW w:w="82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$4</w:t>
            </w:r>
          </w:p>
        </w:tc>
        <w:tc>
          <w:tcPr>
            <w:tcW w:w="10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6"/>
              </w:rPr>
              <w:t>2018</w:t>
            </w:r>
          </w:p>
        </w:tc>
        <w:tc>
          <w:tcPr>
            <w:tcW w:w="0" w:type="dxa"/>
            <w:vAlign w:val="bottom"/>
          </w:tcPr>
          <w:p>
            <w:pPr>
              <w:spacing w:after="0"/>
              <w:rPr>
                <w:sz w:val="1"/>
                <w:szCs w:val="1"/>
                <w:color w:val="auto"/>
              </w:rPr>
            </w:pPr>
          </w:p>
        </w:tc>
      </w:tr>
      <w:tr>
        <w:trPr>
          <w:trHeight w:val="149"/>
        </w:trPr>
        <w:tc>
          <w:tcPr>
            <w:tcW w:w="152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49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w w:val="96"/>
              </w:rPr>
              <w:t>foot anchor space to accommodate new sporting goods retailer and new 17,000</w:t>
            </w:r>
          </w:p>
        </w:tc>
        <w:tc>
          <w:tcPr>
            <w:tcW w:w="8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5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49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square foot building for relocation of existing tenant</w:t>
            </w:r>
          </w:p>
        </w:tc>
        <w:tc>
          <w:tcPr>
            <w:tcW w:w="8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520" w:type="dxa"/>
            <w:vAlign w:val="bottom"/>
          </w:tcPr>
          <w:p>
            <w:pPr>
              <w:ind w:left="40"/>
              <w:spacing w:after="0" w:line="157" w:lineRule="exact"/>
              <w:rPr>
                <w:sz w:val="20"/>
                <w:szCs w:val="20"/>
                <w:color w:val="auto"/>
              </w:rPr>
            </w:pPr>
            <w:r>
              <w:rPr>
                <w:rFonts w:ascii="Arial" w:cs="Arial" w:eastAsia="Arial" w:hAnsi="Arial"/>
                <w:sz w:val="14"/>
                <w:szCs w:val="14"/>
                <w:color w:val="auto"/>
              </w:rPr>
              <w:t>Mercer Mall</w:t>
            </w:r>
          </w:p>
        </w:tc>
        <w:tc>
          <w:tcPr>
            <w:tcW w:w="1440" w:type="dxa"/>
            <w:vAlign w:val="bottom"/>
          </w:tcPr>
          <w:p>
            <w:pPr>
              <w:ind w:left="120"/>
              <w:spacing w:after="0" w:line="157" w:lineRule="exact"/>
              <w:rPr>
                <w:sz w:val="20"/>
                <w:szCs w:val="20"/>
                <w:color w:val="auto"/>
              </w:rPr>
            </w:pPr>
            <w:r>
              <w:rPr>
                <w:rFonts w:ascii="Arial" w:cs="Arial" w:eastAsia="Arial" w:hAnsi="Arial"/>
                <w:sz w:val="14"/>
                <w:szCs w:val="14"/>
                <w:color w:val="auto"/>
              </w:rPr>
              <w:t>Lawrenceville, NJ</w:t>
            </w:r>
          </w:p>
        </w:tc>
        <w:tc>
          <w:tcPr>
            <w:tcW w:w="4940" w:type="dxa"/>
            <w:vAlign w:val="bottom"/>
          </w:tcPr>
          <w:p>
            <w:pPr>
              <w:ind w:left="160"/>
              <w:spacing w:after="0" w:line="157" w:lineRule="exact"/>
              <w:rPr>
                <w:sz w:val="20"/>
                <w:szCs w:val="20"/>
                <w:color w:val="auto"/>
              </w:rPr>
            </w:pPr>
            <w:r>
              <w:rPr>
                <w:rFonts w:ascii="Arial" w:cs="Arial" w:eastAsia="Arial" w:hAnsi="Arial"/>
                <w:sz w:val="14"/>
                <w:szCs w:val="14"/>
                <w:color w:val="auto"/>
                <w:w w:val="96"/>
              </w:rPr>
              <w:t>Redevelopment of recently acquired office building pre-leased to a single tenant</w:t>
            </w: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7%</w:t>
            </w:r>
          </w:p>
        </w:tc>
        <w:tc>
          <w:tcPr>
            <w:tcW w:w="840" w:type="dxa"/>
            <w:vAlign w:val="bottom"/>
          </w:tcPr>
          <w:p>
            <w:pPr>
              <w:jc w:val="right"/>
              <w:ind w:right="8"/>
              <w:spacing w:after="0" w:line="157" w:lineRule="exact"/>
              <w:rPr>
                <w:sz w:val="20"/>
                <w:szCs w:val="20"/>
                <w:color w:val="auto"/>
              </w:rPr>
            </w:pPr>
            <w:r>
              <w:rPr>
                <w:rFonts w:ascii="Arial" w:cs="Arial" w:eastAsia="Arial" w:hAnsi="Arial"/>
                <w:sz w:val="14"/>
                <w:szCs w:val="14"/>
                <w:color w:val="auto"/>
              </w:rPr>
              <w:t>$9</w:t>
            </w:r>
          </w:p>
        </w:tc>
        <w:tc>
          <w:tcPr>
            <w:tcW w:w="820" w:type="dxa"/>
            <w:vAlign w:val="bottom"/>
          </w:tcPr>
          <w:p>
            <w:pPr>
              <w:jc w:val="right"/>
              <w:ind w:right="48"/>
              <w:spacing w:after="0" w:line="157" w:lineRule="exact"/>
              <w:rPr>
                <w:sz w:val="20"/>
                <w:szCs w:val="20"/>
                <w:color w:val="auto"/>
              </w:rPr>
            </w:pPr>
            <w:r>
              <w:rPr>
                <w:rFonts w:ascii="Arial" w:cs="Arial" w:eastAsia="Arial" w:hAnsi="Arial"/>
                <w:sz w:val="14"/>
                <w:szCs w:val="14"/>
                <w:color w:val="auto"/>
              </w:rPr>
              <w:t>$4</w:t>
            </w: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6"/>
              </w:rPr>
              <w:t>2018</w:t>
            </w:r>
          </w:p>
        </w:tc>
        <w:tc>
          <w:tcPr>
            <w:tcW w:w="0" w:type="dxa"/>
            <w:vAlign w:val="bottom"/>
          </w:tcPr>
          <w:p>
            <w:pPr>
              <w:spacing w:after="0"/>
              <w:rPr>
                <w:sz w:val="1"/>
                <w:szCs w:val="1"/>
                <w:color w:val="auto"/>
              </w:rPr>
            </w:pPr>
          </w:p>
        </w:tc>
      </w:tr>
      <w:tr>
        <w:trPr>
          <w:trHeight w:val="188"/>
        </w:trPr>
        <w:tc>
          <w:tcPr>
            <w:tcW w:w="15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940" w:type="dxa"/>
            <w:vAlign w:val="bottom"/>
          </w:tcPr>
          <w:p>
            <w:pPr>
              <w:ind w:left="160"/>
              <w:spacing w:after="0"/>
              <w:rPr>
                <w:sz w:val="20"/>
                <w:szCs w:val="20"/>
                <w:color w:val="auto"/>
              </w:rPr>
            </w:pPr>
            <w:r>
              <w:rPr>
                <w:rFonts w:ascii="Arial" w:cs="Arial" w:eastAsia="Arial" w:hAnsi="Arial"/>
                <w:sz w:val="14"/>
                <w:szCs w:val="14"/>
                <w:color w:val="auto"/>
              </w:rPr>
              <w:t>user</w:t>
            </w: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The AVENUE at White</w:t>
            </w:r>
          </w:p>
        </w:tc>
        <w:tc>
          <w:tcPr>
            <w:tcW w:w="14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White Marsh, MD</w:t>
            </w:r>
          </w:p>
        </w:tc>
        <w:tc>
          <w:tcPr>
            <w:tcW w:w="4940" w:type="dxa"/>
            <w:vAlign w:val="bottom"/>
            <w:shd w:val="clear" w:color="auto" w:fill="CCEEFF"/>
          </w:tcPr>
          <w:p>
            <w:pPr>
              <w:ind w:left="160"/>
              <w:spacing w:after="0"/>
              <w:rPr>
                <w:sz w:val="20"/>
                <w:szCs w:val="20"/>
                <w:color w:val="auto"/>
              </w:rPr>
            </w:pPr>
            <w:r>
              <w:rPr>
                <w:rFonts w:ascii="Arial" w:cs="Arial" w:eastAsia="Arial" w:hAnsi="Arial"/>
                <w:sz w:val="14"/>
                <w:szCs w:val="14"/>
                <w:color w:val="auto"/>
                <w:w w:val="98"/>
              </w:rPr>
              <w:t>Addition of two new pad sites totaling 13,000 square feet, a new 3,600 square</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2017</w:t>
            </w:r>
          </w:p>
        </w:tc>
        <w:tc>
          <w:tcPr>
            <w:tcW w:w="0" w:type="dxa"/>
            <w:vAlign w:val="bottom"/>
          </w:tcPr>
          <w:p>
            <w:pPr>
              <w:spacing w:after="0"/>
              <w:rPr>
                <w:sz w:val="1"/>
                <w:szCs w:val="1"/>
                <w:color w:val="auto"/>
              </w:rPr>
            </w:pPr>
          </w:p>
        </w:tc>
      </w:tr>
      <w:tr>
        <w:trPr>
          <w:trHeight w:val="194"/>
        </w:trPr>
        <w:tc>
          <w:tcPr>
            <w:tcW w:w="1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Marsh</w:t>
            </w:r>
          </w:p>
        </w:tc>
        <w:tc>
          <w:tcPr>
            <w:tcW w:w="1440" w:type="dxa"/>
            <w:vAlign w:val="bottom"/>
            <w:shd w:val="clear" w:color="auto" w:fill="CCEEFF"/>
          </w:tcPr>
          <w:p>
            <w:pPr>
              <w:spacing w:after="0"/>
              <w:rPr>
                <w:sz w:val="16"/>
                <w:szCs w:val="16"/>
                <w:color w:val="auto"/>
              </w:rPr>
            </w:pPr>
          </w:p>
        </w:tc>
        <w:tc>
          <w:tcPr>
            <w:tcW w:w="49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foot restaurant building, and a drive up ATM</w:t>
            </w:r>
          </w:p>
        </w:tc>
        <w:tc>
          <w:tcPr>
            <w:tcW w:w="8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520" w:type="dxa"/>
            <w:vAlign w:val="bottom"/>
          </w:tcPr>
          <w:p>
            <w:pPr>
              <w:ind w:left="40"/>
              <w:spacing w:after="0"/>
              <w:rPr>
                <w:sz w:val="20"/>
                <w:szCs w:val="20"/>
                <w:color w:val="auto"/>
              </w:rPr>
            </w:pPr>
            <w:r>
              <w:rPr>
                <w:rFonts w:ascii="Arial" w:cs="Arial" w:eastAsia="Arial" w:hAnsi="Arial"/>
                <w:sz w:val="14"/>
                <w:szCs w:val="14"/>
                <w:color w:val="auto"/>
              </w:rPr>
              <w:t>Santana Row</w:t>
            </w:r>
          </w:p>
        </w:tc>
        <w:tc>
          <w:tcPr>
            <w:tcW w:w="1440" w:type="dxa"/>
            <w:vAlign w:val="bottom"/>
          </w:tcPr>
          <w:p>
            <w:pPr>
              <w:ind w:left="120"/>
              <w:spacing w:after="0"/>
              <w:rPr>
                <w:sz w:val="20"/>
                <w:szCs w:val="20"/>
                <w:color w:val="auto"/>
              </w:rPr>
            </w:pPr>
            <w:r>
              <w:rPr>
                <w:rFonts w:ascii="Arial" w:cs="Arial" w:eastAsia="Arial" w:hAnsi="Arial"/>
                <w:sz w:val="14"/>
                <w:szCs w:val="14"/>
                <w:color w:val="auto"/>
              </w:rPr>
              <w:t>San Jose, CA</w:t>
            </w:r>
          </w:p>
        </w:tc>
        <w:tc>
          <w:tcPr>
            <w:tcW w:w="4940" w:type="dxa"/>
            <w:vAlign w:val="bottom"/>
          </w:tcPr>
          <w:p>
            <w:pPr>
              <w:ind w:left="160"/>
              <w:spacing w:after="0"/>
              <w:rPr>
                <w:sz w:val="20"/>
                <w:szCs w:val="20"/>
                <w:color w:val="auto"/>
              </w:rPr>
            </w:pPr>
            <w:r>
              <w:rPr>
                <w:rFonts w:ascii="Arial" w:cs="Arial" w:eastAsia="Arial" w:hAnsi="Arial"/>
                <w:sz w:val="14"/>
                <w:szCs w:val="14"/>
                <w:color w:val="auto"/>
              </w:rPr>
              <w:t>Addition of two retail kiosks and open air plaza upgrades</w:t>
            </w:r>
          </w:p>
        </w:tc>
        <w:tc>
          <w:tcPr>
            <w:tcW w:w="840" w:type="dxa"/>
            <w:vAlign w:val="bottom"/>
          </w:tcPr>
          <w:p>
            <w:pPr>
              <w:jc w:val="right"/>
              <w:spacing w:after="0"/>
              <w:rPr>
                <w:sz w:val="20"/>
                <w:szCs w:val="20"/>
                <w:color w:val="auto"/>
              </w:rPr>
            </w:pPr>
            <w:r>
              <w:rPr>
                <w:rFonts w:ascii="Arial" w:cs="Arial" w:eastAsia="Arial" w:hAnsi="Arial"/>
                <w:sz w:val="14"/>
                <w:szCs w:val="14"/>
                <w:color w:val="auto"/>
              </w:rPr>
              <w:t>8%</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$5</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020" w:type="dxa"/>
            <w:vAlign w:val="bottom"/>
          </w:tcPr>
          <w:p>
            <w:pPr>
              <w:jc w:val="center"/>
              <w:spacing w:after="0"/>
              <w:rPr>
                <w:sz w:val="20"/>
                <w:szCs w:val="20"/>
                <w:color w:val="auto"/>
              </w:rPr>
            </w:pPr>
            <w:r>
              <w:rPr>
                <w:rFonts w:ascii="Arial" w:cs="Arial" w:eastAsia="Arial" w:hAnsi="Arial"/>
                <w:sz w:val="14"/>
                <w:szCs w:val="14"/>
                <w:color w:val="auto"/>
                <w:w w:val="95"/>
              </w:rPr>
              <w:t>Stabilized</w:t>
            </w:r>
          </w:p>
        </w:tc>
        <w:tc>
          <w:tcPr>
            <w:tcW w:w="0" w:type="dxa"/>
            <w:vAlign w:val="bottom"/>
          </w:tcPr>
          <w:p>
            <w:pPr>
              <w:spacing w:after="0"/>
              <w:rPr>
                <w:sz w:val="1"/>
                <w:szCs w:val="1"/>
                <w:color w:val="auto"/>
              </w:rPr>
            </w:pPr>
          </w:p>
        </w:tc>
      </w:tr>
      <w:tr>
        <w:trPr>
          <w:trHeight w:val="80"/>
        </w:trPr>
        <w:tc>
          <w:tcPr>
            <w:tcW w:w="1520" w:type="dxa"/>
            <w:vAlign w:val="bottom"/>
          </w:tcPr>
          <w:p>
            <w:pPr>
              <w:spacing w:after="0"/>
              <w:rPr>
                <w:sz w:val="6"/>
                <w:szCs w:val="6"/>
                <w:color w:val="auto"/>
              </w:rPr>
            </w:pPr>
          </w:p>
        </w:tc>
        <w:tc>
          <w:tcPr>
            <w:tcW w:w="1440" w:type="dxa"/>
            <w:vAlign w:val="bottom"/>
          </w:tcPr>
          <w:p>
            <w:pPr>
              <w:spacing w:after="0"/>
              <w:rPr>
                <w:sz w:val="6"/>
                <w:szCs w:val="6"/>
                <w:color w:val="auto"/>
              </w:rPr>
            </w:pPr>
          </w:p>
        </w:tc>
        <w:tc>
          <w:tcPr>
            <w:tcW w:w="49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52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Free State Shopping</w:t>
            </w:r>
          </w:p>
        </w:tc>
        <w:tc>
          <w:tcPr>
            <w:tcW w:w="1440" w:type="dxa"/>
            <w:vAlign w:val="bottom"/>
            <w:shd w:val="clear" w:color="auto" w:fill="CCEEFF"/>
          </w:tcPr>
          <w:p>
            <w:pPr>
              <w:ind w:left="120"/>
              <w:spacing w:after="0" w:line="157" w:lineRule="exact"/>
              <w:rPr>
                <w:sz w:val="20"/>
                <w:szCs w:val="20"/>
                <w:color w:val="auto"/>
              </w:rPr>
            </w:pPr>
            <w:r>
              <w:rPr>
                <w:rFonts w:ascii="Arial" w:cs="Arial" w:eastAsia="Arial" w:hAnsi="Arial"/>
                <w:sz w:val="14"/>
                <w:szCs w:val="14"/>
                <w:color w:val="auto"/>
              </w:rPr>
              <w:t>Bowie, MD</w:t>
            </w:r>
          </w:p>
        </w:tc>
        <w:tc>
          <w:tcPr>
            <w:tcW w:w="4940" w:type="dxa"/>
            <w:vAlign w:val="bottom"/>
            <w:shd w:val="clear" w:color="auto" w:fill="CCEEFF"/>
          </w:tcPr>
          <w:p>
            <w:pPr>
              <w:ind w:left="160"/>
              <w:spacing w:after="0" w:line="157" w:lineRule="exact"/>
              <w:rPr>
                <w:sz w:val="20"/>
                <w:szCs w:val="20"/>
                <w:color w:val="auto"/>
              </w:rPr>
            </w:pPr>
            <w:r>
              <w:rPr>
                <w:rFonts w:ascii="Arial" w:cs="Arial" w:eastAsia="Arial" w:hAnsi="Arial"/>
                <w:sz w:val="14"/>
                <w:szCs w:val="14"/>
                <w:color w:val="auto"/>
                <w:w w:val="96"/>
              </w:rPr>
              <w:t>Demolition of 26,000 square foot vacant building to allow for construction of new</w:t>
            </w:r>
          </w:p>
        </w:tc>
        <w:tc>
          <w:tcPr>
            <w:tcW w:w="8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8%</w:t>
            </w:r>
          </w:p>
        </w:tc>
        <w:tc>
          <w:tcPr>
            <w:tcW w:w="84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$4</w:t>
            </w:r>
          </w:p>
        </w:tc>
        <w:tc>
          <w:tcPr>
            <w:tcW w:w="82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$4</w:t>
            </w:r>
          </w:p>
        </w:tc>
        <w:tc>
          <w:tcPr>
            <w:tcW w:w="10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5"/>
              </w:rPr>
              <w:t>Stabilized</w:t>
            </w:r>
          </w:p>
        </w:tc>
        <w:tc>
          <w:tcPr>
            <w:tcW w:w="0" w:type="dxa"/>
            <w:vAlign w:val="bottom"/>
          </w:tcPr>
          <w:p>
            <w:pPr>
              <w:spacing w:after="0"/>
              <w:rPr>
                <w:sz w:val="1"/>
                <w:szCs w:val="1"/>
                <w:color w:val="auto"/>
              </w:rPr>
            </w:pPr>
          </w:p>
        </w:tc>
      </w:tr>
      <w:tr>
        <w:trPr>
          <w:trHeight w:val="194"/>
        </w:trPr>
        <w:tc>
          <w:tcPr>
            <w:tcW w:w="1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Center</w:t>
            </w:r>
          </w:p>
        </w:tc>
        <w:tc>
          <w:tcPr>
            <w:tcW w:w="1440" w:type="dxa"/>
            <w:vAlign w:val="bottom"/>
            <w:shd w:val="clear" w:color="auto" w:fill="CCEEFF"/>
          </w:tcPr>
          <w:p>
            <w:pPr>
              <w:spacing w:after="0"/>
              <w:rPr>
                <w:sz w:val="16"/>
                <w:szCs w:val="16"/>
                <w:color w:val="auto"/>
              </w:rPr>
            </w:pPr>
          </w:p>
        </w:tc>
        <w:tc>
          <w:tcPr>
            <w:tcW w:w="49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12,500 square foot pad building for new daycare tenant</w:t>
            </w:r>
          </w:p>
        </w:tc>
        <w:tc>
          <w:tcPr>
            <w:tcW w:w="8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520" w:type="dxa"/>
            <w:vAlign w:val="bottom"/>
          </w:tcPr>
          <w:p>
            <w:pPr>
              <w:ind w:left="40"/>
              <w:spacing w:after="0"/>
              <w:rPr>
                <w:sz w:val="20"/>
                <w:szCs w:val="20"/>
                <w:color w:val="auto"/>
              </w:rPr>
            </w:pPr>
            <w:r>
              <w:rPr>
                <w:rFonts w:ascii="Arial" w:cs="Arial" w:eastAsia="Arial" w:hAnsi="Arial"/>
                <w:sz w:val="14"/>
                <w:szCs w:val="14"/>
                <w:color w:val="auto"/>
              </w:rPr>
              <w:t>Eastgate Crossing</w:t>
            </w:r>
          </w:p>
        </w:tc>
        <w:tc>
          <w:tcPr>
            <w:tcW w:w="1440" w:type="dxa"/>
            <w:vAlign w:val="bottom"/>
          </w:tcPr>
          <w:p>
            <w:pPr>
              <w:ind w:left="120"/>
              <w:spacing w:after="0"/>
              <w:rPr>
                <w:sz w:val="20"/>
                <w:szCs w:val="20"/>
                <w:color w:val="auto"/>
              </w:rPr>
            </w:pPr>
            <w:r>
              <w:rPr>
                <w:rFonts w:ascii="Arial" w:cs="Arial" w:eastAsia="Arial" w:hAnsi="Arial"/>
                <w:sz w:val="14"/>
                <w:szCs w:val="14"/>
                <w:color w:val="auto"/>
              </w:rPr>
              <w:t>Chapel Hill, NC</w:t>
            </w:r>
          </w:p>
        </w:tc>
        <w:tc>
          <w:tcPr>
            <w:tcW w:w="4940" w:type="dxa"/>
            <w:vAlign w:val="bottom"/>
          </w:tcPr>
          <w:p>
            <w:pPr>
              <w:ind w:left="160"/>
              <w:spacing w:after="0"/>
              <w:rPr>
                <w:sz w:val="20"/>
                <w:szCs w:val="20"/>
                <w:color w:val="auto"/>
              </w:rPr>
            </w:pPr>
            <w:r>
              <w:rPr>
                <w:rFonts w:ascii="Arial" w:cs="Arial" w:eastAsia="Arial" w:hAnsi="Arial"/>
                <w:sz w:val="14"/>
                <w:szCs w:val="14"/>
                <w:color w:val="auto"/>
                <w:w w:val="98"/>
              </w:rPr>
              <w:t>New 7,400 square foot multi-tenant pad building on site of existing gas station</w:t>
            </w:r>
          </w:p>
        </w:tc>
        <w:tc>
          <w:tcPr>
            <w:tcW w:w="840" w:type="dxa"/>
            <w:vAlign w:val="bottom"/>
          </w:tcPr>
          <w:p>
            <w:pPr>
              <w:jc w:val="right"/>
              <w:spacing w:after="0"/>
              <w:rPr>
                <w:sz w:val="20"/>
                <w:szCs w:val="20"/>
                <w:color w:val="auto"/>
              </w:rPr>
            </w:pPr>
            <w:r>
              <w:rPr>
                <w:rFonts w:ascii="Arial" w:cs="Arial" w:eastAsia="Arial" w:hAnsi="Arial"/>
                <w:sz w:val="14"/>
                <w:szCs w:val="14"/>
                <w:color w:val="auto"/>
              </w:rPr>
              <w:t>9%</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020" w:type="dxa"/>
            <w:vAlign w:val="bottom"/>
          </w:tcPr>
          <w:p>
            <w:pPr>
              <w:jc w:val="center"/>
              <w:spacing w:after="0"/>
              <w:rPr>
                <w:sz w:val="20"/>
                <w:szCs w:val="20"/>
                <w:color w:val="auto"/>
              </w:rPr>
            </w:pPr>
            <w:r>
              <w:rPr>
                <w:rFonts w:ascii="Arial" w:cs="Arial" w:eastAsia="Arial" w:hAnsi="Arial"/>
                <w:sz w:val="14"/>
                <w:szCs w:val="14"/>
                <w:color w:val="auto"/>
                <w:w w:val="95"/>
              </w:rPr>
              <w:t>Stabilized</w:t>
            </w:r>
          </w:p>
        </w:tc>
        <w:tc>
          <w:tcPr>
            <w:tcW w:w="0" w:type="dxa"/>
            <w:vAlign w:val="bottom"/>
          </w:tcPr>
          <w:p>
            <w:pPr>
              <w:spacing w:after="0"/>
              <w:rPr>
                <w:sz w:val="1"/>
                <w:szCs w:val="1"/>
                <w:color w:val="auto"/>
              </w:rPr>
            </w:pPr>
          </w:p>
        </w:tc>
      </w:tr>
      <w:tr>
        <w:trPr>
          <w:trHeight w:val="80"/>
        </w:trPr>
        <w:tc>
          <w:tcPr>
            <w:tcW w:w="1520" w:type="dxa"/>
            <w:vAlign w:val="bottom"/>
          </w:tcPr>
          <w:p>
            <w:pPr>
              <w:spacing w:after="0"/>
              <w:rPr>
                <w:sz w:val="6"/>
                <w:szCs w:val="6"/>
                <w:color w:val="auto"/>
              </w:rPr>
            </w:pPr>
          </w:p>
        </w:tc>
        <w:tc>
          <w:tcPr>
            <w:tcW w:w="1440" w:type="dxa"/>
            <w:vAlign w:val="bottom"/>
          </w:tcPr>
          <w:p>
            <w:pPr>
              <w:spacing w:after="0"/>
              <w:rPr>
                <w:sz w:val="6"/>
                <w:szCs w:val="6"/>
                <w:color w:val="auto"/>
              </w:rPr>
            </w:pPr>
          </w:p>
        </w:tc>
        <w:tc>
          <w:tcPr>
            <w:tcW w:w="49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Dedham Plaza</w:t>
            </w:r>
          </w:p>
        </w:tc>
        <w:tc>
          <w:tcPr>
            <w:tcW w:w="14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Dedham, MA</w:t>
            </w:r>
          </w:p>
        </w:tc>
        <w:tc>
          <w:tcPr>
            <w:tcW w:w="49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New 4,000 square foot pad site for restaurant tenant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2018</w:t>
            </w:r>
          </w:p>
        </w:tc>
        <w:tc>
          <w:tcPr>
            <w:tcW w:w="0" w:type="dxa"/>
            <w:vAlign w:val="bottom"/>
          </w:tcPr>
          <w:p>
            <w:pPr>
              <w:spacing w:after="0"/>
              <w:rPr>
                <w:sz w:val="1"/>
                <w:szCs w:val="1"/>
                <w:color w:val="auto"/>
              </w:rPr>
            </w:pPr>
          </w:p>
        </w:tc>
      </w:tr>
      <w:tr>
        <w:trPr>
          <w:trHeight w:val="80"/>
        </w:trPr>
        <w:tc>
          <w:tcPr>
            <w:tcW w:w="1520" w:type="dxa"/>
            <w:vAlign w:val="bottom"/>
            <w:shd w:val="clear" w:color="auto" w:fill="CCEEFF"/>
          </w:tcPr>
          <w:p>
            <w:pPr>
              <w:spacing w:after="0"/>
              <w:rPr>
                <w:sz w:val="6"/>
                <w:szCs w:val="6"/>
                <w:color w:val="auto"/>
              </w:rPr>
            </w:pPr>
          </w:p>
        </w:tc>
        <w:tc>
          <w:tcPr>
            <w:tcW w:w="1440" w:type="dxa"/>
            <w:vAlign w:val="bottom"/>
            <w:shd w:val="clear" w:color="auto" w:fill="CCEEFF"/>
          </w:tcPr>
          <w:p>
            <w:pPr>
              <w:spacing w:after="0"/>
              <w:rPr>
                <w:sz w:val="6"/>
                <w:szCs w:val="6"/>
                <w:color w:val="auto"/>
              </w:rPr>
            </w:pPr>
          </w:p>
        </w:tc>
        <w:tc>
          <w:tcPr>
            <w:tcW w:w="494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520" w:type="dxa"/>
            <w:vAlign w:val="bottom"/>
          </w:tcPr>
          <w:p>
            <w:pPr>
              <w:ind w:left="40"/>
              <w:spacing w:after="0" w:line="157" w:lineRule="exact"/>
              <w:rPr>
                <w:sz w:val="20"/>
                <w:szCs w:val="20"/>
                <w:color w:val="auto"/>
              </w:rPr>
            </w:pPr>
            <w:r>
              <w:rPr>
                <w:rFonts w:ascii="Arial" w:cs="Arial" w:eastAsia="Arial" w:hAnsi="Arial"/>
                <w:sz w:val="14"/>
                <w:szCs w:val="14"/>
                <w:color w:val="auto"/>
              </w:rPr>
              <w:t>Willow Lawn</w:t>
            </w:r>
          </w:p>
        </w:tc>
        <w:tc>
          <w:tcPr>
            <w:tcW w:w="1440" w:type="dxa"/>
            <w:vAlign w:val="bottom"/>
          </w:tcPr>
          <w:p>
            <w:pPr>
              <w:ind w:left="120"/>
              <w:spacing w:after="0" w:line="157" w:lineRule="exact"/>
              <w:rPr>
                <w:sz w:val="20"/>
                <w:szCs w:val="20"/>
                <w:color w:val="auto"/>
              </w:rPr>
            </w:pPr>
            <w:r>
              <w:rPr>
                <w:rFonts w:ascii="Arial" w:cs="Arial" w:eastAsia="Arial" w:hAnsi="Arial"/>
                <w:sz w:val="14"/>
                <w:szCs w:val="14"/>
                <w:color w:val="auto"/>
              </w:rPr>
              <w:t>Richmond, VA</w:t>
            </w:r>
          </w:p>
        </w:tc>
        <w:tc>
          <w:tcPr>
            <w:tcW w:w="4940" w:type="dxa"/>
            <w:vAlign w:val="bottom"/>
          </w:tcPr>
          <w:p>
            <w:pPr>
              <w:ind w:left="160"/>
              <w:spacing w:after="0" w:line="157" w:lineRule="exact"/>
              <w:rPr>
                <w:sz w:val="20"/>
                <w:szCs w:val="20"/>
                <w:color w:val="auto"/>
              </w:rPr>
            </w:pPr>
            <w:r>
              <w:rPr>
                <w:rFonts w:ascii="Arial" w:cs="Arial" w:eastAsia="Arial" w:hAnsi="Arial"/>
                <w:sz w:val="14"/>
                <w:szCs w:val="14"/>
                <w:color w:val="auto"/>
                <w:w w:val="93"/>
              </w:rPr>
              <w:t>Conversion of vacant 5,000 square foot pad building to retail use to accommodate</w:t>
            </w: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8%</w:t>
            </w:r>
          </w:p>
        </w:tc>
        <w:tc>
          <w:tcPr>
            <w:tcW w:w="840" w:type="dxa"/>
            <w:vAlign w:val="bottom"/>
          </w:tcPr>
          <w:p>
            <w:pPr>
              <w:jc w:val="right"/>
              <w:ind w:right="8"/>
              <w:spacing w:after="0" w:line="157" w:lineRule="exact"/>
              <w:rPr>
                <w:sz w:val="20"/>
                <w:szCs w:val="20"/>
                <w:color w:val="auto"/>
              </w:rPr>
            </w:pPr>
            <w:r>
              <w:rPr>
                <w:rFonts w:ascii="Arial" w:cs="Arial" w:eastAsia="Arial" w:hAnsi="Arial"/>
                <w:sz w:val="14"/>
                <w:szCs w:val="14"/>
                <w:color w:val="auto"/>
              </w:rPr>
              <w:t>$2</w:t>
            </w:r>
          </w:p>
        </w:tc>
        <w:tc>
          <w:tcPr>
            <w:tcW w:w="820" w:type="dxa"/>
            <w:vAlign w:val="bottom"/>
          </w:tcPr>
          <w:p>
            <w:pPr>
              <w:jc w:val="right"/>
              <w:ind w:right="48"/>
              <w:spacing w:after="0" w:line="157" w:lineRule="exact"/>
              <w:rPr>
                <w:sz w:val="20"/>
                <w:szCs w:val="20"/>
                <w:color w:val="auto"/>
              </w:rPr>
            </w:pPr>
            <w:r>
              <w:rPr>
                <w:rFonts w:ascii="Arial" w:cs="Arial" w:eastAsia="Arial" w:hAnsi="Arial"/>
                <w:sz w:val="14"/>
                <w:szCs w:val="14"/>
                <w:color w:val="auto"/>
              </w:rPr>
              <w:t>$0</w:t>
            </w: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6"/>
              </w:rPr>
              <w:t>2019</w:t>
            </w: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940" w:type="dxa"/>
            <w:vAlign w:val="bottom"/>
          </w:tcPr>
          <w:p>
            <w:pPr>
              <w:ind w:left="160"/>
              <w:spacing w:after="0" w:line="149" w:lineRule="exact"/>
              <w:rPr>
                <w:sz w:val="20"/>
                <w:szCs w:val="20"/>
                <w:color w:val="auto"/>
              </w:rPr>
            </w:pPr>
            <w:r>
              <w:rPr>
                <w:rFonts w:ascii="Arial" w:cs="Arial" w:eastAsia="Arial" w:hAnsi="Arial"/>
                <w:sz w:val="14"/>
                <w:szCs w:val="14"/>
                <w:color w:val="auto"/>
                <w:w w:val="94"/>
              </w:rPr>
              <w:t>new 3,500 square foot fast casual restaurant tenant. Remainder of pad building to</w:t>
            </w: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520" w:type="dxa"/>
            <w:vAlign w:val="bottom"/>
            <w:tcBorders>
              <w:bottom w:val="single" w:sz="8" w:color="CCEEFF"/>
            </w:tcBorders>
          </w:tcPr>
          <w:p>
            <w:pPr>
              <w:spacing w:after="0"/>
              <w:rPr>
                <w:sz w:val="16"/>
                <w:szCs w:val="16"/>
                <w:color w:val="auto"/>
              </w:rPr>
            </w:pPr>
          </w:p>
        </w:tc>
        <w:tc>
          <w:tcPr>
            <w:tcW w:w="1440" w:type="dxa"/>
            <w:vAlign w:val="bottom"/>
            <w:tcBorders>
              <w:bottom w:val="single" w:sz="8" w:color="CCEEFF"/>
            </w:tcBorders>
          </w:tcPr>
          <w:p>
            <w:pPr>
              <w:spacing w:after="0"/>
              <w:rPr>
                <w:sz w:val="16"/>
                <w:szCs w:val="16"/>
                <w:color w:val="auto"/>
              </w:rPr>
            </w:pPr>
          </w:p>
        </w:tc>
        <w:tc>
          <w:tcPr>
            <w:tcW w:w="494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be demolished to construct new 2,200 square foot Starbucks pad site.</w:t>
            </w:r>
          </w:p>
        </w:tc>
        <w:tc>
          <w:tcPr>
            <w:tcW w:w="8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96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w w:val="95"/>
              </w:rPr>
              <w:t>Total Active Redevelopment projects (4)</w:t>
            </w:r>
          </w:p>
        </w:tc>
        <w:tc>
          <w:tcPr>
            <w:tcW w:w="49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$282-$286</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$182</w:t>
            </w: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1520" w:type="dxa"/>
            <w:vAlign w:val="bottom"/>
            <w:tcBorders>
              <w:bottom w:val="single" w:sz="8" w:color="CCEEFF"/>
            </w:tcBorders>
            <w:shd w:val="clear" w:color="auto" w:fill="CCEEFF"/>
          </w:tcPr>
          <w:p>
            <w:pPr>
              <w:spacing w:after="0"/>
              <w:rPr>
                <w:sz w:val="5"/>
                <w:szCs w:val="5"/>
                <w:color w:val="auto"/>
              </w:rPr>
            </w:pPr>
          </w:p>
        </w:tc>
        <w:tc>
          <w:tcPr>
            <w:tcW w:w="1440" w:type="dxa"/>
            <w:vAlign w:val="bottom"/>
            <w:tcBorders>
              <w:bottom w:val="single" w:sz="8" w:color="CCEEFF"/>
            </w:tcBorders>
            <w:shd w:val="clear" w:color="auto" w:fill="CCEEFF"/>
          </w:tcPr>
          <w:p>
            <w:pPr>
              <w:spacing w:after="0"/>
              <w:rPr>
                <w:sz w:val="5"/>
                <w:szCs w:val="5"/>
                <w:color w:val="auto"/>
              </w:rPr>
            </w:pPr>
          </w:p>
        </w:tc>
        <w:tc>
          <w:tcPr>
            <w:tcW w:w="4940" w:type="dxa"/>
            <w:vAlign w:val="bottom"/>
            <w:tcBorders>
              <w:bottom w:val="single" w:sz="8" w:color="CCEEFF"/>
            </w:tcBorders>
            <w:shd w:val="clear" w:color="auto" w:fill="CCEEFF"/>
          </w:tcPr>
          <w:p>
            <w:pPr>
              <w:spacing w:after="0"/>
              <w:rPr>
                <w:sz w:val="5"/>
                <w:szCs w:val="5"/>
                <w:color w:val="auto"/>
              </w:rPr>
            </w:pPr>
          </w:p>
        </w:tc>
        <w:tc>
          <w:tcPr>
            <w:tcW w:w="840" w:type="dxa"/>
            <w:vAlign w:val="bottom"/>
            <w:tcBorders>
              <w:bottom w:val="single" w:sz="8" w:color="auto"/>
            </w:tcBorders>
            <w:shd w:val="clear" w:color="auto" w:fill="CCEEFF"/>
          </w:tcPr>
          <w:p>
            <w:pPr>
              <w:spacing w:after="0"/>
              <w:rPr>
                <w:sz w:val="5"/>
                <w:szCs w:val="5"/>
                <w:color w:val="auto"/>
              </w:rPr>
            </w:pPr>
          </w:p>
        </w:tc>
        <w:tc>
          <w:tcPr>
            <w:tcW w:w="840" w:type="dxa"/>
            <w:vAlign w:val="bottom"/>
            <w:tcBorders>
              <w:bottom w:val="single" w:sz="8" w:color="auto"/>
            </w:tcBorders>
            <w:shd w:val="clear" w:color="auto" w:fill="CCEEFF"/>
          </w:tcPr>
          <w:p>
            <w:pPr>
              <w:spacing w:after="0"/>
              <w:rPr>
                <w:sz w:val="5"/>
                <w:szCs w:val="5"/>
                <w:color w:val="auto"/>
              </w:rPr>
            </w:pPr>
          </w:p>
        </w:tc>
        <w:tc>
          <w:tcPr>
            <w:tcW w:w="820" w:type="dxa"/>
            <w:vAlign w:val="bottom"/>
            <w:tcBorders>
              <w:bottom w:val="single" w:sz="8" w:color="auto"/>
            </w:tcBorders>
            <w:shd w:val="clear" w:color="auto" w:fill="CCEEFF"/>
          </w:tcPr>
          <w:p>
            <w:pPr>
              <w:spacing w:after="0"/>
              <w:rPr>
                <w:sz w:val="5"/>
                <w:szCs w:val="5"/>
                <w:color w:val="auto"/>
              </w:rPr>
            </w:pPr>
          </w:p>
        </w:tc>
        <w:tc>
          <w:tcPr>
            <w:tcW w:w="102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-98425</wp:posOffset>
            </wp:positionV>
            <wp:extent cx="15862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ind w:left="660" w:hanging="652"/>
        <w:spacing w:after="0" w:line="260" w:lineRule="auto"/>
        <w:tabs>
          <w:tab w:leader="none" w:pos="66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There is no guarantee that the Trust will ultimately complete any or all of these opportunities, that the Projected Return on Investment (ROI) or Projected Costs will be the amounts shown or that stabilization will occur as anticipated. The projected ROI and Projected Cost are management's best estimate based on current information and may change over time.</w:t>
      </w:r>
    </w:p>
    <w:p>
      <w:pPr>
        <w:ind w:left="660" w:right="40" w:hanging="652"/>
        <w:spacing w:after="0" w:line="260" w:lineRule="auto"/>
        <w:tabs>
          <w:tab w:leader="none" w:pos="660" w:val="left"/>
        </w:tabs>
        <w:numPr>
          <w:ilvl w:val="0"/>
          <w:numId w:val="14"/>
        </w:numPr>
        <w:rPr>
          <w:rFonts w:ascii="Arial" w:cs="Arial" w:eastAsia="Arial" w:hAnsi="Arial"/>
          <w:sz w:val="13"/>
          <w:szCs w:val="13"/>
          <w:color w:val="auto"/>
        </w:rPr>
      </w:pPr>
      <w:r>
        <w:rPr>
          <w:rFonts w:ascii="Arial" w:cs="Arial" w:eastAsia="Arial" w:hAnsi="Arial"/>
          <w:sz w:val="13"/>
          <w:szCs w:val="13"/>
          <w:color w:val="auto"/>
        </w:rPr>
        <w:t>Projected ROI for redevelopment projects generally reflects only the deal specific cash, unleveraged incremental Property Operating Income (POI) generated by the redevelopment and is calculated as Incremental POI divided by incremental cost. Incremental POI is the POI generated by the redevelopment after deducting rent being paid or management's estimate of rent to be paid for the redevelopment space and any other space taken out of service to accommodate the redevelopment. Projected ROI for redevelopment projects does NOT include peripheral impacts, such as the impact on future lease rollovers at the property or the impact on the long-term value of the property.</w:t>
      </w:r>
    </w:p>
    <w:p>
      <w:pPr>
        <w:ind w:left="660" w:hanging="652"/>
        <w:spacing w:after="0"/>
        <w:tabs>
          <w:tab w:leader="none" w:pos="6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Stabilization is generally the year in which 95% physical occupancy of the redeveloped space is achieved. Economic stabilization may occur at a later point in time.</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All subtotals and totals reflect cost weighted-average ROIs.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760" w:right="239" w:bottom="1440" w:gutter="0" w:footer="0" w:header="0"/>
        </w:sectPr>
      </w:pPr>
    </w:p>
    <w:bookmarkStart w:id="21" w:name="page22"/>
    <w:bookmarkEnd w:id="21"/>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Assembly Row, Pike &amp; Rose, and Santana Row</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September 30, 2017</w:t>
      </w:r>
    </w:p>
    <w:p>
      <w:pPr>
        <w:spacing w:after="0" w:line="344" w:lineRule="exact"/>
        <w:rPr>
          <w:sz w:val="20"/>
          <w:szCs w:val="20"/>
          <w:color w:val="auto"/>
        </w:rPr>
      </w:pPr>
    </w:p>
    <w:p>
      <w:pPr>
        <w:jc w:val="center"/>
        <w:ind w:left="3820"/>
        <w:spacing w:after="0"/>
        <w:rPr>
          <w:sz w:val="20"/>
          <w:szCs w:val="20"/>
          <w:color w:val="auto"/>
        </w:rPr>
      </w:pPr>
      <w:r>
        <w:rPr>
          <w:rFonts w:ascii="Arial" w:cs="Arial" w:eastAsia="Arial" w:hAnsi="Arial"/>
          <w:sz w:val="14"/>
          <w:szCs w:val="14"/>
          <w:b w:val="1"/>
          <w:bCs w:val="1"/>
          <w:color w:val="auto"/>
        </w:rPr>
        <w:t>Projected POI Delivered (as a % of</w:t>
      </w:r>
    </w:p>
    <w:p>
      <w:pPr>
        <w:spacing w:after="0" w:line="1" w:lineRule="exact"/>
        <w:rPr>
          <w:sz w:val="20"/>
          <w:szCs w:val="20"/>
          <w:color w:val="auto"/>
        </w:rPr>
      </w:pPr>
    </w:p>
    <w:p>
      <w:pPr>
        <w:jc w:val="center"/>
        <w:ind w:left="3820"/>
        <w:spacing w:after="0"/>
        <w:rPr>
          <w:sz w:val="20"/>
          <w:szCs w:val="20"/>
          <w:color w:val="auto"/>
        </w:rPr>
      </w:pPr>
      <w:r>
        <w:rPr>
          <w:rFonts w:ascii="Arial" w:cs="Arial" w:eastAsia="Arial" w:hAnsi="Arial"/>
          <w:sz w:val="14"/>
          <w:szCs w:val="14"/>
          <w:b w:val="1"/>
          <w:bCs w:val="1"/>
          <w:color w:val="auto"/>
        </w:rPr>
        <w:t>Total)</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Projected</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3"/>
              </w:rPr>
              <w:t>Total</w:t>
            </w:r>
          </w:p>
        </w:tc>
        <w:tc>
          <w:tcPr>
            <w:tcW w:w="8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2"/>
              </w:rPr>
              <w:t>Costs to</w:t>
            </w:r>
          </w:p>
        </w:tc>
        <w:tc>
          <w:tcPr>
            <w:tcW w:w="2500" w:type="dxa"/>
            <w:vAlign w:val="bottom"/>
            <w:gridSpan w:val="4"/>
          </w:tcPr>
          <w:p>
            <w:pPr>
              <w:ind w:left="240"/>
              <w:spacing w:after="0"/>
              <w:rPr>
                <w:sz w:val="20"/>
                <w:szCs w:val="20"/>
                <w:color w:val="auto"/>
              </w:rPr>
            </w:pPr>
            <w:r>
              <w:rPr>
                <w:rFonts w:ascii="Arial" w:cs="Arial" w:eastAsia="Arial" w:hAnsi="Arial"/>
                <w:sz w:val="14"/>
                <w:szCs w:val="14"/>
                <w:b w:val="1"/>
                <w:bCs w:val="1"/>
                <w:color w:val="auto"/>
              </w:rPr>
              <w:t>For Year Ended December 31, (2)</w:t>
            </w:r>
          </w:p>
        </w:tc>
        <w:tc>
          <w:tcPr>
            <w:tcW w:w="2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84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21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Property (1)   Location</w:t>
            </w:r>
          </w:p>
        </w:tc>
        <w:tc>
          <w:tcPr>
            <w:tcW w:w="18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Opportunity</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ROI (3)</w:t>
            </w:r>
          </w:p>
        </w:tc>
        <w:tc>
          <w:tcPr>
            <w:tcW w:w="2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Cost (4)</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00" w:type="dxa"/>
            <w:vAlign w:val="bottom"/>
          </w:tcPr>
          <w:p>
            <w:pPr>
              <w:spacing w:after="0"/>
              <w:rPr>
                <w:sz w:val="21"/>
                <w:szCs w:val="21"/>
                <w:color w:val="auto"/>
              </w:rPr>
            </w:pPr>
          </w:p>
        </w:tc>
        <w:tc>
          <w:tcPr>
            <w:tcW w:w="8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2017</w:t>
            </w:r>
          </w:p>
        </w:tc>
        <w:tc>
          <w:tcPr>
            <w:tcW w:w="8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2018</w:t>
            </w:r>
          </w:p>
        </w:tc>
        <w:tc>
          <w:tcPr>
            <w:tcW w:w="8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1"/>
                <w:szCs w:val="21"/>
                <w:color w:val="auto"/>
              </w:rPr>
            </w:pPr>
          </w:p>
        </w:tc>
        <w:tc>
          <w:tcPr>
            <w:tcW w:w="2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Expected Opening Timeframe</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4"/>
                <w:szCs w:val="14"/>
                <w:color w:val="auto"/>
              </w:rPr>
              <w:t>(in</w:t>
            </w:r>
          </w:p>
        </w:tc>
        <w:tc>
          <w:tcPr>
            <w:tcW w:w="820" w:type="dxa"/>
            <w:vAlign w:val="bottom"/>
            <w:gridSpan w:val="2"/>
          </w:tcPr>
          <w:p>
            <w:pPr>
              <w:ind w:left="60"/>
              <w:spacing w:after="0"/>
              <w:rPr>
                <w:sz w:val="20"/>
                <w:szCs w:val="20"/>
                <w:color w:val="auto"/>
              </w:rPr>
            </w:pPr>
            <w:r>
              <w:rPr>
                <w:rFonts w:ascii="Arial" w:cs="Arial" w:eastAsia="Arial" w:hAnsi="Arial"/>
                <w:sz w:val="14"/>
                <w:szCs w:val="14"/>
                <w:color w:val="auto"/>
              </w:rPr>
              <w:t>(in</w:t>
            </w: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4"/>
                <w:szCs w:val="14"/>
                <w:color w:val="auto"/>
              </w:rPr>
              <w:t>millions)</w:t>
            </w:r>
          </w:p>
        </w:tc>
        <w:tc>
          <w:tcPr>
            <w:tcW w:w="820" w:type="dxa"/>
            <w:vAlign w:val="bottom"/>
            <w:gridSpan w:val="2"/>
          </w:tcPr>
          <w:p>
            <w:pPr>
              <w:ind w:left="60"/>
              <w:spacing w:after="0"/>
              <w:rPr>
                <w:sz w:val="20"/>
                <w:szCs w:val="20"/>
                <w:color w:val="auto"/>
              </w:rPr>
            </w:pPr>
            <w:r>
              <w:rPr>
                <w:rFonts w:ascii="Arial" w:cs="Arial" w:eastAsia="Arial" w:hAnsi="Arial"/>
                <w:sz w:val="14"/>
                <w:szCs w:val="14"/>
                <w:color w:val="auto"/>
              </w:rPr>
              <w:t>millions)</w:t>
            </w: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7"/>
        </w:trPr>
        <w:tc>
          <w:tcPr>
            <w:tcW w:w="2160" w:type="dxa"/>
            <w:vAlign w:val="bottom"/>
            <w:gridSpan w:val="3"/>
          </w:tcPr>
          <w:p>
            <w:pPr>
              <w:ind w:left="40"/>
              <w:spacing w:after="0"/>
              <w:rPr>
                <w:sz w:val="20"/>
                <w:szCs w:val="20"/>
                <w:color w:val="auto"/>
              </w:rPr>
            </w:pPr>
            <w:r>
              <w:rPr>
                <w:rFonts w:ascii="Arial" w:cs="Arial" w:eastAsia="Arial" w:hAnsi="Arial"/>
                <w:sz w:val="14"/>
                <w:szCs w:val="14"/>
                <w:b w:val="1"/>
                <w:bCs w:val="1"/>
                <w:color w:val="auto"/>
              </w:rPr>
              <w:t>Assembly Row Somerville, MA</w:t>
            </w:r>
          </w:p>
        </w:tc>
        <w:tc>
          <w:tcPr>
            <w:tcW w:w="1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4"/>
                <w:szCs w:val="14"/>
                <w:color w:val="auto"/>
                <w:shd w:val="clear" w:color="auto" w:fill="CCEEFF"/>
              </w:rPr>
              <w:t>Phase II</w:t>
            </w:r>
          </w:p>
        </w:tc>
        <w:tc>
          <w:tcPr>
            <w:tcW w:w="1280" w:type="dxa"/>
            <w:vAlign w:val="bottom"/>
            <w:shd w:val="clear" w:color="auto" w:fill="CCEEFF"/>
          </w:tcPr>
          <w:p>
            <w:pPr>
              <w:spacing w:after="0"/>
              <w:rPr>
                <w:sz w:val="15"/>
                <w:szCs w:val="15"/>
                <w:color w:val="auto"/>
              </w:rPr>
            </w:pPr>
          </w:p>
        </w:tc>
        <w:tc>
          <w:tcPr>
            <w:tcW w:w="1840" w:type="dxa"/>
            <w:vAlign w:val="bottom"/>
            <w:shd w:val="clear" w:color="auto" w:fill="CCEEFF"/>
          </w:tcPr>
          <w:p>
            <w:pPr>
              <w:ind w:left="60"/>
              <w:spacing w:after="0"/>
              <w:rPr>
                <w:sz w:val="20"/>
                <w:szCs w:val="20"/>
                <w:color w:val="auto"/>
              </w:rPr>
            </w:pPr>
            <w:r>
              <w:rPr>
                <w:rFonts w:ascii="Arial" w:cs="Arial" w:eastAsia="Arial" w:hAnsi="Arial"/>
                <w:sz w:val="14"/>
                <w:szCs w:val="14"/>
                <w:color w:val="auto"/>
              </w:rPr>
              <w:t>- 161,000 SF of retail</w:t>
            </w:r>
          </w:p>
        </w:tc>
        <w:tc>
          <w:tcPr>
            <w:tcW w:w="740" w:type="dxa"/>
            <w:vAlign w:val="bottom"/>
            <w:shd w:val="clear" w:color="auto" w:fill="CCEEFF"/>
          </w:tcPr>
          <w:p>
            <w:pPr>
              <w:jc w:val="right"/>
              <w:ind w:right="172"/>
              <w:spacing w:after="0"/>
              <w:rPr>
                <w:sz w:val="20"/>
                <w:szCs w:val="20"/>
                <w:color w:val="auto"/>
              </w:rPr>
            </w:pPr>
            <w:r>
              <w:rPr>
                <w:rFonts w:ascii="Arial" w:cs="Arial" w:eastAsia="Arial" w:hAnsi="Arial"/>
                <w:sz w:val="14"/>
                <w:szCs w:val="14"/>
                <w:color w:val="auto"/>
              </w:rPr>
              <w:t>7%</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(5)</w:t>
            </w:r>
          </w:p>
        </w:tc>
        <w:tc>
          <w:tcPr>
            <w:tcW w:w="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6"/>
                <w:shd w:val="clear" w:color="auto" w:fill="CCEEFF"/>
              </w:rPr>
              <w:t>$280 - 295</w:t>
            </w:r>
          </w:p>
        </w:tc>
        <w:tc>
          <w:tcPr>
            <w:tcW w:w="720" w:type="dxa"/>
            <w:vAlign w:val="bottom"/>
            <w:shd w:val="clear" w:color="auto" w:fill="CCEEFF"/>
          </w:tcPr>
          <w:p>
            <w:pPr>
              <w:jc w:val="right"/>
              <w:ind w:right="132"/>
              <w:spacing w:after="0"/>
              <w:rPr>
                <w:sz w:val="20"/>
                <w:szCs w:val="20"/>
                <w:color w:val="auto"/>
              </w:rPr>
            </w:pPr>
            <w:r>
              <w:rPr>
                <w:rFonts w:ascii="Arial" w:cs="Arial" w:eastAsia="Arial" w:hAnsi="Arial"/>
                <w:sz w:val="14"/>
                <w:szCs w:val="14"/>
                <w:color w:val="auto"/>
              </w:rPr>
              <w:t>$246</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w:t>
            </w:r>
          </w:p>
        </w:tc>
        <w:tc>
          <w:tcPr>
            <w:tcW w:w="800" w:type="dxa"/>
            <w:vAlign w:val="bottom"/>
            <w:shd w:val="clear" w:color="auto" w:fill="CCEEFF"/>
          </w:tcPr>
          <w:p>
            <w:pPr>
              <w:jc w:val="right"/>
              <w:ind w:right="212"/>
              <w:spacing w:after="0"/>
              <w:rPr>
                <w:sz w:val="20"/>
                <w:szCs w:val="20"/>
                <w:color w:val="auto"/>
              </w:rPr>
            </w:pPr>
            <w:r>
              <w:rPr>
                <w:rFonts w:ascii="Arial" w:cs="Arial" w:eastAsia="Arial" w:hAnsi="Arial"/>
                <w:sz w:val="14"/>
                <w:szCs w:val="14"/>
                <w:color w:val="auto"/>
              </w:rPr>
              <w:t>50%</w:t>
            </w:r>
          </w:p>
        </w:tc>
        <w:tc>
          <w:tcPr>
            <w:tcW w:w="800" w:type="dxa"/>
            <w:vAlign w:val="bottom"/>
            <w:shd w:val="clear" w:color="auto" w:fill="CCEEFF"/>
          </w:tcPr>
          <w:p>
            <w:pPr>
              <w:jc w:val="right"/>
              <w:ind w:right="212"/>
              <w:spacing w:after="0"/>
              <w:rPr>
                <w:sz w:val="20"/>
                <w:szCs w:val="20"/>
                <w:color w:val="auto"/>
              </w:rPr>
            </w:pPr>
            <w:r>
              <w:rPr>
                <w:rFonts w:ascii="Arial" w:cs="Arial" w:eastAsia="Arial" w:hAnsi="Arial"/>
                <w:sz w:val="14"/>
                <w:szCs w:val="14"/>
                <w:color w:val="auto"/>
              </w:rPr>
              <w:t>90%</w:t>
            </w:r>
          </w:p>
        </w:tc>
        <w:tc>
          <w:tcPr>
            <w:tcW w:w="100" w:type="dxa"/>
            <w:vAlign w:val="bottom"/>
            <w:shd w:val="clear" w:color="auto" w:fill="CCEEFF"/>
          </w:tcPr>
          <w:p>
            <w:pPr>
              <w:spacing w:after="0"/>
              <w:rPr>
                <w:sz w:val="15"/>
                <w:szCs w:val="15"/>
                <w:color w:val="auto"/>
              </w:rPr>
            </w:pPr>
          </w:p>
        </w:tc>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w w:val="99"/>
                <w:shd w:val="clear" w:color="auto" w:fill="CCEEFF"/>
              </w:rPr>
              <w:t>36,000 square feet of retail has opened,</w:t>
            </w: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840" w:type="dxa"/>
            <w:vAlign w:val="bottom"/>
            <w:vMerge w:val="restart"/>
            <w:shd w:val="clear" w:color="auto" w:fill="CCEEFF"/>
          </w:tcPr>
          <w:p>
            <w:pPr>
              <w:ind w:left="60"/>
              <w:spacing w:after="0"/>
              <w:rPr>
                <w:sz w:val="20"/>
                <w:szCs w:val="20"/>
                <w:color w:val="auto"/>
              </w:rPr>
            </w:pPr>
            <w:r>
              <w:rPr>
                <w:rFonts w:ascii="Arial" w:cs="Arial" w:eastAsia="Arial" w:hAnsi="Arial"/>
                <w:sz w:val="14"/>
                <w:szCs w:val="14"/>
                <w:color w:val="auto"/>
              </w:rPr>
              <w:t>- 447 residential units</w:t>
            </w: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5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89"/>
                <w:shd w:val="clear" w:color="auto" w:fill="CCEEFF"/>
              </w:rPr>
              <w:t>remaining tenants projected to open through</w:t>
            </w: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840" w:type="dxa"/>
            <w:vAlign w:val="bottom"/>
            <w:vMerge w:val="continue"/>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5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shd w:val="clear" w:color="auto" w:fill="CCEEFF"/>
              </w:rPr>
              <w:t>2018</w:t>
            </w:r>
          </w:p>
        </w:tc>
        <w:tc>
          <w:tcPr>
            <w:tcW w:w="0" w:type="dxa"/>
            <w:vAlign w:val="bottom"/>
          </w:tcPr>
          <w:p>
            <w:pPr>
              <w:spacing w:after="0"/>
              <w:rPr>
                <w:sz w:val="1"/>
                <w:szCs w:val="1"/>
                <w:color w:val="auto"/>
              </w:rPr>
            </w:pPr>
          </w:p>
        </w:tc>
      </w:tr>
      <w:tr>
        <w:trPr>
          <w:trHeight w:val="232"/>
        </w:trPr>
        <w:tc>
          <w:tcPr>
            <w:tcW w:w="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840" w:type="dxa"/>
            <w:vAlign w:val="bottom"/>
            <w:shd w:val="clear" w:color="auto" w:fill="CCEEFF"/>
          </w:tcPr>
          <w:p>
            <w:pPr>
              <w:ind w:left="60"/>
              <w:spacing w:after="0"/>
              <w:rPr>
                <w:sz w:val="20"/>
                <w:szCs w:val="20"/>
                <w:color w:val="auto"/>
              </w:rPr>
            </w:pPr>
            <w:r>
              <w:rPr>
                <w:rFonts w:ascii="Arial" w:cs="Arial" w:eastAsia="Arial" w:hAnsi="Arial"/>
                <w:sz w:val="14"/>
                <w:szCs w:val="14"/>
                <w:color w:val="auto"/>
              </w:rPr>
              <w:t>- 158 boutique hotel rooms</w:t>
            </w:r>
          </w:p>
        </w:tc>
        <w:tc>
          <w:tcPr>
            <w:tcW w:w="7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w w:val="94"/>
              </w:rPr>
              <w:t>Residential building opened in September</w:t>
            </w:r>
          </w:p>
        </w:tc>
        <w:tc>
          <w:tcPr>
            <w:tcW w:w="0" w:type="dxa"/>
            <w:vAlign w:val="bottom"/>
          </w:tcPr>
          <w:p>
            <w:pPr>
              <w:spacing w:after="0"/>
              <w:rPr>
                <w:sz w:val="1"/>
                <w:szCs w:val="1"/>
                <w:color w:val="auto"/>
              </w:rPr>
            </w:pPr>
          </w:p>
        </w:tc>
      </w:tr>
      <w:tr>
        <w:trPr>
          <w:trHeight w:val="159"/>
        </w:trPr>
        <w:tc>
          <w:tcPr>
            <w:tcW w:w="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50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color w:val="auto"/>
                <w:w w:val="95"/>
              </w:rPr>
              <w:t>2017 with deliveries expected through 2Q</w:t>
            </w: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5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shd w:val="clear" w:color="auto" w:fill="CCEEFF"/>
              </w:rPr>
              <w:t>2018</w:t>
            </w:r>
          </w:p>
        </w:tc>
        <w:tc>
          <w:tcPr>
            <w:tcW w:w="0" w:type="dxa"/>
            <w:vAlign w:val="bottom"/>
          </w:tcPr>
          <w:p>
            <w:pPr>
              <w:spacing w:after="0"/>
              <w:rPr>
                <w:sz w:val="1"/>
                <w:szCs w:val="1"/>
                <w:color w:val="auto"/>
              </w:rPr>
            </w:pPr>
          </w:p>
        </w:tc>
      </w:tr>
      <w:tr>
        <w:trPr>
          <w:trHeight w:val="192"/>
        </w:trPr>
        <w:tc>
          <w:tcPr>
            <w:tcW w:w="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w w:val="88"/>
              </w:rPr>
              <w:t>741,500 SF Partners Healthcare office space</w:t>
            </w:r>
          </w:p>
        </w:tc>
        <w:tc>
          <w:tcPr>
            <w:tcW w:w="0" w:type="dxa"/>
            <w:vAlign w:val="bottom"/>
          </w:tcPr>
          <w:p>
            <w:pPr>
              <w:spacing w:after="0"/>
              <w:rPr>
                <w:sz w:val="1"/>
                <w:szCs w:val="1"/>
                <w:color w:val="auto"/>
              </w:rPr>
            </w:pPr>
          </w:p>
        </w:tc>
      </w:tr>
      <w:tr>
        <w:trPr>
          <w:trHeight w:val="186"/>
        </w:trPr>
        <w:tc>
          <w:tcPr>
            <w:tcW w:w="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(built by Partners) opened in 2016</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40" w:type="dxa"/>
            <w:vAlign w:val="bottom"/>
          </w:tcPr>
          <w:p>
            <w:pPr>
              <w:ind w:left="60"/>
              <w:spacing w:after="0"/>
              <w:rPr>
                <w:sz w:val="20"/>
                <w:szCs w:val="20"/>
                <w:color w:val="auto"/>
              </w:rPr>
            </w:pPr>
            <w:r>
              <w:rPr>
                <w:rFonts w:ascii="Arial" w:cs="Arial" w:eastAsia="Arial" w:hAnsi="Arial"/>
                <w:sz w:val="14"/>
                <w:szCs w:val="14"/>
                <w:color w:val="auto"/>
              </w:rPr>
              <w:t>- 122 for-sale condominium</w:t>
            </w:r>
          </w:p>
        </w:tc>
        <w:tc>
          <w:tcPr>
            <w:tcW w:w="740" w:type="dxa"/>
            <w:vAlign w:val="bottom"/>
          </w:tcPr>
          <w:p>
            <w:pPr>
              <w:jc w:val="center"/>
              <w:ind w:left="12"/>
              <w:spacing w:after="0"/>
              <w:rPr>
                <w:sz w:val="20"/>
                <w:szCs w:val="20"/>
                <w:color w:val="auto"/>
              </w:rPr>
            </w:pPr>
            <w:r>
              <w:rPr>
                <w:rFonts w:ascii="Arial" w:cs="Arial" w:eastAsia="Arial" w:hAnsi="Arial"/>
                <w:sz w:val="14"/>
                <w:szCs w:val="14"/>
                <w:color w:val="auto"/>
                <w:w w:val="99"/>
              </w:rPr>
              <w:t>—</w:t>
            </w:r>
          </w:p>
        </w:tc>
        <w:tc>
          <w:tcPr>
            <w:tcW w:w="220" w:type="dxa"/>
            <w:vAlign w:val="bottom"/>
          </w:tcPr>
          <w:p>
            <w:pPr>
              <w:jc w:val="right"/>
              <w:spacing w:after="0"/>
              <w:rPr>
                <w:sz w:val="20"/>
                <w:szCs w:val="20"/>
                <w:color w:val="auto"/>
              </w:rPr>
            </w:pPr>
            <w:r>
              <w:rPr>
                <w:rFonts w:ascii="Arial" w:cs="Arial" w:eastAsia="Arial" w:hAnsi="Arial"/>
                <w:sz w:val="14"/>
                <w:szCs w:val="14"/>
                <w:color w:val="auto"/>
                <w:w w:val="93"/>
              </w:rPr>
              <w:t>(6)</w:t>
            </w:r>
          </w:p>
        </w:tc>
        <w:tc>
          <w:tcPr>
            <w:tcW w:w="640" w:type="dxa"/>
            <w:vAlign w:val="bottom"/>
            <w:gridSpan w:val="2"/>
          </w:tcPr>
          <w:p>
            <w:pPr>
              <w:jc w:val="right"/>
              <w:ind w:right="12"/>
              <w:spacing w:after="0"/>
              <w:rPr>
                <w:sz w:val="20"/>
                <w:szCs w:val="20"/>
                <w:color w:val="auto"/>
              </w:rPr>
            </w:pPr>
            <w:r>
              <w:rPr>
                <w:rFonts w:ascii="Arial" w:cs="Arial" w:eastAsia="Arial" w:hAnsi="Arial"/>
                <w:sz w:val="14"/>
                <w:szCs w:val="14"/>
                <w:color w:val="auto"/>
              </w:rPr>
              <w:t>$74 - 79</w:t>
            </w:r>
          </w:p>
        </w:tc>
        <w:tc>
          <w:tcPr>
            <w:tcW w:w="720" w:type="dxa"/>
            <w:vAlign w:val="bottom"/>
          </w:tcPr>
          <w:p>
            <w:pPr>
              <w:jc w:val="right"/>
              <w:ind w:right="172"/>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tcPr>
          <w:p>
            <w:pPr>
              <w:ind w:left="20"/>
              <w:spacing w:after="0"/>
              <w:rPr>
                <w:sz w:val="20"/>
                <w:szCs w:val="20"/>
                <w:color w:val="auto"/>
              </w:rPr>
            </w:pPr>
            <w:r>
              <w:rPr>
                <w:rFonts w:ascii="Arial" w:cs="Arial" w:eastAsia="Arial" w:hAnsi="Arial"/>
                <w:sz w:val="14"/>
                <w:szCs w:val="14"/>
                <w:color w:val="auto"/>
                <w:w w:val="94"/>
              </w:rPr>
              <w:t>Projected closings to commence 2Q 2018</w:t>
            </w:r>
          </w:p>
        </w:tc>
        <w:tc>
          <w:tcPr>
            <w:tcW w:w="0" w:type="dxa"/>
            <w:vAlign w:val="bottom"/>
          </w:tcPr>
          <w:p>
            <w:pPr>
              <w:spacing w:after="0"/>
              <w:rPr>
                <w:sz w:val="1"/>
                <w:szCs w:val="1"/>
                <w:color w:val="auto"/>
              </w:rPr>
            </w:pPr>
          </w:p>
        </w:tc>
      </w:tr>
      <w:tr>
        <w:trPr>
          <w:trHeight w:val="179"/>
        </w:trPr>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840" w:type="dxa"/>
            <w:vAlign w:val="bottom"/>
          </w:tcPr>
          <w:p>
            <w:pPr>
              <w:ind w:left="40"/>
              <w:spacing w:after="0"/>
              <w:rPr>
                <w:sz w:val="20"/>
                <w:szCs w:val="20"/>
                <w:color w:val="auto"/>
              </w:rPr>
            </w:pPr>
            <w:r>
              <w:rPr>
                <w:rFonts w:ascii="Arial" w:cs="Arial" w:eastAsia="Arial" w:hAnsi="Arial"/>
                <w:sz w:val="14"/>
                <w:szCs w:val="14"/>
                <w:color w:val="auto"/>
              </w:rPr>
              <w:t>units</w:t>
            </w: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4"/>
                <w:szCs w:val="14"/>
                <w:color w:val="auto"/>
                <w:w w:val="90"/>
                <w:shd w:val="clear" w:color="auto" w:fill="CCEEFF"/>
              </w:rPr>
              <w:t>Future Phases</w:t>
            </w:r>
          </w:p>
        </w:tc>
        <w:tc>
          <w:tcPr>
            <w:tcW w:w="1280" w:type="dxa"/>
            <w:vAlign w:val="bottom"/>
            <w:shd w:val="clear" w:color="auto" w:fill="CCEEFF"/>
          </w:tcPr>
          <w:p>
            <w:pPr>
              <w:spacing w:after="0"/>
              <w:rPr>
                <w:sz w:val="15"/>
                <w:szCs w:val="15"/>
                <w:color w:val="auto"/>
              </w:rPr>
            </w:pPr>
          </w:p>
        </w:tc>
        <w:tc>
          <w:tcPr>
            <w:tcW w:w="1840" w:type="dxa"/>
            <w:vAlign w:val="bottom"/>
            <w:shd w:val="clear" w:color="auto" w:fill="CCEEFF"/>
          </w:tcPr>
          <w:p>
            <w:pPr>
              <w:ind w:left="60"/>
              <w:spacing w:after="0"/>
              <w:rPr>
                <w:sz w:val="20"/>
                <w:szCs w:val="20"/>
                <w:color w:val="auto"/>
              </w:rPr>
            </w:pPr>
            <w:r>
              <w:rPr>
                <w:rFonts w:ascii="Arial" w:cs="Arial" w:eastAsia="Arial" w:hAnsi="Arial"/>
                <w:sz w:val="14"/>
                <w:szCs w:val="14"/>
                <w:color w:val="auto"/>
              </w:rPr>
              <w:t>- 2M SF of commercial</w:t>
            </w:r>
          </w:p>
        </w:tc>
        <w:tc>
          <w:tcPr>
            <w:tcW w:w="740" w:type="dxa"/>
            <w:vAlign w:val="bottom"/>
            <w:shd w:val="clear" w:color="auto" w:fill="CCEEFF"/>
          </w:tcPr>
          <w:p>
            <w:pPr>
              <w:jc w:val="center"/>
              <w:ind w:left="12"/>
              <w:spacing w:after="0"/>
              <w:rPr>
                <w:sz w:val="20"/>
                <w:szCs w:val="20"/>
                <w:color w:val="auto"/>
              </w:rPr>
            </w:pPr>
            <w:r>
              <w:rPr>
                <w:rFonts w:ascii="Arial" w:cs="Arial" w:eastAsia="Arial" w:hAnsi="Arial"/>
                <w:sz w:val="14"/>
                <w:szCs w:val="14"/>
                <w:color w:val="auto"/>
                <w:w w:val="92"/>
                <w:shd w:val="clear" w:color="auto" w:fill="CCEEFF"/>
              </w:rPr>
              <w:t>TBD</w:t>
            </w: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shd w:val="clear" w:color="auto" w:fill="CCEEFF"/>
              </w:rPr>
              <w:t>TBD</w:t>
            </w: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83"/>
        </w:trPr>
        <w:tc>
          <w:tcPr>
            <w:tcW w:w="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840" w:type="dxa"/>
            <w:vAlign w:val="bottom"/>
            <w:shd w:val="clear" w:color="auto" w:fill="CCEEFF"/>
          </w:tcPr>
          <w:p>
            <w:pPr>
              <w:ind w:left="60"/>
              <w:spacing w:after="0"/>
              <w:rPr>
                <w:sz w:val="20"/>
                <w:szCs w:val="20"/>
                <w:color w:val="auto"/>
              </w:rPr>
            </w:pPr>
            <w:r>
              <w:rPr>
                <w:rFonts w:ascii="Arial" w:cs="Arial" w:eastAsia="Arial" w:hAnsi="Arial"/>
                <w:sz w:val="14"/>
                <w:szCs w:val="14"/>
                <w:color w:val="auto"/>
              </w:rPr>
              <w:t>- 826 residential units</w:t>
            </w:r>
          </w:p>
        </w:tc>
        <w:tc>
          <w:tcPr>
            <w:tcW w:w="7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5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4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184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5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gridSpan w:val="3"/>
          </w:tcPr>
          <w:p>
            <w:pPr>
              <w:ind w:left="40"/>
              <w:spacing w:after="0"/>
              <w:rPr>
                <w:sz w:val="20"/>
                <w:szCs w:val="20"/>
                <w:color w:val="auto"/>
              </w:rPr>
            </w:pPr>
            <w:r>
              <w:rPr>
                <w:rFonts w:ascii="Arial" w:cs="Arial" w:eastAsia="Arial" w:hAnsi="Arial"/>
                <w:sz w:val="14"/>
                <w:szCs w:val="14"/>
                <w:b w:val="1"/>
                <w:bCs w:val="1"/>
                <w:color w:val="auto"/>
              </w:rPr>
              <w:t>Pike &amp; Rose</w:t>
            </w:r>
          </w:p>
        </w:tc>
        <w:tc>
          <w:tcPr>
            <w:tcW w:w="3060" w:type="dxa"/>
            <w:vAlign w:val="bottom"/>
            <w:gridSpan w:val="2"/>
          </w:tcPr>
          <w:p>
            <w:pPr>
              <w:ind w:left="40"/>
              <w:spacing w:after="0"/>
              <w:rPr>
                <w:sz w:val="20"/>
                <w:szCs w:val="20"/>
                <w:color w:val="auto"/>
              </w:rPr>
            </w:pPr>
            <w:r>
              <w:rPr>
                <w:rFonts w:ascii="Arial" w:cs="Arial" w:eastAsia="Arial" w:hAnsi="Arial"/>
                <w:sz w:val="14"/>
                <w:szCs w:val="14"/>
                <w:b w:val="1"/>
                <w:bCs w:val="1"/>
                <w:color w:val="auto"/>
              </w:rPr>
              <w:t>North Bethesda,</w:t>
            </w: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306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MD</w:t>
            </w: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4"/>
                <w:szCs w:val="14"/>
                <w:color w:val="auto"/>
                <w:shd w:val="clear" w:color="auto" w:fill="CCEEFF"/>
              </w:rPr>
              <w:t>Phase I</w:t>
            </w: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820" w:type="dxa"/>
            <w:vAlign w:val="bottom"/>
            <w:shd w:val="clear" w:color="auto" w:fill="CCEEFF"/>
          </w:tcPr>
          <w:p>
            <w:pPr>
              <w:ind w:left="60"/>
              <w:spacing w:after="0"/>
              <w:rPr>
                <w:sz w:val="20"/>
                <w:szCs w:val="20"/>
                <w:color w:val="auto"/>
              </w:rPr>
            </w:pPr>
            <w:r>
              <w:rPr>
                <w:rFonts w:ascii="Arial" w:cs="Arial" w:eastAsia="Arial" w:hAnsi="Arial"/>
                <w:sz w:val="14"/>
                <w:szCs w:val="14"/>
                <w:color w:val="auto"/>
              </w:rPr>
              <w:t>- 159,000 SF of retail</w:t>
            </w:r>
          </w:p>
        </w:tc>
        <w:tc>
          <w:tcPr>
            <w:tcW w:w="760" w:type="dxa"/>
            <w:vAlign w:val="bottom"/>
            <w:shd w:val="clear" w:color="auto" w:fill="CCEEFF"/>
          </w:tcPr>
          <w:p>
            <w:pPr>
              <w:jc w:val="right"/>
              <w:ind w:right="132"/>
              <w:spacing w:after="0"/>
              <w:rPr>
                <w:sz w:val="20"/>
                <w:szCs w:val="20"/>
                <w:color w:val="auto"/>
              </w:rPr>
            </w:pPr>
            <w:r>
              <w:rPr>
                <w:rFonts w:ascii="Arial" w:cs="Arial" w:eastAsia="Arial" w:hAnsi="Arial"/>
                <w:sz w:val="14"/>
                <w:szCs w:val="14"/>
                <w:color w:val="auto"/>
                <w:shd w:val="clear" w:color="auto" w:fill="CCEEFF"/>
              </w:rPr>
              <w:t>6-7%</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(7)</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$265</w:t>
            </w:r>
          </w:p>
        </w:tc>
        <w:tc>
          <w:tcPr>
            <w:tcW w:w="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- 270</w:t>
            </w:r>
          </w:p>
        </w:tc>
        <w:tc>
          <w:tcPr>
            <w:tcW w:w="680" w:type="dxa"/>
            <w:vAlign w:val="bottom"/>
            <w:shd w:val="clear" w:color="auto" w:fill="CCEEFF"/>
          </w:tcPr>
          <w:p>
            <w:pPr>
              <w:jc w:val="center"/>
              <w:ind w:right="92"/>
              <w:spacing w:after="0"/>
              <w:rPr>
                <w:sz w:val="20"/>
                <w:szCs w:val="20"/>
                <w:color w:val="auto"/>
              </w:rPr>
            </w:pPr>
            <w:r>
              <w:rPr>
                <w:rFonts w:ascii="Arial" w:cs="Arial" w:eastAsia="Arial" w:hAnsi="Arial"/>
                <w:sz w:val="14"/>
                <w:szCs w:val="14"/>
                <w:color w:val="auto"/>
                <w:w w:val="89"/>
              </w:rPr>
              <w:t>$267</w:t>
            </w:r>
          </w:p>
        </w:tc>
        <w:tc>
          <w:tcPr>
            <w:tcW w:w="820" w:type="dxa"/>
            <w:vAlign w:val="bottom"/>
            <w:shd w:val="clear" w:color="auto" w:fill="CCEEFF"/>
          </w:tcPr>
          <w:p>
            <w:pPr>
              <w:jc w:val="right"/>
              <w:ind w:right="212"/>
              <w:spacing w:after="0"/>
              <w:rPr>
                <w:sz w:val="20"/>
                <w:szCs w:val="20"/>
                <w:color w:val="auto"/>
              </w:rPr>
            </w:pPr>
            <w:r>
              <w:rPr>
                <w:rFonts w:ascii="Arial" w:cs="Arial" w:eastAsia="Arial" w:hAnsi="Arial"/>
                <w:sz w:val="14"/>
                <w:szCs w:val="14"/>
                <w:color w:val="auto"/>
              </w:rPr>
              <w:t>75%</w:t>
            </w:r>
          </w:p>
        </w:tc>
        <w:tc>
          <w:tcPr>
            <w:tcW w:w="780" w:type="dxa"/>
            <w:vAlign w:val="bottom"/>
            <w:shd w:val="clear" w:color="auto" w:fill="CCEEFF"/>
          </w:tcPr>
          <w:p>
            <w:pPr>
              <w:jc w:val="right"/>
              <w:ind w:right="192"/>
              <w:spacing w:after="0"/>
              <w:rPr>
                <w:sz w:val="20"/>
                <w:szCs w:val="20"/>
                <w:color w:val="auto"/>
              </w:rPr>
            </w:pPr>
            <w:r>
              <w:rPr>
                <w:rFonts w:ascii="Arial" w:cs="Arial" w:eastAsia="Arial" w:hAnsi="Arial"/>
                <w:sz w:val="14"/>
                <w:szCs w:val="14"/>
                <w:color w:val="auto"/>
              </w:rPr>
              <w:t>90%</w:t>
            </w:r>
          </w:p>
        </w:tc>
        <w:tc>
          <w:tcPr>
            <w:tcW w:w="940" w:type="dxa"/>
            <w:vAlign w:val="bottom"/>
            <w:shd w:val="clear" w:color="auto" w:fill="CCEEFF"/>
          </w:tcPr>
          <w:p>
            <w:pPr>
              <w:jc w:val="right"/>
              <w:ind w:right="292"/>
              <w:spacing w:after="0"/>
              <w:rPr>
                <w:sz w:val="20"/>
                <w:szCs w:val="20"/>
                <w:color w:val="auto"/>
              </w:rPr>
            </w:pPr>
            <w:r>
              <w:rPr>
                <w:rFonts w:ascii="Arial" w:cs="Arial" w:eastAsia="Arial" w:hAnsi="Arial"/>
                <w:sz w:val="14"/>
                <w:szCs w:val="14"/>
                <w:color w:val="auto"/>
              </w:rPr>
              <w:t>100%</w:t>
            </w:r>
          </w:p>
        </w:tc>
        <w:tc>
          <w:tcPr>
            <w:tcW w:w="2480" w:type="dxa"/>
            <w:vAlign w:val="bottom"/>
            <w:shd w:val="clear" w:color="auto" w:fill="CCEEFF"/>
          </w:tcPr>
          <w:p>
            <w:pPr>
              <w:spacing w:after="0"/>
              <w:rPr>
                <w:sz w:val="20"/>
                <w:szCs w:val="20"/>
                <w:color w:val="auto"/>
              </w:rPr>
            </w:pPr>
            <w:r>
              <w:rPr>
                <w:rFonts w:ascii="Arial" w:cs="Arial" w:eastAsia="Arial" w:hAnsi="Arial"/>
                <w:sz w:val="14"/>
                <w:szCs w:val="14"/>
                <w:color w:val="auto"/>
                <w:shd w:val="clear" w:color="auto" w:fill="CCEEFF"/>
              </w:rPr>
              <w:t>Retail &amp; office open</w:t>
            </w: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820" w:type="dxa"/>
            <w:vAlign w:val="bottom"/>
            <w:shd w:val="clear" w:color="auto" w:fill="CCEEFF"/>
          </w:tcPr>
          <w:p>
            <w:pPr>
              <w:ind w:left="60"/>
              <w:spacing w:after="0"/>
              <w:rPr>
                <w:sz w:val="20"/>
                <w:szCs w:val="20"/>
                <w:color w:val="auto"/>
              </w:rPr>
            </w:pPr>
            <w:r>
              <w:rPr>
                <w:rFonts w:ascii="Arial" w:cs="Arial" w:eastAsia="Arial" w:hAnsi="Arial"/>
                <w:sz w:val="14"/>
                <w:szCs w:val="14"/>
                <w:color w:val="auto"/>
              </w:rPr>
              <w:t>- 80,000 SF of office</w:t>
            </w:r>
          </w:p>
        </w:tc>
        <w:tc>
          <w:tcPr>
            <w:tcW w:w="7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4"/>
                <w:szCs w:val="14"/>
                <w:color w:val="auto"/>
                <w:w w:val="92"/>
                <w:shd w:val="clear" w:color="auto" w:fill="CCEEFF"/>
              </w:rPr>
              <w:t>Residential opened in 2014 (174 units) and</w:t>
            </w: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820" w:type="dxa"/>
            <w:vAlign w:val="bottom"/>
            <w:shd w:val="clear" w:color="auto" w:fill="CCEEFF"/>
          </w:tcPr>
          <w:p>
            <w:pPr>
              <w:ind w:left="60"/>
              <w:spacing w:after="0"/>
              <w:rPr>
                <w:sz w:val="20"/>
                <w:szCs w:val="20"/>
                <w:color w:val="auto"/>
              </w:rPr>
            </w:pPr>
            <w:r>
              <w:rPr>
                <w:rFonts w:ascii="Arial" w:cs="Arial" w:eastAsia="Arial" w:hAnsi="Arial"/>
                <w:sz w:val="14"/>
                <w:szCs w:val="14"/>
                <w:color w:val="auto"/>
              </w:rPr>
              <w:t>- 493 residential units</w:t>
            </w:r>
          </w:p>
        </w:tc>
        <w:tc>
          <w:tcPr>
            <w:tcW w:w="7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4"/>
                <w:szCs w:val="14"/>
                <w:color w:val="auto"/>
                <w:shd w:val="clear" w:color="auto" w:fill="CCEEFF"/>
              </w:rPr>
              <w:t>2015/16 (319 units)</w:t>
            </w:r>
          </w:p>
        </w:tc>
        <w:tc>
          <w:tcPr>
            <w:tcW w:w="0" w:type="dxa"/>
            <w:vAlign w:val="bottom"/>
          </w:tcPr>
          <w:p>
            <w:pPr>
              <w:spacing w:after="0"/>
              <w:rPr>
                <w:sz w:val="1"/>
                <w:szCs w:val="1"/>
                <w:color w:val="auto"/>
              </w:rPr>
            </w:pPr>
          </w:p>
        </w:tc>
      </w:tr>
      <w:tr>
        <w:trPr>
          <w:trHeight w:val="95"/>
        </w:trPr>
        <w:tc>
          <w:tcPr>
            <w:tcW w:w="4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182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24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5"/>
        </w:trPr>
        <w:tc>
          <w:tcPr>
            <w:tcW w:w="920" w:type="dxa"/>
            <w:vAlign w:val="bottom"/>
            <w:gridSpan w:val="3"/>
          </w:tcPr>
          <w:p>
            <w:pPr>
              <w:ind w:left="40"/>
              <w:spacing w:after="0"/>
              <w:rPr>
                <w:sz w:val="20"/>
                <w:szCs w:val="20"/>
                <w:color w:val="auto"/>
              </w:rPr>
            </w:pPr>
            <w:r>
              <w:rPr>
                <w:rFonts w:ascii="Arial" w:cs="Arial" w:eastAsia="Arial" w:hAnsi="Arial"/>
                <w:sz w:val="14"/>
                <w:szCs w:val="14"/>
                <w:color w:val="auto"/>
              </w:rPr>
              <w:t>Phase II</w:t>
            </w:r>
          </w:p>
        </w:tc>
        <w:tc>
          <w:tcPr>
            <w:tcW w:w="1240" w:type="dxa"/>
            <w:vAlign w:val="bottom"/>
          </w:tcPr>
          <w:p>
            <w:pPr>
              <w:spacing w:after="0"/>
              <w:rPr>
                <w:sz w:val="14"/>
                <w:szCs w:val="14"/>
                <w:color w:val="auto"/>
              </w:rPr>
            </w:pPr>
          </w:p>
        </w:tc>
        <w:tc>
          <w:tcPr>
            <w:tcW w:w="1820" w:type="dxa"/>
            <w:vAlign w:val="bottom"/>
          </w:tcPr>
          <w:p>
            <w:pPr>
              <w:ind w:left="60"/>
              <w:spacing w:after="0"/>
              <w:rPr>
                <w:sz w:val="20"/>
                <w:szCs w:val="20"/>
                <w:color w:val="auto"/>
              </w:rPr>
            </w:pPr>
            <w:r>
              <w:rPr>
                <w:rFonts w:ascii="Arial" w:cs="Arial" w:eastAsia="Arial" w:hAnsi="Arial"/>
                <w:sz w:val="14"/>
                <w:szCs w:val="14"/>
                <w:color w:val="auto"/>
              </w:rPr>
              <w:t>- 216,000 SF of retail</w:t>
            </w:r>
          </w:p>
        </w:tc>
        <w:tc>
          <w:tcPr>
            <w:tcW w:w="760" w:type="dxa"/>
            <w:vAlign w:val="bottom"/>
          </w:tcPr>
          <w:p>
            <w:pPr>
              <w:jc w:val="right"/>
              <w:ind w:right="112"/>
              <w:spacing w:after="0"/>
              <w:rPr>
                <w:sz w:val="20"/>
                <w:szCs w:val="20"/>
                <w:color w:val="auto"/>
              </w:rPr>
            </w:pPr>
            <w:r>
              <w:rPr>
                <w:rFonts w:ascii="Arial" w:cs="Arial" w:eastAsia="Arial" w:hAnsi="Arial"/>
                <w:sz w:val="14"/>
                <w:szCs w:val="14"/>
                <w:color w:val="auto"/>
              </w:rPr>
              <w:t>6-7%</w:t>
            </w:r>
          </w:p>
        </w:tc>
        <w:tc>
          <w:tcPr>
            <w:tcW w:w="220" w:type="dxa"/>
            <w:vAlign w:val="bottom"/>
          </w:tcPr>
          <w:p>
            <w:pPr>
              <w:jc w:val="right"/>
              <w:spacing w:after="0"/>
              <w:rPr>
                <w:sz w:val="20"/>
                <w:szCs w:val="20"/>
                <w:color w:val="auto"/>
              </w:rPr>
            </w:pPr>
            <w:r>
              <w:rPr>
                <w:rFonts w:ascii="Arial" w:cs="Arial" w:eastAsia="Arial" w:hAnsi="Arial"/>
                <w:sz w:val="14"/>
                <w:szCs w:val="14"/>
                <w:color w:val="auto"/>
                <w:w w:val="93"/>
              </w:rPr>
              <w:t>(5)</w:t>
            </w:r>
          </w:p>
        </w:tc>
        <w:tc>
          <w:tcPr>
            <w:tcW w:w="340" w:type="dxa"/>
            <w:vAlign w:val="bottom"/>
          </w:tcPr>
          <w:p>
            <w:pPr>
              <w:jc w:val="right"/>
              <w:spacing w:after="0"/>
              <w:rPr>
                <w:sz w:val="20"/>
                <w:szCs w:val="20"/>
                <w:color w:val="auto"/>
              </w:rPr>
            </w:pPr>
            <w:r>
              <w:rPr>
                <w:rFonts w:ascii="Arial" w:cs="Arial" w:eastAsia="Arial" w:hAnsi="Arial"/>
                <w:sz w:val="14"/>
                <w:szCs w:val="14"/>
                <w:color w:val="auto"/>
                <w:w w:val="96"/>
              </w:rPr>
              <w:t>$200</w:t>
            </w:r>
          </w:p>
        </w:tc>
        <w:tc>
          <w:tcPr>
            <w:tcW w:w="420" w:type="dxa"/>
            <w:vAlign w:val="bottom"/>
          </w:tcPr>
          <w:p>
            <w:pPr>
              <w:ind w:left="20"/>
              <w:spacing w:after="0"/>
              <w:rPr>
                <w:sz w:val="20"/>
                <w:szCs w:val="20"/>
                <w:color w:val="auto"/>
              </w:rPr>
            </w:pPr>
            <w:r>
              <w:rPr>
                <w:rFonts w:ascii="Arial" w:cs="Arial" w:eastAsia="Arial" w:hAnsi="Arial"/>
                <w:sz w:val="14"/>
                <w:szCs w:val="14"/>
                <w:color w:val="auto"/>
              </w:rPr>
              <w:t>- 207</w:t>
            </w:r>
          </w:p>
        </w:tc>
        <w:tc>
          <w:tcPr>
            <w:tcW w:w="680" w:type="dxa"/>
            <w:vAlign w:val="bottom"/>
          </w:tcPr>
          <w:p>
            <w:pPr>
              <w:jc w:val="center"/>
              <w:ind w:right="92"/>
              <w:spacing w:after="0"/>
              <w:rPr>
                <w:sz w:val="20"/>
                <w:szCs w:val="20"/>
                <w:color w:val="auto"/>
              </w:rPr>
            </w:pPr>
            <w:r>
              <w:rPr>
                <w:rFonts w:ascii="Arial" w:cs="Arial" w:eastAsia="Arial" w:hAnsi="Arial"/>
                <w:sz w:val="14"/>
                <w:szCs w:val="14"/>
                <w:color w:val="auto"/>
                <w:w w:val="89"/>
              </w:rPr>
              <w:t>$168</w:t>
            </w:r>
          </w:p>
        </w:tc>
        <w:tc>
          <w:tcPr>
            <w:tcW w:w="820" w:type="dxa"/>
            <w:vAlign w:val="bottom"/>
          </w:tcPr>
          <w:p>
            <w:pPr>
              <w:jc w:val="center"/>
              <w:spacing w:after="0"/>
              <w:rPr>
                <w:sz w:val="20"/>
                <w:szCs w:val="20"/>
                <w:color w:val="auto"/>
              </w:rPr>
            </w:pPr>
            <w:r>
              <w:rPr>
                <w:rFonts w:ascii="Arial" w:cs="Arial" w:eastAsia="Arial" w:hAnsi="Arial"/>
                <w:sz w:val="14"/>
                <w:szCs w:val="14"/>
                <w:color w:val="auto"/>
                <w:w w:val="85"/>
              </w:rPr>
              <w:t>—</w:t>
            </w:r>
          </w:p>
        </w:tc>
        <w:tc>
          <w:tcPr>
            <w:tcW w:w="780" w:type="dxa"/>
            <w:vAlign w:val="bottom"/>
          </w:tcPr>
          <w:p>
            <w:pPr>
              <w:jc w:val="right"/>
              <w:ind w:right="192"/>
              <w:spacing w:after="0"/>
              <w:rPr>
                <w:sz w:val="20"/>
                <w:szCs w:val="20"/>
                <w:color w:val="auto"/>
              </w:rPr>
            </w:pPr>
            <w:r>
              <w:rPr>
                <w:rFonts w:ascii="Arial" w:cs="Arial" w:eastAsia="Arial" w:hAnsi="Arial"/>
                <w:sz w:val="14"/>
                <w:szCs w:val="14"/>
                <w:color w:val="auto"/>
              </w:rPr>
              <w:t>65%</w:t>
            </w:r>
          </w:p>
        </w:tc>
        <w:tc>
          <w:tcPr>
            <w:tcW w:w="940" w:type="dxa"/>
            <w:vAlign w:val="bottom"/>
          </w:tcPr>
          <w:p>
            <w:pPr>
              <w:jc w:val="right"/>
              <w:ind w:right="332"/>
              <w:spacing w:after="0"/>
              <w:rPr>
                <w:sz w:val="20"/>
                <w:szCs w:val="20"/>
                <w:color w:val="auto"/>
              </w:rPr>
            </w:pPr>
            <w:r>
              <w:rPr>
                <w:rFonts w:ascii="Arial" w:cs="Arial" w:eastAsia="Arial" w:hAnsi="Arial"/>
                <w:sz w:val="14"/>
                <w:szCs w:val="14"/>
                <w:color w:val="auto"/>
              </w:rPr>
              <w:t>85%</w:t>
            </w:r>
          </w:p>
        </w:tc>
        <w:tc>
          <w:tcPr>
            <w:tcW w:w="2480" w:type="dxa"/>
            <w:vAlign w:val="bottom"/>
          </w:tcPr>
          <w:p>
            <w:pPr>
              <w:spacing w:after="0"/>
              <w:rPr>
                <w:sz w:val="20"/>
                <w:szCs w:val="20"/>
                <w:color w:val="auto"/>
              </w:rPr>
            </w:pPr>
            <w:r>
              <w:rPr>
                <w:rFonts w:ascii="Arial" w:cs="Arial" w:eastAsia="Arial" w:hAnsi="Arial"/>
                <w:sz w:val="14"/>
                <w:szCs w:val="14"/>
                <w:color w:val="auto"/>
                <w:w w:val="96"/>
              </w:rPr>
              <w:t>102,000 square feet of retail has opened,</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20" w:type="dxa"/>
            <w:vAlign w:val="bottom"/>
            <w:vMerge w:val="restart"/>
          </w:tcPr>
          <w:p>
            <w:pPr>
              <w:ind w:left="60"/>
              <w:spacing w:after="0"/>
              <w:rPr>
                <w:sz w:val="20"/>
                <w:szCs w:val="20"/>
                <w:color w:val="auto"/>
              </w:rPr>
            </w:pPr>
            <w:r>
              <w:rPr>
                <w:rFonts w:ascii="Arial" w:cs="Arial" w:eastAsia="Arial" w:hAnsi="Arial"/>
                <w:sz w:val="14"/>
                <w:szCs w:val="14"/>
                <w:color w:val="auto"/>
              </w:rPr>
              <w:t>- 272 residential units</w:t>
            </w: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80" w:type="dxa"/>
            <w:vAlign w:val="bottom"/>
          </w:tcPr>
          <w:p>
            <w:pPr>
              <w:spacing w:after="0" w:line="149" w:lineRule="exact"/>
              <w:rPr>
                <w:sz w:val="20"/>
                <w:szCs w:val="20"/>
                <w:color w:val="auto"/>
              </w:rPr>
            </w:pPr>
            <w:r>
              <w:rPr>
                <w:rFonts w:ascii="Arial" w:cs="Arial" w:eastAsia="Arial" w:hAnsi="Arial"/>
                <w:sz w:val="14"/>
                <w:szCs w:val="14"/>
                <w:color w:val="auto"/>
                <w:w w:val="89"/>
              </w:rPr>
              <w:t>remaining tenants projected to open through</w:t>
            </w: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Arial" w:cs="Arial" w:eastAsia="Arial" w:hAnsi="Arial"/>
                <w:sz w:val="14"/>
                <w:szCs w:val="14"/>
                <w:color w:val="auto"/>
              </w:rPr>
              <w:t>2018</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20" w:type="dxa"/>
            <w:vAlign w:val="bottom"/>
          </w:tcPr>
          <w:p>
            <w:pPr>
              <w:ind w:left="60"/>
              <w:spacing w:after="0"/>
              <w:rPr>
                <w:sz w:val="20"/>
                <w:szCs w:val="20"/>
                <w:color w:val="auto"/>
              </w:rPr>
            </w:pPr>
            <w:r>
              <w:rPr>
                <w:rFonts w:ascii="Arial" w:cs="Arial" w:eastAsia="Arial" w:hAnsi="Arial"/>
                <w:sz w:val="14"/>
                <w:szCs w:val="14"/>
                <w:color w:val="auto"/>
              </w:rPr>
              <w:t>- 177 boutique hotel rooms</w:t>
            </w: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80" w:type="dxa"/>
            <w:vAlign w:val="bottom"/>
          </w:tcPr>
          <w:p>
            <w:pPr>
              <w:spacing w:after="0"/>
              <w:rPr>
                <w:sz w:val="20"/>
                <w:szCs w:val="20"/>
                <w:color w:val="auto"/>
              </w:rPr>
            </w:pPr>
            <w:r>
              <w:rPr>
                <w:rFonts w:ascii="Arial" w:cs="Arial" w:eastAsia="Arial" w:hAnsi="Arial"/>
                <w:sz w:val="14"/>
                <w:szCs w:val="14"/>
                <w:color w:val="auto"/>
                <w:w w:val="91"/>
              </w:rPr>
              <w:t>Residential building opened in August 2017</w:t>
            </w:r>
          </w:p>
        </w:tc>
        <w:tc>
          <w:tcPr>
            <w:tcW w:w="0" w:type="dxa"/>
            <w:vAlign w:val="bottom"/>
          </w:tcPr>
          <w:p>
            <w:pPr>
              <w:spacing w:after="0"/>
              <w:rPr>
                <w:sz w:val="1"/>
                <w:szCs w:val="1"/>
                <w:color w:val="auto"/>
              </w:rPr>
            </w:pPr>
          </w:p>
        </w:tc>
      </w:tr>
      <w:tr>
        <w:trPr>
          <w:trHeight w:val="179"/>
        </w:trPr>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80" w:type="dxa"/>
            <w:vAlign w:val="bottom"/>
          </w:tcPr>
          <w:p>
            <w:pPr>
              <w:spacing w:after="0"/>
              <w:rPr>
                <w:sz w:val="20"/>
                <w:szCs w:val="20"/>
                <w:color w:val="auto"/>
              </w:rPr>
            </w:pPr>
            <w:r>
              <w:rPr>
                <w:rFonts w:ascii="Arial" w:cs="Arial" w:eastAsia="Arial" w:hAnsi="Arial"/>
                <w:sz w:val="14"/>
                <w:szCs w:val="14"/>
                <w:color w:val="auto"/>
                <w:w w:val="95"/>
              </w:rPr>
              <w:t>with deliveries expected through 2Q 2018</w:t>
            </w:r>
          </w:p>
        </w:tc>
        <w:tc>
          <w:tcPr>
            <w:tcW w:w="0" w:type="dxa"/>
            <w:vAlign w:val="bottom"/>
          </w:tcPr>
          <w:p>
            <w:pPr>
              <w:spacing w:after="0"/>
              <w:rPr>
                <w:sz w:val="1"/>
                <w:szCs w:val="1"/>
                <w:color w:val="auto"/>
              </w:rPr>
            </w:pPr>
          </w:p>
        </w:tc>
      </w:tr>
      <w:tr>
        <w:trPr>
          <w:trHeight w:val="183"/>
        </w:trPr>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820" w:type="dxa"/>
            <w:vAlign w:val="bottom"/>
            <w:shd w:val="clear" w:color="auto" w:fill="CCEEFF"/>
          </w:tcPr>
          <w:p>
            <w:pPr>
              <w:ind w:left="60"/>
              <w:spacing w:after="0"/>
              <w:rPr>
                <w:sz w:val="20"/>
                <w:szCs w:val="20"/>
                <w:color w:val="auto"/>
              </w:rPr>
            </w:pPr>
            <w:r>
              <w:rPr>
                <w:rFonts w:ascii="Arial" w:cs="Arial" w:eastAsia="Arial" w:hAnsi="Arial"/>
                <w:sz w:val="14"/>
                <w:szCs w:val="14"/>
                <w:color w:val="auto"/>
              </w:rPr>
              <w:t>- 99 for-sale condominium</w:t>
            </w:r>
          </w:p>
        </w:tc>
        <w:tc>
          <w:tcPr>
            <w:tcW w:w="760" w:type="dxa"/>
            <w:vAlign w:val="bottom"/>
            <w:shd w:val="clear" w:color="auto" w:fill="CCEEFF"/>
          </w:tcPr>
          <w:p>
            <w:pPr>
              <w:jc w:val="center"/>
              <w:ind w:left="32"/>
              <w:spacing w:after="0"/>
              <w:rPr>
                <w:sz w:val="20"/>
                <w:szCs w:val="20"/>
                <w:color w:val="auto"/>
              </w:rPr>
            </w:pPr>
            <w:r>
              <w:rPr>
                <w:rFonts w:ascii="Arial" w:cs="Arial" w:eastAsia="Arial" w:hAnsi="Arial"/>
                <w:sz w:val="14"/>
                <w:szCs w:val="14"/>
                <w:color w:val="auto"/>
                <w:w w:val="99"/>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(6)</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$53</w:t>
            </w:r>
          </w:p>
        </w:tc>
        <w:tc>
          <w:tcPr>
            <w:tcW w:w="420" w:type="dxa"/>
            <w:vAlign w:val="bottom"/>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- 58</w:t>
            </w:r>
          </w:p>
        </w:tc>
        <w:tc>
          <w:tcPr>
            <w:tcW w:w="680" w:type="dxa"/>
            <w:vAlign w:val="bottom"/>
            <w:shd w:val="clear" w:color="auto" w:fill="CCEEFF"/>
          </w:tcPr>
          <w:p>
            <w:pPr>
              <w:jc w:val="center"/>
              <w:ind w:right="92"/>
              <w:spacing w:after="0"/>
              <w:rPr>
                <w:sz w:val="20"/>
                <w:szCs w:val="20"/>
                <w:color w:val="auto"/>
              </w:rPr>
            </w:pPr>
            <w:r>
              <w:rPr>
                <w:rFonts w:ascii="Arial" w:cs="Arial" w:eastAsia="Arial" w:hAnsi="Arial"/>
                <w:sz w:val="14"/>
                <w:szCs w:val="14"/>
                <w:color w:val="auto"/>
                <w:w w:val="85"/>
              </w:rPr>
              <w:t>$49</w:t>
            </w:r>
          </w:p>
        </w:tc>
        <w:tc>
          <w:tcPr>
            <w:tcW w:w="8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4"/>
                <w:szCs w:val="14"/>
                <w:color w:val="auto"/>
                <w:w w:val="94"/>
                <w:shd w:val="clear" w:color="auto" w:fill="CCEEFF"/>
              </w:rPr>
              <w:t>Projected closings to commence 2Q 2018</w:t>
            </w:r>
          </w:p>
        </w:tc>
        <w:tc>
          <w:tcPr>
            <w:tcW w:w="0" w:type="dxa"/>
            <w:vAlign w:val="bottom"/>
          </w:tcPr>
          <w:p>
            <w:pPr>
              <w:spacing w:after="0"/>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units</w:t>
            </w: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20" w:type="dxa"/>
            <w:vAlign w:val="bottom"/>
            <w:gridSpan w:val="3"/>
          </w:tcPr>
          <w:p>
            <w:pPr>
              <w:ind w:left="40"/>
              <w:spacing w:after="0"/>
              <w:rPr>
                <w:sz w:val="20"/>
                <w:szCs w:val="20"/>
                <w:color w:val="auto"/>
              </w:rPr>
            </w:pPr>
            <w:r>
              <w:rPr>
                <w:rFonts w:ascii="Arial" w:cs="Arial" w:eastAsia="Arial" w:hAnsi="Arial"/>
                <w:sz w:val="14"/>
                <w:szCs w:val="14"/>
                <w:color w:val="auto"/>
                <w:w w:val="94"/>
              </w:rPr>
              <w:t>Future Phases</w:t>
            </w:r>
          </w:p>
        </w:tc>
        <w:tc>
          <w:tcPr>
            <w:tcW w:w="1240" w:type="dxa"/>
            <w:vAlign w:val="bottom"/>
          </w:tcPr>
          <w:p>
            <w:pPr>
              <w:spacing w:after="0"/>
              <w:rPr>
                <w:sz w:val="16"/>
                <w:szCs w:val="16"/>
                <w:color w:val="auto"/>
              </w:rPr>
            </w:pPr>
          </w:p>
        </w:tc>
        <w:tc>
          <w:tcPr>
            <w:tcW w:w="1820" w:type="dxa"/>
            <w:vAlign w:val="bottom"/>
          </w:tcPr>
          <w:p>
            <w:pPr>
              <w:ind w:left="60"/>
              <w:spacing w:after="0"/>
              <w:rPr>
                <w:sz w:val="20"/>
                <w:szCs w:val="20"/>
                <w:color w:val="auto"/>
              </w:rPr>
            </w:pPr>
            <w:r>
              <w:rPr>
                <w:rFonts w:ascii="Arial" w:cs="Arial" w:eastAsia="Arial" w:hAnsi="Arial"/>
                <w:sz w:val="14"/>
                <w:szCs w:val="14"/>
                <w:color w:val="auto"/>
              </w:rPr>
              <w:t>- 1M SF of commercial</w:t>
            </w:r>
          </w:p>
        </w:tc>
        <w:tc>
          <w:tcPr>
            <w:tcW w:w="760" w:type="dxa"/>
            <w:vAlign w:val="bottom"/>
          </w:tcPr>
          <w:p>
            <w:pPr>
              <w:ind w:left="280"/>
              <w:spacing w:after="0"/>
              <w:rPr>
                <w:sz w:val="20"/>
                <w:szCs w:val="20"/>
                <w:color w:val="auto"/>
              </w:rPr>
            </w:pPr>
            <w:r>
              <w:rPr>
                <w:rFonts w:ascii="Arial" w:cs="Arial" w:eastAsia="Arial" w:hAnsi="Arial"/>
                <w:sz w:val="14"/>
                <w:szCs w:val="14"/>
                <w:color w:val="auto"/>
              </w:rPr>
              <w:t>TBD</w:t>
            </w:r>
          </w:p>
        </w:tc>
        <w:tc>
          <w:tcPr>
            <w:tcW w:w="220" w:type="dxa"/>
            <w:vAlign w:val="bottom"/>
          </w:tcPr>
          <w:p>
            <w:pPr>
              <w:spacing w:after="0"/>
              <w:rPr>
                <w:sz w:val="16"/>
                <w:szCs w:val="16"/>
                <w:color w:val="auto"/>
              </w:rPr>
            </w:pPr>
          </w:p>
        </w:tc>
        <w:tc>
          <w:tcPr>
            <w:tcW w:w="760" w:type="dxa"/>
            <w:vAlign w:val="bottom"/>
            <w:gridSpan w:val="2"/>
          </w:tcPr>
          <w:p>
            <w:pPr>
              <w:ind w:left="200"/>
              <w:spacing w:after="0"/>
              <w:rPr>
                <w:sz w:val="20"/>
                <w:szCs w:val="20"/>
                <w:color w:val="auto"/>
              </w:rPr>
            </w:pPr>
            <w:r>
              <w:rPr>
                <w:rFonts w:ascii="Arial" w:cs="Arial" w:eastAsia="Arial" w:hAnsi="Arial"/>
                <w:sz w:val="14"/>
                <w:szCs w:val="14"/>
                <w:color w:val="auto"/>
              </w:rPr>
              <w:t>TBD</w:t>
            </w: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820" w:type="dxa"/>
            <w:vAlign w:val="bottom"/>
          </w:tcPr>
          <w:p>
            <w:pPr>
              <w:ind w:left="60"/>
              <w:spacing w:after="0"/>
              <w:rPr>
                <w:sz w:val="20"/>
                <w:szCs w:val="20"/>
                <w:color w:val="auto"/>
              </w:rPr>
            </w:pPr>
            <w:r>
              <w:rPr>
                <w:rFonts w:ascii="Arial" w:cs="Arial" w:eastAsia="Arial" w:hAnsi="Arial"/>
                <w:sz w:val="14"/>
                <w:szCs w:val="14"/>
                <w:color w:val="auto"/>
              </w:rPr>
              <w:t>- 741 residential units</w:t>
            </w:r>
          </w:p>
        </w:tc>
        <w:tc>
          <w:tcPr>
            <w:tcW w:w="7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940" w:type="dxa"/>
            <w:vAlign w:val="bottom"/>
          </w:tcPr>
          <w:p>
            <w:pPr>
              <w:spacing w:after="0"/>
              <w:rPr>
                <w:sz w:val="7"/>
                <w:szCs w:val="7"/>
                <w:color w:val="auto"/>
              </w:rPr>
            </w:pPr>
          </w:p>
        </w:tc>
        <w:tc>
          <w:tcPr>
            <w:tcW w:w="2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8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4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gridSpan w:val="3"/>
          </w:tcPr>
          <w:p>
            <w:pPr>
              <w:ind w:left="40"/>
              <w:spacing w:after="0"/>
              <w:rPr>
                <w:sz w:val="20"/>
                <w:szCs w:val="20"/>
                <w:color w:val="auto"/>
              </w:rPr>
            </w:pPr>
            <w:r>
              <w:rPr>
                <w:rFonts w:ascii="Arial" w:cs="Arial" w:eastAsia="Arial" w:hAnsi="Arial"/>
                <w:sz w:val="14"/>
                <w:szCs w:val="14"/>
                <w:b w:val="1"/>
                <w:bCs w:val="1"/>
                <w:color w:val="auto"/>
                <w:w w:val="97"/>
              </w:rPr>
              <w:t>Santana Row</w:t>
            </w:r>
          </w:p>
        </w:tc>
        <w:tc>
          <w:tcPr>
            <w:tcW w:w="3120" w:type="dxa"/>
            <w:vAlign w:val="bottom"/>
          </w:tcPr>
          <w:p>
            <w:pPr>
              <w:ind w:left="40"/>
              <w:spacing w:after="0"/>
              <w:rPr>
                <w:sz w:val="20"/>
                <w:szCs w:val="20"/>
                <w:color w:val="auto"/>
              </w:rPr>
            </w:pPr>
            <w:r>
              <w:rPr>
                <w:rFonts w:ascii="Arial" w:cs="Arial" w:eastAsia="Arial" w:hAnsi="Arial"/>
                <w:sz w:val="14"/>
                <w:szCs w:val="14"/>
                <w:b w:val="1"/>
                <w:bCs w:val="1"/>
                <w:color w:val="auto"/>
              </w:rPr>
              <w:t>San Jose, CA</w:t>
            </w: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80" w:type="dxa"/>
            <w:vAlign w:val="bottom"/>
          </w:tcPr>
          <w:p>
            <w:pPr>
              <w:spacing w:after="0"/>
              <w:rPr>
                <w:sz w:val="14"/>
                <w:szCs w:val="14"/>
                <w:color w:val="auto"/>
              </w:rPr>
            </w:pPr>
          </w:p>
        </w:tc>
      </w:tr>
      <w:tr>
        <w:trPr>
          <w:trHeight w:val="88"/>
        </w:trPr>
        <w:tc>
          <w:tcPr>
            <w:tcW w:w="4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3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9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680" w:type="dxa"/>
            <w:vAlign w:val="bottom"/>
          </w:tcPr>
          <w:p>
            <w:pPr>
              <w:spacing w:after="0"/>
              <w:rPr>
                <w:sz w:val="7"/>
                <w:szCs w:val="7"/>
                <w:color w:val="auto"/>
              </w:rPr>
            </w:pPr>
          </w:p>
        </w:tc>
      </w:tr>
      <w:tr>
        <w:trPr>
          <w:trHeight w:val="165"/>
        </w:trPr>
        <w:tc>
          <w:tcPr>
            <w:tcW w:w="92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700 Santana</w:t>
            </w:r>
          </w:p>
        </w:tc>
        <w:tc>
          <w:tcPr>
            <w:tcW w:w="3120" w:type="dxa"/>
            <w:vAlign w:val="bottom"/>
            <w:shd w:val="clear" w:color="auto" w:fill="CCEEFF"/>
          </w:tcPr>
          <w:p>
            <w:pPr>
              <w:ind w:left="1300"/>
              <w:spacing w:after="0"/>
              <w:rPr>
                <w:sz w:val="20"/>
                <w:szCs w:val="20"/>
                <w:color w:val="auto"/>
              </w:rPr>
            </w:pPr>
            <w:r>
              <w:rPr>
                <w:rFonts w:ascii="Arial" w:cs="Arial" w:eastAsia="Arial" w:hAnsi="Arial"/>
                <w:sz w:val="14"/>
                <w:szCs w:val="14"/>
                <w:color w:val="auto"/>
              </w:rPr>
              <w:t>- 284,000 SF of office</w:t>
            </w:r>
          </w:p>
        </w:tc>
        <w:tc>
          <w:tcPr>
            <w:tcW w:w="740" w:type="dxa"/>
            <w:vAlign w:val="bottom"/>
            <w:shd w:val="clear" w:color="auto" w:fill="CCEEFF"/>
          </w:tcPr>
          <w:p>
            <w:pPr>
              <w:jc w:val="right"/>
              <w:ind w:right="212"/>
              <w:spacing w:after="0"/>
              <w:rPr>
                <w:sz w:val="20"/>
                <w:szCs w:val="20"/>
                <w:color w:val="auto"/>
              </w:rPr>
            </w:pPr>
            <w:r>
              <w:rPr>
                <w:rFonts w:ascii="Arial" w:cs="Arial" w:eastAsia="Arial" w:hAnsi="Arial"/>
                <w:sz w:val="14"/>
                <w:szCs w:val="14"/>
                <w:color w:val="auto"/>
              </w:rPr>
              <w:t>7%</w:t>
            </w:r>
          </w:p>
        </w:tc>
        <w:tc>
          <w:tcPr>
            <w:tcW w:w="96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$205 - 215</w:t>
            </w:r>
          </w:p>
        </w:tc>
        <w:tc>
          <w:tcPr>
            <w:tcW w:w="680" w:type="dxa"/>
            <w:vAlign w:val="bottom"/>
            <w:shd w:val="clear" w:color="auto" w:fill="CCEEFF"/>
          </w:tcPr>
          <w:p>
            <w:pPr>
              <w:jc w:val="right"/>
              <w:ind w:right="272"/>
              <w:spacing w:after="0"/>
              <w:rPr>
                <w:sz w:val="20"/>
                <w:szCs w:val="20"/>
                <w:color w:val="auto"/>
              </w:rPr>
            </w:pPr>
            <w:r>
              <w:rPr>
                <w:rFonts w:ascii="Arial" w:cs="Arial" w:eastAsia="Arial" w:hAnsi="Arial"/>
                <w:sz w:val="14"/>
                <w:szCs w:val="14"/>
                <w:color w:val="auto"/>
              </w:rPr>
              <w:t>$45</w:t>
            </w:r>
          </w:p>
        </w:tc>
        <w:tc>
          <w:tcPr>
            <w:tcW w:w="8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TBD</w:t>
            </w:r>
          </w:p>
        </w:tc>
        <w:tc>
          <w:tcPr>
            <w:tcW w:w="26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Commenced construction 4Q 2016</w:t>
            </w:r>
          </w:p>
        </w:tc>
      </w:tr>
      <w:tr>
        <w:trPr>
          <w:trHeight w:val="172"/>
        </w:trPr>
        <w:tc>
          <w:tcPr>
            <w:tcW w:w="92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Row</w:t>
            </w:r>
          </w:p>
        </w:tc>
        <w:tc>
          <w:tcPr>
            <w:tcW w:w="3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680" w:type="dxa"/>
            <w:vAlign w:val="bottom"/>
            <w:shd w:val="clear" w:color="auto" w:fill="CCEEFF"/>
          </w:tcPr>
          <w:p>
            <w:pPr>
              <w:spacing w:after="0"/>
              <w:rPr>
                <w:sz w:val="14"/>
                <w:szCs w:val="14"/>
                <w:color w:val="auto"/>
              </w:rPr>
            </w:pPr>
          </w:p>
        </w:tc>
      </w:tr>
      <w:tr>
        <w:trPr>
          <w:trHeight w:val="179"/>
        </w:trPr>
        <w:tc>
          <w:tcPr>
            <w:tcW w:w="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120" w:type="dxa"/>
            <w:vAlign w:val="bottom"/>
            <w:shd w:val="clear" w:color="auto" w:fill="CCEEFF"/>
          </w:tcPr>
          <w:p>
            <w:pPr>
              <w:ind w:left="1300"/>
              <w:spacing w:after="0"/>
              <w:rPr>
                <w:sz w:val="20"/>
                <w:szCs w:val="20"/>
                <w:color w:val="auto"/>
              </w:rPr>
            </w:pPr>
            <w:r>
              <w:rPr>
                <w:rFonts w:ascii="Arial" w:cs="Arial" w:eastAsia="Arial" w:hAnsi="Arial"/>
                <w:sz w:val="14"/>
                <w:szCs w:val="14"/>
                <w:color w:val="auto"/>
              </w:rPr>
              <w:t>- 29,000 SF of retail &amp; 1,300</w:t>
            </w:r>
          </w:p>
        </w:tc>
        <w:tc>
          <w:tcPr>
            <w:tcW w:w="7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6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Opening projected 2019</w:t>
            </w:r>
          </w:p>
        </w:tc>
      </w:tr>
      <w:tr>
        <w:trPr>
          <w:trHeight w:val="186"/>
        </w:trPr>
        <w:tc>
          <w:tcPr>
            <w:tcW w:w="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120" w:type="dxa"/>
            <w:vAlign w:val="bottom"/>
            <w:shd w:val="clear" w:color="auto" w:fill="CCEEFF"/>
          </w:tcPr>
          <w:p>
            <w:pPr>
              <w:ind w:left="1280"/>
              <w:spacing w:after="0"/>
              <w:rPr>
                <w:sz w:val="20"/>
                <w:szCs w:val="20"/>
                <w:color w:val="auto"/>
              </w:rPr>
            </w:pPr>
            <w:r>
              <w:rPr>
                <w:rFonts w:ascii="Arial" w:cs="Arial" w:eastAsia="Arial" w:hAnsi="Arial"/>
                <w:sz w:val="14"/>
                <w:szCs w:val="14"/>
                <w:color w:val="auto"/>
              </w:rPr>
              <w:t>parking spaces</w:t>
            </w:r>
          </w:p>
        </w:tc>
        <w:tc>
          <w:tcPr>
            <w:tcW w:w="7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680" w:type="dxa"/>
            <w:vAlign w:val="bottom"/>
            <w:shd w:val="clear" w:color="auto" w:fill="CCEEFF"/>
          </w:tcPr>
          <w:p>
            <w:pPr>
              <w:spacing w:after="0"/>
              <w:rPr>
                <w:sz w:val="16"/>
                <w:szCs w:val="16"/>
                <w:color w:val="auto"/>
              </w:rPr>
            </w:pPr>
          </w:p>
        </w:tc>
      </w:tr>
      <w:tr>
        <w:trPr>
          <w:trHeight w:val="189"/>
        </w:trPr>
        <w:tc>
          <w:tcPr>
            <w:tcW w:w="920" w:type="dxa"/>
            <w:vAlign w:val="bottom"/>
            <w:gridSpan w:val="3"/>
          </w:tcPr>
          <w:p>
            <w:pPr>
              <w:ind w:left="40"/>
              <w:spacing w:after="0"/>
              <w:rPr>
                <w:sz w:val="20"/>
                <w:szCs w:val="20"/>
                <w:color w:val="auto"/>
              </w:rPr>
            </w:pPr>
            <w:r>
              <w:rPr>
                <w:rFonts w:ascii="Arial" w:cs="Arial" w:eastAsia="Arial" w:hAnsi="Arial"/>
                <w:sz w:val="14"/>
                <w:szCs w:val="14"/>
                <w:color w:val="auto"/>
                <w:w w:val="94"/>
              </w:rPr>
              <w:t>Future Phases</w:t>
            </w:r>
          </w:p>
        </w:tc>
        <w:tc>
          <w:tcPr>
            <w:tcW w:w="3120" w:type="dxa"/>
            <w:vAlign w:val="bottom"/>
          </w:tcPr>
          <w:p>
            <w:pPr>
              <w:ind w:left="1300"/>
              <w:spacing w:after="0"/>
              <w:rPr>
                <w:sz w:val="20"/>
                <w:szCs w:val="20"/>
                <w:color w:val="auto"/>
              </w:rPr>
            </w:pPr>
            <w:r>
              <w:rPr>
                <w:rFonts w:ascii="Arial" w:cs="Arial" w:eastAsia="Arial" w:hAnsi="Arial"/>
                <w:sz w:val="14"/>
                <w:szCs w:val="14"/>
                <w:color w:val="auto"/>
              </w:rPr>
              <w:t>- 321,000 SF of commercial</w:t>
            </w:r>
          </w:p>
        </w:tc>
        <w:tc>
          <w:tcPr>
            <w:tcW w:w="740" w:type="dxa"/>
            <w:vAlign w:val="bottom"/>
          </w:tcPr>
          <w:p>
            <w:pPr>
              <w:jc w:val="center"/>
              <w:spacing w:after="0"/>
              <w:rPr>
                <w:sz w:val="20"/>
                <w:szCs w:val="20"/>
                <w:color w:val="auto"/>
              </w:rPr>
            </w:pPr>
            <w:r>
              <w:rPr>
                <w:rFonts w:ascii="Arial" w:cs="Arial" w:eastAsia="Arial" w:hAnsi="Arial"/>
                <w:sz w:val="14"/>
                <w:szCs w:val="14"/>
                <w:color w:val="auto"/>
                <w:w w:val="99"/>
              </w:rPr>
              <w:t>TBD</w:t>
            </w:r>
          </w:p>
        </w:tc>
        <w:tc>
          <w:tcPr>
            <w:tcW w:w="960" w:type="dxa"/>
            <w:vAlign w:val="bottom"/>
          </w:tcPr>
          <w:p>
            <w:pPr>
              <w:jc w:val="center"/>
              <w:ind w:left="12"/>
              <w:spacing w:after="0"/>
              <w:rPr>
                <w:sz w:val="20"/>
                <w:szCs w:val="20"/>
                <w:color w:val="auto"/>
              </w:rPr>
            </w:pPr>
            <w:r>
              <w:rPr>
                <w:rFonts w:ascii="Arial" w:cs="Arial" w:eastAsia="Arial" w:hAnsi="Arial"/>
                <w:sz w:val="14"/>
                <w:szCs w:val="14"/>
                <w:color w:val="auto"/>
                <w:w w:val="99"/>
              </w:rPr>
              <w:t>TBD</w:t>
            </w: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80" w:type="dxa"/>
            <w:vAlign w:val="bottom"/>
          </w:tcPr>
          <w:p>
            <w:pPr>
              <w:spacing w:after="0"/>
              <w:rPr>
                <w:sz w:val="16"/>
                <w:szCs w:val="16"/>
                <w:color w:val="auto"/>
              </w:rPr>
            </w:pPr>
          </w:p>
        </w:tc>
      </w:tr>
    </w:tbl>
    <w:p>
      <w:pPr>
        <w:spacing w:after="0" w:line="98" w:lineRule="exact"/>
        <w:rPr>
          <w:sz w:val="20"/>
          <w:szCs w:val="20"/>
          <w:color w:val="auto"/>
        </w:rPr>
      </w:pPr>
    </w:p>
    <w:p>
      <w:pPr>
        <w:ind w:left="2220"/>
        <w:spacing w:after="0"/>
        <w:rPr>
          <w:sz w:val="20"/>
          <w:szCs w:val="20"/>
          <w:color w:val="auto"/>
        </w:rPr>
      </w:pPr>
      <w:r>
        <w:rPr>
          <w:rFonts w:ascii="Arial" w:cs="Arial" w:eastAsia="Arial" w:hAnsi="Arial"/>
          <w:sz w:val="14"/>
          <w:szCs w:val="14"/>
          <w:color w:val="auto"/>
        </w:rPr>
        <w:t>- 395 residential units</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Notes:</w:t>
      </w:r>
    </w:p>
    <w:p>
      <w:pPr>
        <w:spacing w:after="0" w:line="198" w:lineRule="exact"/>
        <w:rPr>
          <w:sz w:val="20"/>
          <w:szCs w:val="20"/>
          <w:color w:val="auto"/>
        </w:rPr>
      </w:pPr>
    </w:p>
    <w:p>
      <w:pPr>
        <w:ind w:left="500" w:right="180" w:hanging="465"/>
        <w:spacing w:after="0" w:line="239" w:lineRule="auto"/>
        <w:tabs>
          <w:tab w:leader="none" w:pos="5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Anticipated opening dates, total cost, projected return on investment (ROI), and projected POI percentages are subject to adjustment as a result of factors inherent in the development process, some of which may not be</w:t>
      </w:r>
    </w:p>
    <w:p>
      <w:pPr>
        <w:spacing w:after="0" w:line="30" w:lineRule="exact"/>
        <w:rPr>
          <w:rFonts w:ascii="Arial" w:cs="Arial" w:eastAsia="Arial" w:hAnsi="Arial"/>
          <w:sz w:val="14"/>
          <w:szCs w:val="14"/>
          <w:color w:val="auto"/>
        </w:rPr>
      </w:pPr>
    </w:p>
    <w:p>
      <w:pPr>
        <w:ind w:left="500"/>
        <w:spacing w:after="0"/>
        <w:rPr>
          <w:rFonts w:ascii="Arial" w:cs="Arial" w:eastAsia="Arial" w:hAnsi="Arial"/>
          <w:sz w:val="14"/>
          <w:szCs w:val="14"/>
          <w:color w:val="auto"/>
        </w:rPr>
      </w:pPr>
      <w:r>
        <w:rPr>
          <w:rFonts w:ascii="Arial" w:cs="Arial" w:eastAsia="Arial" w:hAnsi="Arial"/>
          <w:sz w:val="14"/>
          <w:szCs w:val="14"/>
          <w:color w:val="auto"/>
        </w:rPr>
        <w:t>under the direct control of the Company. Refer to the Company's filings with the Securities and Exchange Commission on Form 10-K and Form 10-Q for other risk factors.</w:t>
      </w:r>
    </w:p>
    <w:p>
      <w:pPr>
        <w:spacing w:after="0" w:line="41" w:lineRule="exact"/>
        <w:rPr>
          <w:rFonts w:ascii="Arial" w:cs="Arial" w:eastAsia="Arial" w:hAnsi="Arial"/>
          <w:sz w:val="14"/>
          <w:szCs w:val="14"/>
          <w:color w:val="auto"/>
        </w:rPr>
      </w:pPr>
    </w:p>
    <w:p>
      <w:pPr>
        <w:ind w:left="500"/>
        <w:spacing w:after="0"/>
        <w:rPr>
          <w:rFonts w:ascii="Arial" w:cs="Arial" w:eastAsia="Arial" w:hAnsi="Arial"/>
          <w:sz w:val="14"/>
          <w:szCs w:val="14"/>
          <w:color w:val="auto"/>
        </w:rPr>
      </w:pPr>
      <w:r>
        <w:rPr>
          <w:rFonts w:ascii="Arial" w:cs="Arial" w:eastAsia="Arial" w:hAnsi="Arial"/>
          <w:sz w:val="12"/>
          <w:szCs w:val="12"/>
          <w:color w:val="auto"/>
        </w:rPr>
        <w:t>Percentage figures reflect (i) the projected POI (herein defined) for the stated year divided by (ii) the current projected annual stabilized POI for the Property. These percentages are projections only and</w:t>
      </w:r>
    </w:p>
    <w:p>
      <w:pPr>
        <w:spacing w:after="0" w:line="22" w:lineRule="exact"/>
        <w:rPr>
          <w:rFonts w:ascii="Arial" w:cs="Arial" w:eastAsia="Arial" w:hAnsi="Arial"/>
          <w:sz w:val="14"/>
          <w:szCs w:val="14"/>
          <w:color w:val="auto"/>
        </w:rPr>
      </w:pPr>
    </w:p>
    <w:p>
      <w:pPr>
        <w:ind w:left="500" w:hanging="465"/>
        <w:spacing w:after="0"/>
        <w:tabs>
          <w:tab w:leader="none" w:pos="5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we cannot give any</w:t>
      </w:r>
    </w:p>
    <w:p>
      <w:pPr>
        <w:spacing w:after="0" w:line="29" w:lineRule="exact"/>
        <w:rPr>
          <w:rFonts w:ascii="Arial" w:cs="Arial" w:eastAsia="Arial" w:hAnsi="Arial"/>
          <w:sz w:val="14"/>
          <w:szCs w:val="14"/>
          <w:color w:val="auto"/>
        </w:rPr>
      </w:pPr>
    </w:p>
    <w:p>
      <w:pPr>
        <w:ind w:left="500"/>
        <w:spacing w:after="0"/>
        <w:rPr>
          <w:rFonts w:ascii="Arial" w:cs="Arial" w:eastAsia="Arial" w:hAnsi="Arial"/>
          <w:sz w:val="14"/>
          <w:szCs w:val="14"/>
          <w:color w:val="auto"/>
        </w:rPr>
      </w:pPr>
      <w:r>
        <w:rPr>
          <w:rFonts w:ascii="Arial" w:cs="Arial" w:eastAsia="Arial" w:hAnsi="Arial"/>
          <w:sz w:val="14"/>
          <w:szCs w:val="14"/>
          <w:color w:val="auto"/>
        </w:rPr>
        <w:t>assurances that these amounts will actually be achieved.</w:t>
      </w:r>
    </w:p>
    <w:p>
      <w:pPr>
        <w:spacing w:after="0" w:line="41" w:lineRule="exact"/>
        <w:rPr>
          <w:rFonts w:ascii="Arial" w:cs="Arial" w:eastAsia="Arial" w:hAnsi="Arial"/>
          <w:sz w:val="14"/>
          <w:szCs w:val="14"/>
          <w:color w:val="auto"/>
        </w:rPr>
      </w:pPr>
    </w:p>
    <w:p>
      <w:pPr>
        <w:ind w:left="500" w:hanging="465"/>
        <w:spacing w:after="0"/>
        <w:tabs>
          <w:tab w:leader="none" w:pos="5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Projected ROI for development projects reflects the unleveraged Property Operating Income (POI) generated by the development and is calculated as POI divided by cost.</w:t>
      </w:r>
    </w:p>
    <w:p>
      <w:pPr>
        <w:spacing w:after="0" w:line="41" w:lineRule="exact"/>
        <w:rPr>
          <w:rFonts w:ascii="Arial" w:cs="Arial" w:eastAsia="Arial" w:hAnsi="Arial"/>
          <w:sz w:val="14"/>
          <w:szCs w:val="14"/>
          <w:color w:val="auto"/>
        </w:rPr>
      </w:pPr>
    </w:p>
    <w:p>
      <w:pPr>
        <w:ind w:left="500" w:hanging="465"/>
        <w:spacing w:after="0"/>
        <w:tabs>
          <w:tab w:leader="none" w:pos="5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Projected costs for Assembly Row and Pike &amp; Rose include an allocation of infrastructure costs for the entire project.</w:t>
      </w:r>
    </w:p>
    <w:p>
      <w:pPr>
        <w:spacing w:after="0" w:line="41" w:lineRule="exact"/>
        <w:rPr>
          <w:rFonts w:ascii="Arial" w:cs="Arial" w:eastAsia="Arial" w:hAnsi="Arial"/>
          <w:sz w:val="14"/>
          <w:szCs w:val="14"/>
          <w:color w:val="auto"/>
        </w:rPr>
      </w:pPr>
    </w:p>
    <w:p>
      <w:pPr>
        <w:ind w:left="500" w:hanging="465"/>
        <w:spacing w:after="0"/>
        <w:tabs>
          <w:tab w:leader="none" w:pos="500" w:val="left"/>
        </w:tabs>
        <w:numPr>
          <w:ilvl w:val="0"/>
          <w:numId w:val="15"/>
        </w:numPr>
        <w:rPr>
          <w:rFonts w:ascii="Arial" w:cs="Arial" w:eastAsia="Arial" w:hAnsi="Arial"/>
          <w:sz w:val="12"/>
          <w:szCs w:val="12"/>
          <w:color w:val="auto"/>
        </w:rPr>
      </w:pPr>
      <w:r>
        <w:rPr>
          <w:rFonts w:ascii="Arial" w:cs="Arial" w:eastAsia="Arial" w:hAnsi="Arial"/>
          <w:sz w:val="12"/>
          <w:szCs w:val="12"/>
          <w:color w:val="auto"/>
        </w:rPr>
        <w:t>Costs are net of expected reimbursement by third parties and land sale proceeds from expected exercise of option. Phase II total costs include our share of the costs in the hotel.</w:t>
      </w:r>
    </w:p>
    <w:p>
      <w:pPr>
        <w:spacing w:after="0" w:line="64" w:lineRule="exact"/>
        <w:rPr>
          <w:rFonts w:ascii="Arial" w:cs="Arial" w:eastAsia="Arial" w:hAnsi="Arial"/>
          <w:sz w:val="12"/>
          <w:szCs w:val="12"/>
          <w:color w:val="auto"/>
        </w:rPr>
      </w:pPr>
    </w:p>
    <w:p>
      <w:pPr>
        <w:ind w:left="500"/>
        <w:spacing w:after="0"/>
        <w:rPr>
          <w:rFonts w:ascii="Arial" w:cs="Arial" w:eastAsia="Arial" w:hAnsi="Arial"/>
          <w:sz w:val="12"/>
          <w:szCs w:val="12"/>
          <w:color w:val="auto"/>
        </w:rPr>
      </w:pPr>
      <w:r>
        <w:rPr>
          <w:rFonts w:ascii="Arial" w:cs="Arial" w:eastAsia="Arial" w:hAnsi="Arial"/>
          <w:sz w:val="12"/>
          <w:szCs w:val="12"/>
          <w:color w:val="auto"/>
        </w:rPr>
        <w:t>Condominiums shown at cost; the projected ROI for Phase II does not assume any incremental profit on the sale of condominium units; for return calculation purposes, condominiums are assumed to be</w:t>
      </w:r>
    </w:p>
    <w:p>
      <w:pPr>
        <w:spacing w:after="0" w:line="22" w:lineRule="exact"/>
        <w:rPr>
          <w:rFonts w:ascii="Arial" w:cs="Arial" w:eastAsia="Arial" w:hAnsi="Arial"/>
          <w:sz w:val="12"/>
          <w:szCs w:val="12"/>
          <w:color w:val="auto"/>
        </w:rPr>
      </w:pPr>
    </w:p>
    <w:p>
      <w:pPr>
        <w:ind w:left="500" w:hanging="465"/>
        <w:spacing w:after="0"/>
        <w:tabs>
          <w:tab w:leader="none" w:pos="5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sold at cost.</w:t>
      </w:r>
    </w:p>
    <w:p>
      <w:pPr>
        <w:spacing w:after="0" w:line="29" w:lineRule="exact"/>
        <w:rPr>
          <w:rFonts w:ascii="Arial" w:cs="Arial" w:eastAsia="Arial" w:hAnsi="Arial"/>
          <w:sz w:val="14"/>
          <w:szCs w:val="14"/>
          <w:color w:val="auto"/>
        </w:rPr>
      </w:pPr>
    </w:p>
    <w:p>
      <w:pPr>
        <w:ind w:left="500" w:hanging="465"/>
        <w:spacing w:after="0"/>
        <w:tabs>
          <w:tab w:leader="none" w:pos="5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Excludes approximately $9 million of costs incurred to date of which we have claims for recovery against 3rd parties.</w:t>
      </w:r>
    </w:p>
    <w:p>
      <w:pPr>
        <w:sectPr>
          <w:pgSz w:w="11900" w:h="16838" w:orient="portrait"/>
          <w:cols w:equalWidth="0" w:num="1">
            <w:col w:w="11420"/>
          </w:cols>
          <w:pgMar w:left="240" w:top="760" w:right="239" w:bottom="1440" w:gutter="0" w:footer="0" w:header="0"/>
        </w:sect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760" w:right="2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6"/>
          <w:szCs w:val="16"/>
          <w:b w:val="1"/>
          <w:bCs w:val="1"/>
          <w:color w:val="auto"/>
        </w:rPr>
        <w:t>Federal Realty Investment Trust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Assembly Row Site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848985" cy="75895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48985" cy="7589520"/>
                    </a:xfrm>
                    <a:prstGeom prst="rect">
                      <a:avLst/>
                    </a:prstGeom>
                    <a:noFill/>
                  </pic:spPr>
                </pic:pic>
              </a:graphicData>
            </a:graphic>
          </wp:anchor>
        </w:drawing>
      </w:r>
    </w:p>
    <w:p>
      <w:pPr>
        <w:sectPr>
          <w:pgSz w:w="11900" w:h="16838" w:orient="portrait"/>
          <w:cols w:equalWidth="0" w:num="1">
            <w:col w:w="10219"/>
          </w:cols>
          <w:pgMar w:left="240" w:top="58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0219"/>
          </w:cols>
          <w:pgMar w:left="240" w:top="580" w:right="1440"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6"/>
          <w:szCs w:val="16"/>
          <w:b w:val="1"/>
          <w:bCs w:val="1"/>
          <w:color w:val="auto"/>
        </w:rPr>
        <w:t>Federal Realty Investment Trust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Pike &amp; Rose Site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848985" cy="75895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48985" cy="7589520"/>
                    </a:xfrm>
                    <a:prstGeom prst="rect">
                      <a:avLst/>
                    </a:prstGeom>
                    <a:noFill/>
                  </pic:spPr>
                </pic:pic>
              </a:graphicData>
            </a:graphic>
          </wp:anchor>
        </w:drawing>
      </w:r>
    </w:p>
    <w:p>
      <w:pPr>
        <w:sectPr>
          <w:pgSz w:w="11900" w:h="16838" w:orient="portrait"/>
          <w:cols w:equalWidth="0" w:num="1">
            <w:col w:w="10219"/>
          </w:cols>
          <w:pgMar w:left="240" w:top="58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0219"/>
          </w:cols>
          <w:pgMar w:left="240" w:top="580" w:right="1440" w:bottom="1440" w:gutter="0" w:footer="0" w:header="0"/>
          <w:type w:val="continuous"/>
        </w:sectPr>
      </w:pPr>
    </w:p>
    <w:bookmarkStart w:id="24" w:name="page25"/>
    <w:bookmarkEnd w:id="24"/>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Future Redevelopment Opportunities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September 30, 2017</w:t>
      </w:r>
    </w:p>
    <w:p>
      <w:pPr>
        <w:spacing w:after="0" w:line="374" w:lineRule="exact"/>
        <w:rPr>
          <w:sz w:val="20"/>
          <w:szCs w:val="20"/>
          <w:color w:val="auto"/>
        </w:rPr>
      </w:pPr>
    </w:p>
    <w:p>
      <w:pPr>
        <w:ind w:left="40" w:right="40"/>
        <w:spacing w:after="0" w:line="273" w:lineRule="auto"/>
        <w:rPr>
          <w:sz w:val="20"/>
          <w:szCs w:val="20"/>
          <w:color w:val="auto"/>
        </w:rPr>
      </w:pPr>
      <w:r>
        <w:rPr>
          <w:rFonts w:ascii="Arial" w:cs="Arial" w:eastAsia="Arial" w:hAnsi="Arial"/>
          <w:sz w:val="16"/>
          <w:szCs w:val="16"/>
          <w:b w:val="1"/>
          <w:bCs w:val="1"/>
          <w:i w:val="1"/>
          <w:iCs w:val="1"/>
          <w:color w:val="auto"/>
        </w:rPr>
        <w:t>We have identified the following potential opportunities to create future shareholder value. Executing these opportunities could be subject to government approvals, tenant consents, market conditions, etc. Work on many of these new opportunities is in its preliminary stages and may not ultimately come to fruition. This list will change from time to time as we identify hurdles that cannot be overcome in the near term, and focus on those opportunities that are most likely to lead to the creation of shareholder value over time.</w:t>
      </w:r>
    </w:p>
    <w:p>
      <w:pPr>
        <w:spacing w:after="0" w:line="320" w:lineRule="exact"/>
        <w:rPr>
          <w:sz w:val="20"/>
          <w:szCs w:val="20"/>
          <w:color w:val="auto"/>
        </w:rPr>
      </w:pPr>
    </w:p>
    <w:p>
      <w:pPr>
        <w:ind w:left="40" w:right="960"/>
        <w:spacing w:after="0" w:line="290" w:lineRule="auto"/>
        <w:rPr>
          <w:sz w:val="20"/>
          <w:szCs w:val="20"/>
          <w:color w:val="auto"/>
        </w:rPr>
      </w:pPr>
      <w:r>
        <w:rPr>
          <w:rFonts w:ascii="Arial" w:cs="Arial" w:eastAsia="Arial" w:hAnsi="Arial"/>
          <w:sz w:val="16"/>
          <w:szCs w:val="16"/>
          <w:b w:val="1"/>
          <w:bCs w:val="1"/>
          <w:color w:val="auto"/>
        </w:rPr>
        <w:t>Pad Site Opportunities - Opportunities to add both single tenant and multi-tenant stand alone pad buildings at existing retail properties. Many of these opportunities are "by right" and construction is awaiting appropriate retailer demand.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Bethesda Row</w:t>
            </w:r>
          </w:p>
        </w:tc>
        <w:tc>
          <w:tcPr>
            <w:tcW w:w="21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Bethesda, MD</w:t>
            </w:r>
          </w:p>
        </w:tc>
        <w:tc>
          <w:tcPr>
            <w:tcW w:w="24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b w:val="1"/>
                <w:bCs w:val="1"/>
                <w:color w:val="auto"/>
              </w:rPr>
              <w:t>Melville Mall</w:t>
            </w:r>
          </w:p>
        </w:tc>
        <w:tc>
          <w:tcPr>
            <w:tcW w:w="44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Huntington, NY</w:t>
            </w:r>
          </w:p>
        </w:tc>
      </w:tr>
      <w:tr>
        <w:trPr>
          <w:trHeight w:val="237"/>
        </w:trPr>
        <w:tc>
          <w:tcPr>
            <w:tcW w:w="2420" w:type="dxa"/>
            <w:vAlign w:val="bottom"/>
          </w:tcPr>
          <w:p>
            <w:pPr>
              <w:ind w:left="380"/>
              <w:spacing w:after="0"/>
              <w:rPr>
                <w:sz w:val="20"/>
                <w:szCs w:val="20"/>
                <w:color w:val="auto"/>
              </w:rPr>
            </w:pPr>
            <w:r>
              <w:rPr>
                <w:rFonts w:ascii="Arial" w:cs="Arial" w:eastAsia="Arial" w:hAnsi="Arial"/>
                <w:sz w:val="16"/>
                <w:szCs w:val="16"/>
                <w:b w:val="1"/>
                <w:bCs w:val="1"/>
                <w:color w:val="auto"/>
              </w:rPr>
              <w:t>Escondido Promenade</w:t>
            </w:r>
          </w:p>
        </w:tc>
        <w:tc>
          <w:tcPr>
            <w:tcW w:w="2120" w:type="dxa"/>
            <w:vAlign w:val="bottom"/>
          </w:tcPr>
          <w:p>
            <w:pPr>
              <w:ind w:left="480"/>
              <w:spacing w:after="0"/>
              <w:rPr>
                <w:sz w:val="20"/>
                <w:szCs w:val="20"/>
                <w:color w:val="auto"/>
              </w:rPr>
            </w:pPr>
            <w:r>
              <w:rPr>
                <w:rFonts w:ascii="Arial" w:cs="Arial" w:eastAsia="Arial" w:hAnsi="Arial"/>
                <w:sz w:val="16"/>
                <w:szCs w:val="16"/>
                <w:color w:val="auto"/>
              </w:rPr>
              <w:t>Escondido, CA</w:t>
            </w:r>
          </w:p>
        </w:tc>
        <w:tc>
          <w:tcPr>
            <w:tcW w:w="2420" w:type="dxa"/>
            <w:vAlign w:val="bottom"/>
          </w:tcPr>
          <w:p>
            <w:pPr>
              <w:ind w:left="660"/>
              <w:spacing w:after="0"/>
              <w:rPr>
                <w:sz w:val="20"/>
                <w:szCs w:val="20"/>
                <w:color w:val="auto"/>
              </w:rPr>
            </w:pPr>
            <w:r>
              <w:rPr>
                <w:rFonts w:ascii="Arial" w:cs="Arial" w:eastAsia="Arial" w:hAnsi="Arial"/>
                <w:sz w:val="16"/>
                <w:szCs w:val="16"/>
                <w:b w:val="1"/>
                <w:bCs w:val="1"/>
                <w:color w:val="auto"/>
              </w:rPr>
              <w:t>Mercer Mall</w:t>
            </w:r>
          </w:p>
        </w:tc>
        <w:tc>
          <w:tcPr>
            <w:tcW w:w="4460" w:type="dxa"/>
            <w:vAlign w:val="bottom"/>
          </w:tcPr>
          <w:p>
            <w:pPr>
              <w:ind w:left="860"/>
              <w:spacing w:after="0"/>
              <w:rPr>
                <w:sz w:val="20"/>
                <w:szCs w:val="20"/>
                <w:color w:val="auto"/>
              </w:rPr>
            </w:pPr>
            <w:r>
              <w:rPr>
                <w:rFonts w:ascii="Arial" w:cs="Arial" w:eastAsia="Arial" w:hAnsi="Arial"/>
                <w:sz w:val="16"/>
                <w:szCs w:val="16"/>
                <w:color w:val="auto"/>
              </w:rPr>
              <w:t>Lawrenceville, NJ</w:t>
            </w:r>
          </w:p>
        </w:tc>
      </w:tr>
      <w:tr>
        <w:trPr>
          <w:trHeight w:val="33"/>
        </w:trPr>
        <w:tc>
          <w:tcPr>
            <w:tcW w:w="24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4460" w:type="dxa"/>
            <w:vAlign w:val="bottom"/>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Federal Plaza</w:t>
            </w:r>
          </w:p>
        </w:tc>
        <w:tc>
          <w:tcPr>
            <w:tcW w:w="21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Rockville, MD</w:t>
            </w:r>
          </w:p>
        </w:tc>
        <w:tc>
          <w:tcPr>
            <w:tcW w:w="24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b w:val="1"/>
                <w:bCs w:val="1"/>
                <w:color w:val="auto"/>
              </w:rPr>
              <w:t>Pan Am</w:t>
            </w:r>
          </w:p>
        </w:tc>
        <w:tc>
          <w:tcPr>
            <w:tcW w:w="44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Fairfax, VA</w:t>
            </w:r>
          </w:p>
        </w:tc>
      </w:tr>
      <w:tr>
        <w:trPr>
          <w:trHeight w:val="237"/>
        </w:trPr>
        <w:tc>
          <w:tcPr>
            <w:tcW w:w="2420" w:type="dxa"/>
            <w:vAlign w:val="bottom"/>
          </w:tcPr>
          <w:p>
            <w:pPr>
              <w:ind w:left="380"/>
              <w:spacing w:after="0"/>
              <w:rPr>
                <w:sz w:val="20"/>
                <w:szCs w:val="20"/>
                <w:color w:val="auto"/>
              </w:rPr>
            </w:pPr>
            <w:r>
              <w:rPr>
                <w:rFonts w:ascii="Arial" w:cs="Arial" w:eastAsia="Arial" w:hAnsi="Arial"/>
                <w:sz w:val="16"/>
                <w:szCs w:val="16"/>
                <w:b w:val="1"/>
                <w:bCs w:val="1"/>
                <w:color w:val="auto"/>
              </w:rPr>
              <w:t>Flourtown</w:t>
            </w:r>
          </w:p>
        </w:tc>
        <w:tc>
          <w:tcPr>
            <w:tcW w:w="2120" w:type="dxa"/>
            <w:vAlign w:val="bottom"/>
          </w:tcPr>
          <w:p>
            <w:pPr>
              <w:ind w:left="480"/>
              <w:spacing w:after="0"/>
              <w:rPr>
                <w:sz w:val="20"/>
                <w:szCs w:val="20"/>
                <w:color w:val="auto"/>
              </w:rPr>
            </w:pPr>
            <w:r>
              <w:rPr>
                <w:rFonts w:ascii="Arial" w:cs="Arial" w:eastAsia="Arial" w:hAnsi="Arial"/>
                <w:sz w:val="16"/>
                <w:szCs w:val="16"/>
                <w:color w:val="auto"/>
              </w:rPr>
              <w:t>Flourtown, PA</w:t>
            </w:r>
          </w:p>
        </w:tc>
        <w:tc>
          <w:tcPr>
            <w:tcW w:w="2420" w:type="dxa"/>
            <w:vAlign w:val="bottom"/>
          </w:tcPr>
          <w:p>
            <w:pPr>
              <w:ind w:left="660"/>
              <w:spacing w:after="0"/>
              <w:rPr>
                <w:sz w:val="20"/>
                <w:szCs w:val="20"/>
                <w:color w:val="auto"/>
              </w:rPr>
            </w:pPr>
            <w:r>
              <w:rPr>
                <w:rFonts w:ascii="Arial" w:cs="Arial" w:eastAsia="Arial" w:hAnsi="Arial"/>
                <w:sz w:val="16"/>
                <w:szCs w:val="16"/>
                <w:b w:val="1"/>
                <w:bCs w:val="1"/>
                <w:color w:val="auto"/>
              </w:rPr>
              <w:t>Wildwood</w:t>
            </w:r>
          </w:p>
        </w:tc>
        <w:tc>
          <w:tcPr>
            <w:tcW w:w="4460" w:type="dxa"/>
            <w:vAlign w:val="bottom"/>
          </w:tcPr>
          <w:p>
            <w:pPr>
              <w:ind w:left="860"/>
              <w:spacing w:after="0"/>
              <w:rPr>
                <w:sz w:val="20"/>
                <w:szCs w:val="20"/>
                <w:color w:val="auto"/>
              </w:rPr>
            </w:pPr>
            <w:r>
              <w:rPr>
                <w:rFonts w:ascii="Arial" w:cs="Arial" w:eastAsia="Arial" w:hAnsi="Arial"/>
                <w:sz w:val="16"/>
                <w:szCs w:val="16"/>
                <w:color w:val="auto"/>
              </w:rPr>
              <w:t>Bethesda, MD</w:t>
            </w:r>
          </w:p>
        </w:tc>
      </w:tr>
      <w:tr>
        <w:trPr>
          <w:trHeight w:val="33"/>
        </w:trPr>
        <w:tc>
          <w:tcPr>
            <w:tcW w:w="24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4460" w:type="dxa"/>
            <w:vAlign w:val="bottom"/>
          </w:tcPr>
          <w:p>
            <w:pPr>
              <w:spacing w:after="0"/>
              <w:rPr>
                <w:sz w:val="2"/>
                <w:szCs w:val="2"/>
                <w:color w:val="auto"/>
              </w:rPr>
            </w:pPr>
          </w:p>
        </w:tc>
      </w:tr>
      <w:tr>
        <w:trPr>
          <w:trHeight w:val="237"/>
        </w:trPr>
        <w:tc>
          <w:tcPr>
            <w:tcW w:w="2420" w:type="dxa"/>
            <w:vAlign w:val="bottom"/>
            <w:shd w:val="clear" w:color="auto" w:fill="CCEEFF"/>
          </w:tcPr>
          <w:p>
            <w:pPr>
              <w:ind w:left="380"/>
              <w:spacing w:after="0"/>
              <w:rPr>
                <w:sz w:val="20"/>
                <w:szCs w:val="20"/>
                <w:color w:val="auto"/>
              </w:rPr>
            </w:pPr>
            <w:r>
              <w:rPr>
                <w:rFonts w:ascii="Arial" w:cs="Arial" w:eastAsia="Arial" w:hAnsi="Arial"/>
                <w:sz w:val="16"/>
                <w:szCs w:val="16"/>
                <w:b w:val="1"/>
                <w:bCs w:val="1"/>
                <w:color w:val="auto"/>
              </w:rPr>
              <w:t>Fresh Meadows</w:t>
            </w:r>
          </w:p>
        </w:tc>
        <w:tc>
          <w:tcPr>
            <w:tcW w:w="21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Queens, NY</w:t>
            </w:r>
          </w:p>
        </w:tc>
        <w:tc>
          <w:tcPr>
            <w:tcW w:w="2420" w:type="dxa"/>
            <w:vAlign w:val="bottom"/>
            <w:shd w:val="clear" w:color="auto" w:fill="CCEEFF"/>
          </w:tcPr>
          <w:p>
            <w:pPr>
              <w:spacing w:after="0"/>
              <w:rPr>
                <w:sz w:val="20"/>
                <w:szCs w:val="20"/>
                <w:color w:val="auto"/>
              </w:rPr>
            </w:pPr>
          </w:p>
        </w:tc>
        <w:tc>
          <w:tcPr>
            <w:tcW w:w="4460" w:type="dxa"/>
            <w:vAlign w:val="bottom"/>
            <w:shd w:val="clear" w:color="auto" w:fill="CCEEFF"/>
          </w:tcPr>
          <w:p>
            <w:pPr>
              <w:spacing w:after="0"/>
              <w:rPr>
                <w:sz w:val="20"/>
                <w:szCs w:val="20"/>
                <w:color w:val="auto"/>
              </w:rPr>
            </w:pPr>
          </w:p>
        </w:tc>
      </w:tr>
      <w:tr>
        <w:trPr>
          <w:trHeight w:val="33"/>
        </w:trPr>
        <w:tc>
          <w:tcPr>
            <w:tcW w:w="242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c>
          <w:tcPr>
            <w:tcW w:w="2420" w:type="dxa"/>
            <w:vAlign w:val="bottom"/>
            <w:shd w:val="clear" w:color="auto" w:fill="CCEEFF"/>
          </w:tcPr>
          <w:p>
            <w:pPr>
              <w:spacing w:after="0"/>
              <w:rPr>
                <w:sz w:val="2"/>
                <w:szCs w:val="2"/>
                <w:color w:val="auto"/>
              </w:rPr>
            </w:pPr>
          </w:p>
        </w:tc>
        <w:tc>
          <w:tcPr>
            <w:tcW w:w="446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291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63" w:lineRule="exact"/>
        <w:rPr>
          <w:sz w:val="20"/>
          <w:szCs w:val="20"/>
          <w:color w:val="auto"/>
        </w:rPr>
      </w:pPr>
    </w:p>
    <w:p>
      <w:pPr>
        <w:ind w:left="40" w:right="520"/>
        <w:spacing w:after="0" w:line="298" w:lineRule="auto"/>
        <w:rPr>
          <w:sz w:val="20"/>
          <w:szCs w:val="20"/>
          <w:color w:val="auto"/>
        </w:rPr>
      </w:pPr>
      <w:r>
        <w:rPr>
          <w:rFonts w:ascii="Arial" w:cs="Arial" w:eastAsia="Arial" w:hAnsi="Arial"/>
          <w:sz w:val="16"/>
          <w:szCs w:val="16"/>
          <w:b w:val="1"/>
          <w:bCs w:val="1"/>
          <w:color w:val="auto"/>
        </w:rPr>
        <w:t>Property Expansion or Conversion - Opportunities at successful retail properties to convert previously underutilized land into new GLA and to convert other existing uses into more productive uses for the property.</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160" w:type="dxa"/>
            <w:vAlign w:val="bottom"/>
          </w:tcPr>
          <w:p>
            <w:pPr>
              <w:ind w:left="380"/>
              <w:spacing w:after="0"/>
              <w:rPr>
                <w:sz w:val="20"/>
                <w:szCs w:val="20"/>
                <w:color w:val="auto"/>
              </w:rPr>
            </w:pPr>
            <w:r>
              <w:rPr>
                <w:rFonts w:ascii="Arial" w:cs="Arial" w:eastAsia="Arial" w:hAnsi="Arial"/>
                <w:sz w:val="16"/>
                <w:szCs w:val="16"/>
                <w:b w:val="1"/>
                <w:bCs w:val="1"/>
                <w:color w:val="auto"/>
              </w:rPr>
              <w:t>Barracks Road</w:t>
            </w:r>
          </w:p>
        </w:tc>
        <w:tc>
          <w:tcPr>
            <w:tcW w:w="2520" w:type="dxa"/>
            <w:vAlign w:val="bottom"/>
          </w:tcPr>
          <w:p>
            <w:pPr>
              <w:ind w:left="740"/>
              <w:spacing w:after="0"/>
              <w:rPr>
                <w:sz w:val="20"/>
                <w:szCs w:val="20"/>
                <w:color w:val="auto"/>
              </w:rPr>
            </w:pPr>
            <w:r>
              <w:rPr>
                <w:rFonts w:ascii="Arial" w:cs="Arial" w:eastAsia="Arial" w:hAnsi="Arial"/>
                <w:sz w:val="16"/>
                <w:szCs w:val="16"/>
                <w:color w:val="auto"/>
              </w:rPr>
              <w:t>Charlottesville, VA</w:t>
            </w:r>
          </w:p>
        </w:tc>
        <w:tc>
          <w:tcPr>
            <w:tcW w:w="2720" w:type="dxa"/>
            <w:vAlign w:val="bottom"/>
          </w:tcPr>
          <w:p>
            <w:pPr>
              <w:ind w:left="520"/>
              <w:spacing w:after="0"/>
              <w:rPr>
                <w:sz w:val="20"/>
                <w:szCs w:val="20"/>
                <w:color w:val="auto"/>
              </w:rPr>
            </w:pPr>
            <w:r>
              <w:rPr>
                <w:rFonts w:ascii="Arial" w:cs="Arial" w:eastAsia="Arial" w:hAnsi="Arial"/>
                <w:sz w:val="16"/>
                <w:szCs w:val="16"/>
                <w:b w:val="1"/>
                <w:bCs w:val="1"/>
                <w:color w:val="auto"/>
              </w:rPr>
              <w:t>Fresh Meadows</w:t>
            </w:r>
          </w:p>
        </w:tc>
        <w:tc>
          <w:tcPr>
            <w:tcW w:w="4020" w:type="dxa"/>
            <w:vAlign w:val="bottom"/>
          </w:tcPr>
          <w:p>
            <w:pPr>
              <w:ind w:left="420"/>
              <w:spacing w:after="0"/>
              <w:rPr>
                <w:sz w:val="20"/>
                <w:szCs w:val="20"/>
                <w:color w:val="auto"/>
              </w:rPr>
            </w:pPr>
            <w:r>
              <w:rPr>
                <w:rFonts w:ascii="Arial" w:cs="Arial" w:eastAsia="Arial" w:hAnsi="Arial"/>
                <w:sz w:val="16"/>
                <w:szCs w:val="16"/>
                <w:color w:val="auto"/>
              </w:rPr>
              <w:t>Queens, NY</w:t>
            </w:r>
          </w:p>
        </w:tc>
      </w:tr>
      <w:tr>
        <w:trPr>
          <w:trHeight w:val="33"/>
        </w:trPr>
        <w:tc>
          <w:tcPr>
            <w:tcW w:w="21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4020" w:type="dxa"/>
            <w:vAlign w:val="bottom"/>
          </w:tcPr>
          <w:p>
            <w:pPr>
              <w:spacing w:after="0"/>
              <w:rPr>
                <w:sz w:val="2"/>
                <w:szCs w:val="2"/>
                <w:color w:val="auto"/>
              </w:rPr>
            </w:pPr>
          </w:p>
        </w:tc>
      </w:tr>
      <w:tr>
        <w:trPr>
          <w:trHeight w:val="250"/>
        </w:trPr>
        <w:tc>
          <w:tcPr>
            <w:tcW w:w="2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Bethesda Row</w:t>
            </w:r>
          </w:p>
        </w:tc>
        <w:tc>
          <w:tcPr>
            <w:tcW w:w="252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6"/>
                <w:szCs w:val="16"/>
                <w:color w:val="auto"/>
              </w:rPr>
              <w:t>Bethesda, MD</w:t>
            </w:r>
          </w:p>
        </w:tc>
        <w:tc>
          <w:tcPr>
            <w:tcW w:w="27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Hastings Ranch</w:t>
            </w:r>
          </w:p>
        </w:tc>
        <w:tc>
          <w:tcPr>
            <w:tcW w:w="40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Pasadena, CA</w:t>
            </w:r>
          </w:p>
        </w:tc>
      </w:tr>
      <w:tr>
        <w:trPr>
          <w:trHeight w:val="237"/>
        </w:trPr>
        <w:tc>
          <w:tcPr>
            <w:tcW w:w="2160" w:type="dxa"/>
            <w:vAlign w:val="bottom"/>
          </w:tcPr>
          <w:p>
            <w:pPr>
              <w:ind w:left="380"/>
              <w:spacing w:after="0"/>
              <w:rPr>
                <w:sz w:val="20"/>
                <w:szCs w:val="20"/>
                <w:color w:val="auto"/>
              </w:rPr>
            </w:pPr>
            <w:r>
              <w:rPr>
                <w:rFonts w:ascii="Arial" w:cs="Arial" w:eastAsia="Arial" w:hAnsi="Arial"/>
                <w:sz w:val="16"/>
                <w:szCs w:val="16"/>
                <w:b w:val="1"/>
                <w:bCs w:val="1"/>
                <w:color w:val="auto"/>
              </w:rPr>
              <w:t>Brick Plaza</w:t>
            </w:r>
          </w:p>
        </w:tc>
        <w:tc>
          <w:tcPr>
            <w:tcW w:w="2520" w:type="dxa"/>
            <w:vAlign w:val="bottom"/>
          </w:tcPr>
          <w:p>
            <w:pPr>
              <w:ind w:left="740"/>
              <w:spacing w:after="0"/>
              <w:rPr>
                <w:sz w:val="20"/>
                <w:szCs w:val="20"/>
                <w:color w:val="auto"/>
              </w:rPr>
            </w:pPr>
            <w:r>
              <w:rPr>
                <w:rFonts w:ascii="Arial" w:cs="Arial" w:eastAsia="Arial" w:hAnsi="Arial"/>
                <w:sz w:val="16"/>
                <w:szCs w:val="16"/>
                <w:color w:val="auto"/>
              </w:rPr>
              <w:t>Brick, NJ</w:t>
            </w:r>
          </w:p>
        </w:tc>
        <w:tc>
          <w:tcPr>
            <w:tcW w:w="2720" w:type="dxa"/>
            <w:vAlign w:val="bottom"/>
          </w:tcPr>
          <w:p>
            <w:pPr>
              <w:ind w:left="520"/>
              <w:spacing w:after="0"/>
              <w:rPr>
                <w:sz w:val="20"/>
                <w:szCs w:val="20"/>
                <w:color w:val="auto"/>
              </w:rPr>
            </w:pPr>
            <w:r>
              <w:rPr>
                <w:rFonts w:ascii="Arial" w:cs="Arial" w:eastAsia="Arial" w:hAnsi="Arial"/>
                <w:sz w:val="16"/>
                <w:szCs w:val="16"/>
                <w:b w:val="1"/>
                <w:bCs w:val="1"/>
                <w:color w:val="auto"/>
              </w:rPr>
              <w:t>Northeast</w:t>
            </w:r>
          </w:p>
        </w:tc>
        <w:tc>
          <w:tcPr>
            <w:tcW w:w="4020" w:type="dxa"/>
            <w:vAlign w:val="bottom"/>
          </w:tcPr>
          <w:p>
            <w:pPr>
              <w:ind w:left="420"/>
              <w:spacing w:after="0"/>
              <w:rPr>
                <w:sz w:val="20"/>
                <w:szCs w:val="20"/>
                <w:color w:val="auto"/>
              </w:rPr>
            </w:pPr>
            <w:r>
              <w:rPr>
                <w:rFonts w:ascii="Arial" w:cs="Arial" w:eastAsia="Arial" w:hAnsi="Arial"/>
                <w:sz w:val="16"/>
                <w:szCs w:val="16"/>
                <w:color w:val="auto"/>
              </w:rPr>
              <w:t>Philadelphia, PA</w:t>
            </w:r>
          </w:p>
        </w:tc>
      </w:tr>
      <w:tr>
        <w:trPr>
          <w:trHeight w:val="33"/>
        </w:trPr>
        <w:tc>
          <w:tcPr>
            <w:tcW w:w="21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4020" w:type="dxa"/>
            <w:vAlign w:val="bottom"/>
          </w:tcPr>
          <w:p>
            <w:pPr>
              <w:spacing w:after="0"/>
              <w:rPr>
                <w:sz w:val="2"/>
                <w:szCs w:val="2"/>
                <w:color w:val="auto"/>
              </w:rPr>
            </w:pPr>
          </w:p>
        </w:tc>
      </w:tr>
      <w:tr>
        <w:trPr>
          <w:trHeight w:val="250"/>
        </w:trPr>
        <w:tc>
          <w:tcPr>
            <w:tcW w:w="2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Crossroads</w:t>
            </w:r>
          </w:p>
        </w:tc>
        <w:tc>
          <w:tcPr>
            <w:tcW w:w="252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6"/>
                <w:szCs w:val="16"/>
                <w:color w:val="auto"/>
              </w:rPr>
              <w:t>Highland Park, IL</w:t>
            </w:r>
          </w:p>
        </w:tc>
        <w:tc>
          <w:tcPr>
            <w:tcW w:w="27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Riverpoint Center</w:t>
            </w:r>
          </w:p>
        </w:tc>
        <w:tc>
          <w:tcPr>
            <w:tcW w:w="40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Chicago, IL</w:t>
            </w:r>
          </w:p>
        </w:tc>
      </w:tr>
      <w:tr>
        <w:trPr>
          <w:trHeight w:val="237"/>
        </w:trPr>
        <w:tc>
          <w:tcPr>
            <w:tcW w:w="2160" w:type="dxa"/>
            <w:vAlign w:val="bottom"/>
          </w:tcPr>
          <w:p>
            <w:pPr>
              <w:ind w:left="380"/>
              <w:spacing w:after="0"/>
              <w:rPr>
                <w:sz w:val="20"/>
                <w:szCs w:val="20"/>
                <w:color w:val="auto"/>
              </w:rPr>
            </w:pPr>
            <w:r>
              <w:rPr>
                <w:rFonts w:ascii="Arial" w:cs="Arial" w:eastAsia="Arial" w:hAnsi="Arial"/>
                <w:sz w:val="16"/>
                <w:szCs w:val="16"/>
                <w:b w:val="1"/>
                <w:bCs w:val="1"/>
                <w:color w:val="auto"/>
              </w:rPr>
              <w:t>Darien</w:t>
            </w:r>
          </w:p>
        </w:tc>
        <w:tc>
          <w:tcPr>
            <w:tcW w:w="2520" w:type="dxa"/>
            <w:vAlign w:val="bottom"/>
          </w:tcPr>
          <w:p>
            <w:pPr>
              <w:ind w:left="740"/>
              <w:spacing w:after="0"/>
              <w:rPr>
                <w:sz w:val="20"/>
                <w:szCs w:val="20"/>
                <w:color w:val="auto"/>
              </w:rPr>
            </w:pPr>
            <w:r>
              <w:rPr>
                <w:rFonts w:ascii="Arial" w:cs="Arial" w:eastAsia="Arial" w:hAnsi="Arial"/>
                <w:sz w:val="16"/>
                <w:szCs w:val="16"/>
                <w:color w:val="auto"/>
              </w:rPr>
              <w:t>Darien, CT</w:t>
            </w:r>
          </w:p>
        </w:tc>
        <w:tc>
          <w:tcPr>
            <w:tcW w:w="2720" w:type="dxa"/>
            <w:vAlign w:val="bottom"/>
          </w:tcPr>
          <w:p>
            <w:pPr>
              <w:ind w:left="520"/>
              <w:spacing w:after="0"/>
              <w:rPr>
                <w:sz w:val="20"/>
                <w:szCs w:val="20"/>
                <w:color w:val="auto"/>
              </w:rPr>
            </w:pPr>
            <w:r>
              <w:rPr>
                <w:rFonts w:ascii="Arial" w:cs="Arial" w:eastAsia="Arial" w:hAnsi="Arial"/>
                <w:sz w:val="16"/>
                <w:szCs w:val="16"/>
                <w:b w:val="1"/>
                <w:bCs w:val="1"/>
                <w:color w:val="auto"/>
              </w:rPr>
              <w:t>The Shops at Sunset Place</w:t>
            </w:r>
          </w:p>
        </w:tc>
        <w:tc>
          <w:tcPr>
            <w:tcW w:w="4020" w:type="dxa"/>
            <w:vAlign w:val="bottom"/>
          </w:tcPr>
          <w:p>
            <w:pPr>
              <w:ind w:left="420"/>
              <w:spacing w:after="0"/>
              <w:rPr>
                <w:sz w:val="20"/>
                <w:szCs w:val="20"/>
                <w:color w:val="auto"/>
              </w:rPr>
            </w:pPr>
            <w:r>
              <w:rPr>
                <w:rFonts w:ascii="Arial" w:cs="Arial" w:eastAsia="Arial" w:hAnsi="Arial"/>
                <w:sz w:val="16"/>
                <w:szCs w:val="16"/>
                <w:color w:val="auto"/>
              </w:rPr>
              <w:t>South Miami, FL</w:t>
            </w:r>
          </w:p>
        </w:tc>
      </w:tr>
      <w:tr>
        <w:trPr>
          <w:trHeight w:val="33"/>
        </w:trPr>
        <w:tc>
          <w:tcPr>
            <w:tcW w:w="21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4020" w:type="dxa"/>
            <w:vAlign w:val="bottom"/>
          </w:tcPr>
          <w:p>
            <w:pPr>
              <w:spacing w:after="0"/>
              <w:rPr>
                <w:sz w:val="2"/>
                <w:szCs w:val="2"/>
                <w:color w:val="auto"/>
              </w:rPr>
            </w:pPr>
          </w:p>
        </w:tc>
      </w:tr>
      <w:tr>
        <w:trPr>
          <w:trHeight w:val="250"/>
        </w:trPr>
        <w:tc>
          <w:tcPr>
            <w:tcW w:w="2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Dedham Plaza</w:t>
            </w:r>
          </w:p>
        </w:tc>
        <w:tc>
          <w:tcPr>
            <w:tcW w:w="252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6"/>
                <w:szCs w:val="16"/>
                <w:color w:val="auto"/>
              </w:rPr>
              <w:t>Dedham, MA</w:t>
            </w:r>
          </w:p>
        </w:tc>
        <w:tc>
          <w:tcPr>
            <w:tcW w:w="27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Third Street Promenade</w:t>
            </w:r>
          </w:p>
        </w:tc>
        <w:tc>
          <w:tcPr>
            <w:tcW w:w="40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Santa Monica, CA</w:t>
            </w:r>
          </w:p>
        </w:tc>
      </w:tr>
      <w:tr>
        <w:trPr>
          <w:trHeight w:val="237"/>
        </w:trPr>
        <w:tc>
          <w:tcPr>
            <w:tcW w:w="2160" w:type="dxa"/>
            <w:vAlign w:val="bottom"/>
          </w:tcPr>
          <w:p>
            <w:pPr>
              <w:ind w:left="380"/>
              <w:spacing w:after="0"/>
              <w:rPr>
                <w:sz w:val="20"/>
                <w:szCs w:val="20"/>
                <w:color w:val="auto"/>
              </w:rPr>
            </w:pPr>
            <w:r>
              <w:rPr>
                <w:rFonts w:ascii="Arial" w:cs="Arial" w:eastAsia="Arial" w:hAnsi="Arial"/>
                <w:sz w:val="16"/>
                <w:szCs w:val="16"/>
                <w:b w:val="1"/>
                <w:bCs w:val="1"/>
                <w:color w:val="auto"/>
              </w:rPr>
              <w:t>Fourth Street</w:t>
            </w:r>
          </w:p>
        </w:tc>
        <w:tc>
          <w:tcPr>
            <w:tcW w:w="2520" w:type="dxa"/>
            <w:vAlign w:val="bottom"/>
          </w:tcPr>
          <w:p>
            <w:pPr>
              <w:ind w:left="740"/>
              <w:spacing w:after="0"/>
              <w:rPr>
                <w:sz w:val="20"/>
                <w:szCs w:val="20"/>
                <w:color w:val="auto"/>
              </w:rPr>
            </w:pPr>
            <w:r>
              <w:rPr>
                <w:rFonts w:ascii="Arial" w:cs="Arial" w:eastAsia="Arial" w:hAnsi="Arial"/>
                <w:sz w:val="16"/>
                <w:szCs w:val="16"/>
                <w:color w:val="auto"/>
              </w:rPr>
              <w:t>Berkeley, CA</w:t>
            </w:r>
          </w:p>
        </w:tc>
        <w:tc>
          <w:tcPr>
            <w:tcW w:w="2720" w:type="dxa"/>
            <w:vAlign w:val="bottom"/>
          </w:tcPr>
          <w:p>
            <w:pPr>
              <w:ind w:left="520"/>
              <w:spacing w:after="0"/>
              <w:rPr>
                <w:sz w:val="20"/>
                <w:szCs w:val="20"/>
                <w:color w:val="auto"/>
              </w:rPr>
            </w:pPr>
            <w:r>
              <w:rPr>
                <w:rFonts w:ascii="Arial" w:cs="Arial" w:eastAsia="Arial" w:hAnsi="Arial"/>
                <w:sz w:val="16"/>
                <w:szCs w:val="16"/>
                <w:b w:val="1"/>
                <w:bCs w:val="1"/>
                <w:color w:val="auto"/>
              </w:rPr>
              <w:t>Wildwood</w:t>
            </w:r>
          </w:p>
        </w:tc>
        <w:tc>
          <w:tcPr>
            <w:tcW w:w="4020" w:type="dxa"/>
            <w:vAlign w:val="bottom"/>
          </w:tcPr>
          <w:p>
            <w:pPr>
              <w:ind w:left="420"/>
              <w:spacing w:after="0"/>
              <w:rPr>
                <w:sz w:val="20"/>
                <w:szCs w:val="20"/>
                <w:color w:val="auto"/>
              </w:rPr>
            </w:pPr>
            <w:r>
              <w:rPr>
                <w:rFonts w:ascii="Arial" w:cs="Arial" w:eastAsia="Arial" w:hAnsi="Arial"/>
                <w:sz w:val="16"/>
                <w:szCs w:val="16"/>
                <w:color w:val="auto"/>
              </w:rPr>
              <w:t>Bethesda, MD</w:t>
            </w:r>
          </w:p>
        </w:tc>
      </w:tr>
      <w:tr>
        <w:trPr>
          <w:trHeight w:val="33"/>
        </w:trPr>
        <w:tc>
          <w:tcPr>
            <w:tcW w:w="21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4020" w:type="dxa"/>
            <w:vAlign w:val="bottom"/>
          </w:tcPr>
          <w:p>
            <w:pPr>
              <w:spacing w:after="0"/>
              <w:rPr>
                <w:sz w:val="2"/>
                <w:szCs w:val="2"/>
                <w:color w:val="auto"/>
              </w:rPr>
            </w:pPr>
          </w:p>
        </w:tc>
      </w:tr>
      <w:tr>
        <w:trPr>
          <w:trHeight w:val="284"/>
        </w:trPr>
        <w:tc>
          <w:tcPr>
            <w:tcW w:w="2160" w:type="dxa"/>
            <w:vAlign w:val="bottom"/>
            <w:shd w:val="clear" w:color="auto" w:fill="CCEEFF"/>
          </w:tcPr>
          <w:p>
            <w:pPr>
              <w:spacing w:after="0"/>
              <w:rPr>
                <w:sz w:val="24"/>
                <w:szCs w:val="24"/>
                <w:color w:val="auto"/>
              </w:rPr>
            </w:pPr>
          </w:p>
        </w:tc>
        <w:tc>
          <w:tcPr>
            <w:tcW w:w="2520" w:type="dxa"/>
            <w:vAlign w:val="bottom"/>
            <w:shd w:val="clear" w:color="auto" w:fill="CCEEFF"/>
          </w:tcPr>
          <w:p>
            <w:pPr>
              <w:spacing w:after="0"/>
              <w:rPr>
                <w:sz w:val="24"/>
                <w:szCs w:val="24"/>
                <w:color w:val="auto"/>
              </w:rPr>
            </w:pPr>
          </w:p>
        </w:tc>
        <w:tc>
          <w:tcPr>
            <w:tcW w:w="2720" w:type="dxa"/>
            <w:vAlign w:val="bottom"/>
            <w:shd w:val="clear" w:color="auto" w:fill="CCEEFF"/>
          </w:tcPr>
          <w:p>
            <w:pPr>
              <w:spacing w:after="0"/>
              <w:rPr>
                <w:sz w:val="24"/>
                <w:szCs w:val="24"/>
                <w:color w:val="auto"/>
              </w:rPr>
            </w:pPr>
          </w:p>
        </w:tc>
        <w:tc>
          <w:tcPr>
            <w:tcW w:w="4020" w:type="dxa"/>
            <w:vAlign w:val="bottom"/>
            <w:shd w:val="clear" w:color="auto" w:fill="CCEEFF"/>
          </w:tcPr>
          <w:p>
            <w:pPr>
              <w:spacing w:after="0"/>
              <w:rPr>
                <w:sz w:val="24"/>
                <w:szCs w:val="24"/>
                <w:color w:val="auto"/>
              </w:rPr>
            </w:pPr>
          </w:p>
        </w:tc>
      </w:tr>
    </w:tbl>
    <w:p>
      <w:pPr>
        <w:spacing w:after="0" w:line="1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Residential Opportunities - Opportunity to add residential units to existing retail and mixed-use properties.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5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b w:val="1"/>
                <w:bCs w:val="1"/>
                <w:color w:val="auto"/>
              </w:rPr>
              <w:t>Barracks Road</w:t>
            </w:r>
          </w:p>
        </w:tc>
        <w:tc>
          <w:tcPr>
            <w:tcW w:w="19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Charlottesville, VA</w:t>
            </w:r>
          </w:p>
        </w:tc>
        <w:tc>
          <w:tcPr>
            <w:tcW w:w="30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b w:val="1"/>
                <w:bCs w:val="1"/>
                <w:color w:val="auto"/>
              </w:rPr>
              <w:t>Graham Park Plaza</w:t>
            </w:r>
          </w:p>
        </w:tc>
        <w:tc>
          <w:tcPr>
            <w:tcW w:w="37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Falls Church, VA</w:t>
            </w:r>
          </w:p>
        </w:tc>
      </w:tr>
      <w:tr>
        <w:trPr>
          <w:trHeight w:val="237"/>
        </w:trPr>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20" w:type="dxa"/>
            <w:vAlign w:val="bottom"/>
            <w:gridSpan w:val="2"/>
          </w:tcPr>
          <w:p>
            <w:pPr>
              <w:ind w:left="80"/>
              <w:spacing w:after="0"/>
              <w:rPr>
                <w:sz w:val="20"/>
                <w:szCs w:val="20"/>
                <w:color w:val="auto"/>
              </w:rPr>
            </w:pPr>
            <w:r>
              <w:rPr>
                <w:rFonts w:ascii="Arial" w:cs="Arial" w:eastAsia="Arial" w:hAnsi="Arial"/>
                <w:sz w:val="16"/>
                <w:szCs w:val="16"/>
                <w:b w:val="1"/>
                <w:bCs w:val="1"/>
                <w:color w:val="auto"/>
              </w:rPr>
              <w:t>Bala Cynwyd</w:t>
            </w:r>
          </w:p>
        </w:tc>
        <w:tc>
          <w:tcPr>
            <w:tcW w:w="1900" w:type="dxa"/>
            <w:vAlign w:val="bottom"/>
          </w:tcPr>
          <w:p>
            <w:pPr>
              <w:ind w:left="80"/>
              <w:spacing w:after="0"/>
              <w:rPr>
                <w:sz w:val="20"/>
                <w:szCs w:val="20"/>
                <w:color w:val="auto"/>
              </w:rPr>
            </w:pPr>
            <w:r>
              <w:rPr>
                <w:rFonts w:ascii="Arial" w:cs="Arial" w:eastAsia="Arial" w:hAnsi="Arial"/>
                <w:sz w:val="16"/>
                <w:szCs w:val="16"/>
                <w:color w:val="auto"/>
              </w:rPr>
              <w:t>Bala Cynwyd, PA</w:t>
            </w:r>
          </w:p>
        </w:tc>
        <w:tc>
          <w:tcPr>
            <w:tcW w:w="3000" w:type="dxa"/>
            <w:vAlign w:val="bottom"/>
          </w:tcPr>
          <w:p>
            <w:pPr>
              <w:ind w:left="480"/>
              <w:spacing w:after="0"/>
              <w:rPr>
                <w:sz w:val="20"/>
                <w:szCs w:val="20"/>
                <w:color w:val="auto"/>
              </w:rPr>
            </w:pPr>
            <w:r>
              <w:rPr>
                <w:rFonts w:ascii="Arial" w:cs="Arial" w:eastAsia="Arial" w:hAnsi="Arial"/>
                <w:sz w:val="16"/>
                <w:szCs w:val="16"/>
                <w:b w:val="1"/>
                <w:bCs w:val="1"/>
                <w:color w:val="auto"/>
              </w:rPr>
              <w:t>Village at Shirlington</w:t>
            </w:r>
          </w:p>
        </w:tc>
        <w:tc>
          <w:tcPr>
            <w:tcW w:w="3700" w:type="dxa"/>
            <w:vAlign w:val="bottom"/>
          </w:tcPr>
          <w:p>
            <w:pPr>
              <w:ind w:left="100"/>
              <w:spacing w:after="0"/>
              <w:rPr>
                <w:sz w:val="20"/>
                <w:szCs w:val="20"/>
                <w:color w:val="auto"/>
              </w:rPr>
            </w:pPr>
            <w:r>
              <w:rPr>
                <w:rFonts w:ascii="Arial" w:cs="Arial" w:eastAsia="Arial" w:hAnsi="Arial"/>
                <w:sz w:val="16"/>
                <w:szCs w:val="16"/>
                <w:color w:val="auto"/>
              </w:rPr>
              <w:t>Arlington, VA</w:t>
            </w:r>
          </w:p>
        </w:tc>
      </w:tr>
      <w:tr>
        <w:trPr>
          <w:trHeight w:val="33"/>
        </w:trPr>
        <w:tc>
          <w:tcPr>
            <w:tcW w:w="4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2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3700" w:type="dxa"/>
            <w:vAlign w:val="bottom"/>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380" w:type="dxa"/>
            <w:vAlign w:val="bottom"/>
            <w:gridSpan w:val="2"/>
            <w:shd w:val="clear" w:color="auto" w:fill="CCEEFF"/>
          </w:tcPr>
          <w:p>
            <w:pPr>
              <w:spacing w:after="0"/>
              <w:rPr>
                <w:sz w:val="23"/>
                <w:szCs w:val="23"/>
                <w:color w:val="auto"/>
              </w:rPr>
            </w:pPr>
          </w:p>
        </w:tc>
        <w:tc>
          <w:tcPr>
            <w:tcW w:w="2400" w:type="dxa"/>
            <w:vAlign w:val="bottom"/>
            <w:shd w:val="clear" w:color="auto" w:fill="CCEEFF"/>
          </w:tcPr>
          <w:p>
            <w:pPr>
              <w:spacing w:after="0"/>
              <w:rPr>
                <w:sz w:val="23"/>
                <w:szCs w:val="23"/>
                <w:color w:val="auto"/>
              </w:rPr>
            </w:pPr>
          </w:p>
        </w:tc>
        <w:tc>
          <w:tcPr>
            <w:tcW w:w="1900" w:type="dxa"/>
            <w:vAlign w:val="bottom"/>
            <w:shd w:val="clear" w:color="auto" w:fill="CCEEFF"/>
          </w:tcPr>
          <w:p>
            <w:pPr>
              <w:spacing w:after="0"/>
              <w:rPr>
                <w:sz w:val="23"/>
                <w:szCs w:val="23"/>
                <w:color w:val="auto"/>
              </w:rPr>
            </w:pPr>
          </w:p>
        </w:tc>
        <w:tc>
          <w:tcPr>
            <w:tcW w:w="3000" w:type="dxa"/>
            <w:vAlign w:val="bottom"/>
            <w:shd w:val="clear" w:color="auto" w:fill="CCEEFF"/>
          </w:tcPr>
          <w:p>
            <w:pPr>
              <w:spacing w:after="0"/>
              <w:rPr>
                <w:sz w:val="23"/>
                <w:szCs w:val="23"/>
                <w:color w:val="auto"/>
              </w:rPr>
            </w:pPr>
          </w:p>
        </w:tc>
        <w:tc>
          <w:tcPr>
            <w:tcW w:w="3700" w:type="dxa"/>
            <w:vAlign w:val="bottom"/>
            <w:shd w:val="clear" w:color="auto" w:fill="CCEEFF"/>
          </w:tcPr>
          <w:p>
            <w:pPr>
              <w:spacing w:after="0"/>
              <w:rPr>
                <w:sz w:val="23"/>
                <w:szCs w:val="23"/>
                <w:color w:val="auto"/>
              </w:rPr>
            </w:pPr>
          </w:p>
        </w:tc>
      </w:tr>
      <w:tr>
        <w:trPr>
          <w:trHeight w:val="224"/>
        </w:trPr>
        <w:tc>
          <w:tcPr>
            <w:tcW w:w="2820" w:type="dxa"/>
            <w:vAlign w:val="bottom"/>
            <w:gridSpan w:val="4"/>
          </w:tcPr>
          <w:p>
            <w:pPr>
              <w:ind w:left="40"/>
              <w:spacing w:after="0"/>
              <w:rPr>
                <w:sz w:val="20"/>
                <w:szCs w:val="20"/>
                <w:color w:val="auto"/>
              </w:rPr>
            </w:pPr>
            <w:r>
              <w:rPr>
                <w:rFonts w:ascii="Arial" w:cs="Arial" w:eastAsia="Arial" w:hAnsi="Arial"/>
                <w:sz w:val="16"/>
                <w:szCs w:val="16"/>
                <w:b w:val="1"/>
                <w:bCs w:val="1"/>
                <w:color w:val="auto"/>
                <w:w w:val="94"/>
              </w:rPr>
              <w:t>Longer Term Mixed-Use Opportunities</w:t>
            </w:r>
          </w:p>
        </w:tc>
        <w:tc>
          <w:tcPr>
            <w:tcW w:w="190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3700" w:type="dxa"/>
            <w:vAlign w:val="bottom"/>
          </w:tcPr>
          <w:p>
            <w:pPr>
              <w:spacing w:after="0"/>
              <w:rPr>
                <w:sz w:val="19"/>
                <w:szCs w:val="19"/>
                <w:color w:val="auto"/>
              </w:rPr>
            </w:pPr>
          </w:p>
        </w:tc>
      </w:tr>
      <w:tr>
        <w:trPr>
          <w:trHeight w:val="33"/>
        </w:trPr>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37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5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b w:val="1"/>
                <w:bCs w:val="1"/>
                <w:color w:val="auto"/>
              </w:rPr>
              <w:t>Assembly Row (1)</w:t>
            </w:r>
          </w:p>
        </w:tc>
        <w:tc>
          <w:tcPr>
            <w:tcW w:w="19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Somerville, MA</w:t>
            </w:r>
          </w:p>
        </w:tc>
        <w:tc>
          <w:tcPr>
            <w:tcW w:w="30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b w:val="1"/>
                <w:bCs w:val="1"/>
                <w:color w:val="auto"/>
              </w:rPr>
              <w:t>San Antonio Center</w:t>
            </w:r>
          </w:p>
        </w:tc>
        <w:tc>
          <w:tcPr>
            <w:tcW w:w="37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Mountain View, CA</w:t>
            </w:r>
          </w:p>
        </w:tc>
      </w:tr>
      <w:tr>
        <w:trPr>
          <w:trHeight w:val="237"/>
        </w:trPr>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20" w:type="dxa"/>
            <w:vAlign w:val="bottom"/>
            <w:gridSpan w:val="2"/>
          </w:tcPr>
          <w:p>
            <w:pPr>
              <w:ind w:left="80"/>
              <w:spacing w:after="0"/>
              <w:rPr>
                <w:sz w:val="20"/>
                <w:szCs w:val="20"/>
                <w:color w:val="auto"/>
              </w:rPr>
            </w:pPr>
            <w:r>
              <w:rPr>
                <w:rFonts w:ascii="Arial" w:cs="Arial" w:eastAsia="Arial" w:hAnsi="Arial"/>
                <w:sz w:val="16"/>
                <w:szCs w:val="16"/>
                <w:b w:val="1"/>
                <w:bCs w:val="1"/>
                <w:color w:val="auto"/>
              </w:rPr>
              <w:t>Bala Cynwyd</w:t>
            </w:r>
          </w:p>
        </w:tc>
        <w:tc>
          <w:tcPr>
            <w:tcW w:w="1900" w:type="dxa"/>
            <w:vAlign w:val="bottom"/>
          </w:tcPr>
          <w:p>
            <w:pPr>
              <w:ind w:left="80"/>
              <w:spacing w:after="0"/>
              <w:rPr>
                <w:sz w:val="20"/>
                <w:szCs w:val="20"/>
                <w:color w:val="auto"/>
              </w:rPr>
            </w:pPr>
            <w:r>
              <w:rPr>
                <w:rFonts w:ascii="Arial" w:cs="Arial" w:eastAsia="Arial" w:hAnsi="Arial"/>
                <w:sz w:val="16"/>
                <w:szCs w:val="16"/>
                <w:color w:val="auto"/>
              </w:rPr>
              <w:t>Bala Cynwyd, PA</w:t>
            </w:r>
          </w:p>
        </w:tc>
        <w:tc>
          <w:tcPr>
            <w:tcW w:w="3000" w:type="dxa"/>
            <w:vAlign w:val="bottom"/>
          </w:tcPr>
          <w:p>
            <w:pPr>
              <w:ind w:left="480"/>
              <w:spacing w:after="0"/>
              <w:rPr>
                <w:sz w:val="20"/>
                <w:szCs w:val="20"/>
                <w:color w:val="auto"/>
              </w:rPr>
            </w:pPr>
            <w:r>
              <w:rPr>
                <w:rFonts w:ascii="Arial" w:cs="Arial" w:eastAsia="Arial" w:hAnsi="Arial"/>
                <w:sz w:val="16"/>
                <w:szCs w:val="16"/>
                <w:b w:val="1"/>
                <w:bCs w:val="1"/>
                <w:color w:val="auto"/>
              </w:rPr>
              <w:t>Santana Row (3)</w:t>
            </w:r>
          </w:p>
        </w:tc>
        <w:tc>
          <w:tcPr>
            <w:tcW w:w="3700" w:type="dxa"/>
            <w:vAlign w:val="bottom"/>
          </w:tcPr>
          <w:p>
            <w:pPr>
              <w:ind w:left="100"/>
              <w:spacing w:after="0"/>
              <w:rPr>
                <w:sz w:val="20"/>
                <w:szCs w:val="20"/>
                <w:color w:val="auto"/>
              </w:rPr>
            </w:pPr>
            <w:r>
              <w:rPr>
                <w:rFonts w:ascii="Arial" w:cs="Arial" w:eastAsia="Arial" w:hAnsi="Arial"/>
                <w:sz w:val="16"/>
                <w:szCs w:val="16"/>
                <w:color w:val="auto"/>
              </w:rPr>
              <w:t>San Jose, CA</w:t>
            </w:r>
          </w:p>
        </w:tc>
      </w:tr>
      <w:tr>
        <w:trPr>
          <w:trHeight w:val="33"/>
        </w:trPr>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3700" w:type="dxa"/>
            <w:vAlign w:val="bottom"/>
          </w:tcPr>
          <w:p>
            <w:pPr>
              <w:spacing w:after="0"/>
              <w:rPr>
                <w:sz w:val="2"/>
                <w:szCs w:val="2"/>
                <w:color w:val="auto"/>
              </w:rPr>
            </w:pPr>
          </w:p>
        </w:tc>
      </w:tr>
      <w:tr>
        <w:trPr>
          <w:trHeight w:val="216"/>
        </w:trPr>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3000" w:type="dxa"/>
            <w:vAlign w:val="bottom"/>
            <w:shd w:val="clear" w:color="auto" w:fill="CCEEFF"/>
          </w:tcPr>
          <w:p>
            <w:pPr>
              <w:ind w:left="480"/>
              <w:spacing w:after="0"/>
              <w:rPr>
                <w:sz w:val="20"/>
                <w:szCs w:val="20"/>
                <w:color w:val="auto"/>
              </w:rPr>
            </w:pPr>
            <w:r>
              <w:rPr>
                <w:rFonts w:ascii="Arial" w:cs="Arial" w:eastAsia="Arial" w:hAnsi="Arial"/>
                <w:sz w:val="16"/>
                <w:szCs w:val="16"/>
                <w:b w:val="1"/>
                <w:bCs w:val="1"/>
                <w:color w:val="auto"/>
                <w:w w:val="94"/>
              </w:rPr>
              <w:t>Santana Row - Winchester Theater</w:t>
            </w:r>
          </w:p>
        </w:tc>
        <w:tc>
          <w:tcPr>
            <w:tcW w:w="3700" w:type="dxa"/>
            <w:vAlign w:val="bottom"/>
            <w:shd w:val="clear" w:color="auto" w:fill="CCEEFF"/>
          </w:tcPr>
          <w:p>
            <w:pPr>
              <w:spacing w:after="0"/>
              <w:rPr>
                <w:sz w:val="18"/>
                <w:szCs w:val="18"/>
                <w:color w:val="auto"/>
              </w:rPr>
            </w:pPr>
          </w:p>
        </w:tc>
      </w:tr>
      <w:tr>
        <w:trPr>
          <w:trHeight w:val="223"/>
        </w:trPr>
        <w:tc>
          <w:tcPr>
            <w:tcW w:w="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25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b w:val="1"/>
                <w:bCs w:val="1"/>
                <w:color w:val="auto"/>
              </w:rPr>
              <w:t>Pike 7 Plaza</w:t>
            </w:r>
          </w:p>
        </w:tc>
        <w:tc>
          <w:tcPr>
            <w:tcW w:w="19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Vienna, VA</w:t>
            </w:r>
          </w:p>
        </w:tc>
        <w:tc>
          <w:tcPr>
            <w:tcW w:w="30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b w:val="1"/>
                <w:bCs w:val="1"/>
                <w:color w:val="auto"/>
              </w:rPr>
              <w:t>site</w:t>
            </w:r>
          </w:p>
        </w:tc>
        <w:tc>
          <w:tcPr>
            <w:tcW w:w="37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San Jose, CA</w:t>
            </w:r>
          </w:p>
        </w:tc>
      </w:tr>
      <w:tr>
        <w:trPr>
          <w:trHeight w:val="237"/>
        </w:trPr>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20" w:type="dxa"/>
            <w:vAlign w:val="bottom"/>
            <w:gridSpan w:val="2"/>
          </w:tcPr>
          <w:p>
            <w:pPr>
              <w:ind w:left="80"/>
              <w:spacing w:after="0"/>
              <w:rPr>
                <w:sz w:val="20"/>
                <w:szCs w:val="20"/>
                <w:color w:val="auto"/>
              </w:rPr>
            </w:pPr>
            <w:r>
              <w:rPr>
                <w:rFonts w:ascii="Arial" w:cs="Arial" w:eastAsia="Arial" w:hAnsi="Arial"/>
                <w:sz w:val="16"/>
                <w:szCs w:val="16"/>
                <w:b w:val="1"/>
                <w:bCs w:val="1"/>
                <w:color w:val="auto"/>
              </w:rPr>
              <w:t>Pike &amp; Rose (2)</w:t>
            </w:r>
          </w:p>
        </w:tc>
        <w:tc>
          <w:tcPr>
            <w:tcW w:w="1900" w:type="dxa"/>
            <w:vAlign w:val="bottom"/>
          </w:tcPr>
          <w:p>
            <w:pPr>
              <w:ind w:left="80"/>
              <w:spacing w:after="0"/>
              <w:rPr>
                <w:sz w:val="20"/>
                <w:szCs w:val="20"/>
                <w:color w:val="auto"/>
              </w:rPr>
            </w:pPr>
            <w:r>
              <w:rPr>
                <w:rFonts w:ascii="Arial" w:cs="Arial" w:eastAsia="Arial" w:hAnsi="Arial"/>
                <w:sz w:val="16"/>
                <w:szCs w:val="16"/>
                <w:color w:val="auto"/>
              </w:rPr>
              <w:t>North Bethesda, MD</w:t>
            </w:r>
          </w:p>
        </w:tc>
        <w:tc>
          <w:tcPr>
            <w:tcW w:w="3000" w:type="dxa"/>
            <w:vAlign w:val="bottom"/>
          </w:tcPr>
          <w:p>
            <w:pPr>
              <w:spacing w:after="0"/>
              <w:rPr>
                <w:sz w:val="20"/>
                <w:szCs w:val="20"/>
                <w:color w:val="auto"/>
              </w:rPr>
            </w:pPr>
          </w:p>
        </w:tc>
        <w:tc>
          <w:tcPr>
            <w:tcW w:w="370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2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3700" w:type="dxa"/>
            <w:vAlign w:val="bottom"/>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380" w:type="dxa"/>
            <w:vAlign w:val="bottom"/>
            <w:gridSpan w:val="2"/>
            <w:shd w:val="clear" w:color="auto" w:fill="CCEEFF"/>
          </w:tcPr>
          <w:p>
            <w:pPr>
              <w:spacing w:after="0"/>
              <w:rPr>
                <w:sz w:val="23"/>
                <w:szCs w:val="23"/>
                <w:color w:val="auto"/>
              </w:rPr>
            </w:pPr>
          </w:p>
        </w:tc>
        <w:tc>
          <w:tcPr>
            <w:tcW w:w="2400" w:type="dxa"/>
            <w:vAlign w:val="bottom"/>
            <w:shd w:val="clear" w:color="auto" w:fill="CCEEFF"/>
          </w:tcPr>
          <w:p>
            <w:pPr>
              <w:spacing w:after="0"/>
              <w:rPr>
                <w:sz w:val="23"/>
                <w:szCs w:val="23"/>
                <w:color w:val="auto"/>
              </w:rPr>
            </w:pPr>
          </w:p>
        </w:tc>
        <w:tc>
          <w:tcPr>
            <w:tcW w:w="1900" w:type="dxa"/>
            <w:vAlign w:val="bottom"/>
            <w:shd w:val="clear" w:color="auto" w:fill="CCEEFF"/>
          </w:tcPr>
          <w:p>
            <w:pPr>
              <w:spacing w:after="0"/>
              <w:rPr>
                <w:sz w:val="23"/>
                <w:szCs w:val="23"/>
                <w:color w:val="auto"/>
              </w:rPr>
            </w:pPr>
          </w:p>
        </w:tc>
        <w:tc>
          <w:tcPr>
            <w:tcW w:w="3000" w:type="dxa"/>
            <w:vAlign w:val="bottom"/>
            <w:shd w:val="clear" w:color="auto" w:fill="CCEEFF"/>
          </w:tcPr>
          <w:p>
            <w:pPr>
              <w:spacing w:after="0"/>
              <w:rPr>
                <w:sz w:val="23"/>
                <w:szCs w:val="23"/>
                <w:color w:val="auto"/>
              </w:rPr>
            </w:pPr>
          </w:p>
        </w:tc>
        <w:tc>
          <w:tcPr>
            <w:tcW w:w="3700" w:type="dxa"/>
            <w:vAlign w:val="bottom"/>
            <w:shd w:val="clear" w:color="auto" w:fill="CCEEFF"/>
          </w:tcPr>
          <w:p>
            <w:pPr>
              <w:spacing w:after="0"/>
              <w:rPr>
                <w:sz w:val="23"/>
                <w:szCs w:val="23"/>
                <w:color w:val="auto"/>
              </w:rPr>
            </w:pPr>
          </w:p>
        </w:tc>
      </w:tr>
      <w:tr>
        <w:trPr>
          <w:trHeight w:val="230"/>
        </w:trPr>
        <w:tc>
          <w:tcPr>
            <w:tcW w:w="2820" w:type="dxa"/>
            <w:vAlign w:val="bottom"/>
            <w:gridSpan w:val="4"/>
          </w:tcPr>
          <w:p>
            <w:pPr>
              <w:ind w:left="40"/>
              <w:spacing w:after="0"/>
              <w:rPr>
                <w:sz w:val="20"/>
                <w:szCs w:val="20"/>
                <w:color w:val="auto"/>
              </w:rPr>
            </w:pPr>
            <w:r>
              <w:rPr>
                <w:rFonts w:ascii="Arial" w:cs="Arial" w:eastAsia="Arial" w:hAnsi="Arial"/>
                <w:sz w:val="14"/>
                <w:szCs w:val="14"/>
                <w:color w:val="auto"/>
              </w:rPr>
              <w:t>Notes:</w:t>
            </w:r>
          </w:p>
        </w:tc>
        <w:tc>
          <w:tcPr>
            <w:tcW w:w="190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3700" w:type="dxa"/>
            <w:vAlign w:val="bottom"/>
          </w:tcPr>
          <w:p>
            <w:pPr>
              <w:spacing w:after="0"/>
              <w:rPr>
                <w:sz w:val="19"/>
                <w:szCs w:val="19"/>
                <w:color w:val="auto"/>
              </w:rPr>
            </w:pPr>
          </w:p>
        </w:tc>
      </w:tr>
      <w:tr>
        <w:trPr>
          <w:trHeight w:val="21"/>
        </w:trPr>
        <w:tc>
          <w:tcPr>
            <w:tcW w:w="40" w:type="dxa"/>
            <w:vAlign w:val="bottom"/>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r>
      <w:tr>
        <w:trPr>
          <w:trHeight w:val="203"/>
        </w:trPr>
        <w:tc>
          <w:tcPr>
            <w:tcW w:w="3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(1)</w:t>
            </w:r>
          </w:p>
        </w:tc>
        <w:tc>
          <w:tcPr>
            <w:tcW w:w="25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Assembly Row</w:t>
            </w:r>
          </w:p>
        </w:tc>
        <w:tc>
          <w:tcPr>
            <w:tcW w:w="860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Remaining entitlements after Phase II include approximately 2 million square feet of commercial-use buildings and 826 residential units.</w:t>
            </w:r>
          </w:p>
        </w:tc>
      </w:tr>
      <w:tr>
        <w:trPr>
          <w:trHeight w:val="197"/>
        </w:trPr>
        <w:tc>
          <w:tcPr>
            <w:tcW w:w="300" w:type="dxa"/>
            <w:vAlign w:val="bottom"/>
            <w:gridSpan w:val="2"/>
          </w:tcPr>
          <w:p>
            <w:pPr>
              <w:ind w:left="40"/>
              <w:spacing w:after="0"/>
              <w:rPr>
                <w:sz w:val="20"/>
                <w:szCs w:val="20"/>
                <w:color w:val="auto"/>
              </w:rPr>
            </w:pPr>
            <w:r>
              <w:rPr>
                <w:rFonts w:ascii="Arial" w:cs="Arial" w:eastAsia="Arial" w:hAnsi="Arial"/>
                <w:sz w:val="14"/>
                <w:szCs w:val="14"/>
                <w:color w:val="auto"/>
              </w:rPr>
              <w:t>(2)</w:t>
            </w:r>
          </w:p>
        </w:tc>
        <w:tc>
          <w:tcPr>
            <w:tcW w:w="2520" w:type="dxa"/>
            <w:vAlign w:val="bottom"/>
            <w:gridSpan w:val="2"/>
          </w:tcPr>
          <w:p>
            <w:pPr>
              <w:ind w:left="80"/>
              <w:spacing w:after="0"/>
              <w:rPr>
                <w:sz w:val="20"/>
                <w:szCs w:val="20"/>
                <w:color w:val="auto"/>
              </w:rPr>
            </w:pPr>
            <w:r>
              <w:rPr>
                <w:rFonts w:ascii="Arial" w:cs="Arial" w:eastAsia="Arial" w:hAnsi="Arial"/>
                <w:sz w:val="14"/>
                <w:szCs w:val="14"/>
                <w:color w:val="auto"/>
              </w:rPr>
              <w:t>Pike &amp; Rose</w:t>
            </w:r>
          </w:p>
        </w:tc>
        <w:tc>
          <w:tcPr>
            <w:tcW w:w="8600" w:type="dxa"/>
            <w:vAlign w:val="bottom"/>
            <w:gridSpan w:val="3"/>
          </w:tcPr>
          <w:p>
            <w:pPr>
              <w:ind w:left="80"/>
              <w:spacing w:after="0"/>
              <w:rPr>
                <w:sz w:val="20"/>
                <w:szCs w:val="20"/>
                <w:color w:val="auto"/>
              </w:rPr>
            </w:pPr>
            <w:r>
              <w:rPr>
                <w:rFonts w:ascii="Arial" w:cs="Arial" w:eastAsia="Arial" w:hAnsi="Arial"/>
                <w:sz w:val="14"/>
                <w:szCs w:val="14"/>
                <w:color w:val="auto"/>
              </w:rPr>
              <w:t>Remaining entitlements after Phase II include 1 million square feet of commercial-use buildings and 741 residential units.</w:t>
            </w:r>
          </w:p>
        </w:tc>
      </w:tr>
      <w:tr>
        <w:trPr>
          <w:trHeight w:val="209"/>
        </w:trPr>
        <w:tc>
          <w:tcPr>
            <w:tcW w:w="3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(3)</w:t>
            </w:r>
          </w:p>
        </w:tc>
        <w:tc>
          <w:tcPr>
            <w:tcW w:w="25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Santana Row</w:t>
            </w:r>
          </w:p>
        </w:tc>
        <w:tc>
          <w:tcPr>
            <w:tcW w:w="860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Remaining entitlements include approximately 321,000 square feet of commercial space and 395 residential units.</w:t>
            </w:r>
          </w:p>
        </w:tc>
      </w:tr>
      <w:tr>
        <w:trPr>
          <w:trHeight w:val="459"/>
        </w:trPr>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000" w:type="dxa"/>
            <w:vAlign w:val="bottom"/>
          </w:tcPr>
          <w:p>
            <w:pPr>
              <w:ind w:left="900"/>
              <w:spacing w:after="0"/>
              <w:rPr>
                <w:sz w:val="20"/>
                <w:szCs w:val="20"/>
                <w:color w:val="auto"/>
              </w:rPr>
            </w:pPr>
            <w:r>
              <w:rPr>
                <w:rFonts w:ascii="Arial" w:cs="Arial" w:eastAsia="Arial" w:hAnsi="Arial"/>
                <w:sz w:val="18"/>
                <w:szCs w:val="18"/>
                <w:color w:val="auto"/>
              </w:rPr>
              <w:t>20</w:t>
            </w:r>
          </w:p>
        </w:tc>
        <w:tc>
          <w:tcPr>
            <w:tcW w:w="3700" w:type="dxa"/>
            <w:vAlign w:val="bottom"/>
          </w:tcPr>
          <w:p>
            <w:pPr>
              <w:spacing w:after="0"/>
              <w:rPr>
                <w:sz w:val="24"/>
                <w:szCs w:val="24"/>
                <w:color w:val="auto"/>
              </w:rPr>
            </w:pPr>
          </w:p>
        </w:tc>
      </w:tr>
    </w:tbl>
    <w:p>
      <w:pPr>
        <w:sectPr>
          <w:pgSz w:w="11900" w:h="16838" w:orient="portrait"/>
          <w:cols w:equalWidth="0" w:num="1">
            <w:col w:w="11420"/>
          </w:cols>
          <w:pgMar w:left="240" w:top="747" w:right="239" w:bottom="1440" w:gutter="0" w:footer="0" w:header="0"/>
        </w:sectPr>
      </w:pPr>
    </w:p>
    <w:bookmarkStart w:id="25" w:name="page26"/>
    <w:bookmarkEnd w:id="25"/>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2017 Significant Acquisitions and Dispositions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September 30,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2017 Significant Acquisitions</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Date</w:t>
            </w:r>
          </w:p>
        </w:tc>
        <w:tc>
          <w:tcPr>
            <w:tcW w:w="19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Property</w:t>
            </w:r>
          </w:p>
        </w:tc>
        <w:tc>
          <w:tcPr>
            <w:tcW w:w="204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City/State</w:t>
            </w:r>
          </w:p>
        </w:tc>
        <w:tc>
          <w:tcPr>
            <w:tcW w:w="1440" w:type="dxa"/>
            <w:vAlign w:val="bottom"/>
            <w:tcBorders>
              <w:bottom w:val="single" w:sz="8" w:color="auto"/>
            </w:tcBorders>
          </w:tcPr>
          <w:p>
            <w:pPr>
              <w:jc w:val="center"/>
              <w:ind w:left="143"/>
              <w:spacing w:after="0"/>
              <w:rPr>
                <w:sz w:val="20"/>
                <w:szCs w:val="20"/>
                <w:color w:val="auto"/>
              </w:rPr>
            </w:pPr>
            <w:r>
              <w:rPr>
                <w:rFonts w:ascii="Arial" w:cs="Arial" w:eastAsia="Arial" w:hAnsi="Arial"/>
                <w:sz w:val="14"/>
                <w:szCs w:val="14"/>
                <w:b w:val="1"/>
                <w:bCs w:val="1"/>
                <w:color w:val="auto"/>
              </w:rPr>
              <w:t>GLA</w:t>
            </w: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43"/>
              <w:spacing w:after="0"/>
              <w:rPr>
                <w:sz w:val="20"/>
                <w:szCs w:val="20"/>
                <w:color w:val="auto"/>
              </w:rPr>
            </w:pPr>
            <w:r>
              <w:rPr>
                <w:rFonts w:ascii="Arial" w:cs="Arial" w:eastAsia="Arial" w:hAnsi="Arial"/>
                <w:sz w:val="14"/>
                <w:szCs w:val="14"/>
                <w:b w:val="1"/>
                <w:bCs w:val="1"/>
                <w:color w:val="auto"/>
                <w:w w:val="94"/>
              </w:rPr>
              <w:t>Purchase Price</w:t>
            </w:r>
          </w:p>
        </w:tc>
        <w:tc>
          <w:tcPr>
            <w:tcW w:w="2320" w:type="dxa"/>
            <w:vAlign w:val="bottom"/>
            <w:tcBorders>
              <w:bottom w:val="single" w:sz="8" w:color="auto"/>
            </w:tcBorders>
          </w:tcPr>
          <w:p>
            <w:pPr>
              <w:ind w:left="700"/>
              <w:spacing w:after="0"/>
              <w:rPr>
                <w:sz w:val="20"/>
                <w:szCs w:val="20"/>
                <w:color w:val="auto"/>
              </w:rPr>
            </w:pPr>
            <w:r>
              <w:rPr>
                <w:rFonts w:ascii="Arial" w:cs="Arial" w:eastAsia="Arial" w:hAnsi="Arial"/>
                <w:sz w:val="14"/>
                <w:szCs w:val="14"/>
                <w:b w:val="1"/>
                <w:bCs w:val="1"/>
                <w:color w:val="auto"/>
              </w:rPr>
              <w:t>Principal Tenants</w:t>
            </w:r>
          </w:p>
        </w:tc>
        <w:tc>
          <w:tcPr>
            <w:tcW w:w="400" w:type="dxa"/>
            <w:vAlign w:val="bottom"/>
            <w:tcBorders>
              <w:bottom w:val="single" w:sz="8" w:color="auto"/>
            </w:tcBorders>
          </w:tcPr>
          <w:p>
            <w:pPr>
              <w:spacing w:after="0"/>
              <w:rPr>
                <w:sz w:val="16"/>
                <w:szCs w:val="16"/>
                <w:color w:val="auto"/>
              </w:rPr>
            </w:pPr>
          </w:p>
        </w:tc>
      </w:tr>
      <w:tr>
        <w:trPr>
          <w:trHeight w:val="217"/>
        </w:trPr>
        <w:tc>
          <w:tcPr>
            <w:tcW w:w="18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440" w:type="dxa"/>
            <w:vAlign w:val="bottom"/>
          </w:tcPr>
          <w:p>
            <w:pPr>
              <w:jc w:val="center"/>
              <w:ind w:left="143"/>
              <w:spacing w:after="0"/>
              <w:rPr>
                <w:sz w:val="20"/>
                <w:szCs w:val="20"/>
                <w:color w:val="auto"/>
              </w:rPr>
            </w:pPr>
            <w:r>
              <w:rPr>
                <w:rFonts w:ascii="Arial" w:cs="Arial" w:eastAsia="Arial" w:hAnsi="Arial"/>
                <w:sz w:val="14"/>
                <w:szCs w:val="14"/>
                <w:b w:val="1"/>
                <w:bCs w:val="1"/>
                <w:color w:val="auto"/>
                <w:w w:val="93"/>
              </w:rPr>
              <w:t>(in square feet)</w:t>
            </w:r>
          </w:p>
        </w:tc>
        <w:tc>
          <w:tcPr>
            <w:tcW w:w="280" w:type="dxa"/>
            <w:vAlign w:val="bottom"/>
          </w:tcPr>
          <w:p>
            <w:pPr>
              <w:spacing w:after="0"/>
              <w:rPr>
                <w:sz w:val="18"/>
                <w:szCs w:val="18"/>
                <w:color w:val="auto"/>
              </w:rPr>
            </w:pPr>
          </w:p>
        </w:tc>
        <w:tc>
          <w:tcPr>
            <w:tcW w:w="1200" w:type="dxa"/>
            <w:vAlign w:val="bottom"/>
          </w:tcPr>
          <w:p>
            <w:pPr>
              <w:jc w:val="right"/>
              <w:ind w:right="243"/>
              <w:spacing w:after="0"/>
              <w:rPr>
                <w:sz w:val="20"/>
                <w:szCs w:val="20"/>
                <w:color w:val="auto"/>
              </w:rPr>
            </w:pPr>
            <w:r>
              <w:rPr>
                <w:rFonts w:ascii="Arial" w:cs="Arial" w:eastAsia="Arial" w:hAnsi="Arial"/>
                <w:sz w:val="14"/>
                <w:szCs w:val="14"/>
                <w:b w:val="1"/>
                <w:bCs w:val="1"/>
                <w:color w:val="auto"/>
              </w:rPr>
              <w:t>(in millions)</w:t>
            </w:r>
          </w:p>
        </w:tc>
        <w:tc>
          <w:tcPr>
            <w:tcW w:w="232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53"/>
        </w:trPr>
        <w:tc>
          <w:tcPr>
            <w:tcW w:w="1840" w:type="dxa"/>
            <w:vAlign w:val="bottom"/>
          </w:tcPr>
          <w:p>
            <w:pPr>
              <w:spacing w:after="0"/>
              <w:rPr>
                <w:sz w:val="4"/>
                <w:szCs w:val="4"/>
                <w:color w:val="auto"/>
              </w:rPr>
            </w:pPr>
          </w:p>
        </w:tc>
        <w:tc>
          <w:tcPr>
            <w:tcW w:w="1900" w:type="dxa"/>
            <w:vAlign w:val="bottom"/>
          </w:tcPr>
          <w:p>
            <w:pPr>
              <w:spacing w:after="0"/>
              <w:rPr>
                <w:sz w:val="4"/>
                <w:szCs w:val="4"/>
                <w:color w:val="auto"/>
              </w:rPr>
            </w:pPr>
          </w:p>
        </w:tc>
        <w:tc>
          <w:tcPr>
            <w:tcW w:w="20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2320" w:type="dxa"/>
            <w:vAlign w:val="bottom"/>
          </w:tcPr>
          <w:p>
            <w:pPr>
              <w:spacing w:after="0"/>
              <w:rPr>
                <w:sz w:val="4"/>
                <w:szCs w:val="4"/>
                <w:color w:val="auto"/>
              </w:rPr>
            </w:pPr>
          </w:p>
        </w:tc>
        <w:tc>
          <w:tcPr>
            <w:tcW w:w="400" w:type="dxa"/>
            <w:vAlign w:val="bottom"/>
          </w:tcPr>
          <w:p>
            <w:pPr>
              <w:spacing w:after="0"/>
              <w:rPr>
                <w:sz w:val="4"/>
                <w:szCs w:val="4"/>
                <w:color w:val="auto"/>
              </w:rPr>
            </w:pPr>
          </w:p>
        </w:tc>
      </w:tr>
      <w:tr>
        <w:trPr>
          <w:trHeight w:val="220"/>
        </w:trPr>
        <w:tc>
          <w:tcPr>
            <w:tcW w:w="1840" w:type="dxa"/>
            <w:vAlign w:val="bottom"/>
            <w:shd w:val="clear" w:color="auto" w:fill="CCEEFF"/>
          </w:tcPr>
          <w:p>
            <w:pPr>
              <w:ind w:left="40"/>
              <w:spacing w:after="0"/>
              <w:rPr>
                <w:sz w:val="20"/>
                <w:szCs w:val="20"/>
                <w:color w:val="auto"/>
              </w:rPr>
            </w:pPr>
            <w:r>
              <w:rPr>
                <w:rFonts w:ascii="Arial" w:cs="Arial" w:eastAsia="Arial" w:hAnsi="Arial"/>
                <w:sz w:val="16"/>
                <w:szCs w:val="16"/>
                <w:color w:val="auto"/>
              </w:rPr>
              <w:t>February 1, 2017</w:t>
            </w:r>
          </w:p>
        </w:tc>
        <w:tc>
          <w:tcPr>
            <w:tcW w:w="19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Hastings Ranch Plaza</w:t>
            </w:r>
          </w:p>
        </w:tc>
        <w:tc>
          <w:tcPr>
            <w:tcW w:w="20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Pasadena, California</w:t>
            </w:r>
          </w:p>
        </w:tc>
        <w:tc>
          <w:tcPr>
            <w:tcW w:w="1440" w:type="dxa"/>
            <w:vAlign w:val="bottom"/>
            <w:shd w:val="clear" w:color="auto" w:fill="CCEEFF"/>
          </w:tcPr>
          <w:p>
            <w:pPr>
              <w:jc w:val="center"/>
              <w:ind w:left="143"/>
              <w:spacing w:after="0"/>
              <w:rPr>
                <w:sz w:val="20"/>
                <w:szCs w:val="20"/>
                <w:color w:val="auto"/>
              </w:rPr>
            </w:pPr>
            <w:r>
              <w:rPr>
                <w:rFonts w:ascii="Arial" w:cs="Arial" w:eastAsia="Arial" w:hAnsi="Arial"/>
                <w:sz w:val="16"/>
                <w:szCs w:val="16"/>
                <w:color w:val="auto"/>
                <w:w w:val="93"/>
              </w:rPr>
              <w:t>274,000</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29.5</w:t>
            </w:r>
          </w:p>
        </w:tc>
        <w:tc>
          <w:tcPr>
            <w:tcW w:w="232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6"/>
              </w:rPr>
              <w:t>Marshalls / HomeGoods / CVS /</w:t>
            </w:r>
          </w:p>
        </w:tc>
        <w:tc>
          <w:tcPr>
            <w:tcW w:w="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r>
      <w:tr>
        <w:trPr>
          <w:trHeight w:val="219"/>
        </w:trPr>
        <w:tc>
          <w:tcPr>
            <w:tcW w:w="184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CCEEFF"/>
            </w:tcBorders>
            <w:shd w:val="clear" w:color="auto" w:fill="CCEEFF"/>
          </w:tcPr>
          <w:p>
            <w:pPr>
              <w:spacing w:after="0"/>
              <w:rPr>
                <w:sz w:val="19"/>
                <w:szCs w:val="19"/>
                <w:color w:val="auto"/>
              </w:rPr>
            </w:pPr>
          </w:p>
        </w:tc>
        <w:tc>
          <w:tcPr>
            <w:tcW w:w="204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2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Sears</w:t>
            </w:r>
          </w:p>
        </w:tc>
        <w:tc>
          <w:tcPr>
            <w:tcW w:w="400" w:type="dxa"/>
            <w:vAlign w:val="bottom"/>
            <w:tcBorders>
              <w:bottom w:val="single" w:sz="8" w:color="CCEEFF"/>
            </w:tcBorders>
            <w:shd w:val="clear" w:color="auto" w:fill="CCEEFF"/>
          </w:tcPr>
          <w:p>
            <w:pPr>
              <w:spacing w:after="0"/>
              <w:rPr>
                <w:sz w:val="19"/>
                <w:szCs w:val="19"/>
                <w:color w:val="auto"/>
              </w:rPr>
            </w:pPr>
          </w:p>
        </w:tc>
      </w:tr>
      <w:tr>
        <w:trPr>
          <w:trHeight w:val="220"/>
        </w:trPr>
        <w:tc>
          <w:tcPr>
            <w:tcW w:w="1840" w:type="dxa"/>
            <w:vAlign w:val="bottom"/>
          </w:tcPr>
          <w:p>
            <w:pPr>
              <w:ind w:left="40"/>
              <w:spacing w:after="0"/>
              <w:rPr>
                <w:sz w:val="20"/>
                <w:szCs w:val="20"/>
                <w:color w:val="auto"/>
              </w:rPr>
            </w:pPr>
            <w:r>
              <w:rPr>
                <w:rFonts w:ascii="Arial" w:cs="Arial" w:eastAsia="Arial" w:hAnsi="Arial"/>
                <w:sz w:val="16"/>
                <w:szCs w:val="16"/>
                <w:color w:val="auto"/>
              </w:rPr>
              <w:t>March 31, 2017</w:t>
            </w:r>
          </w:p>
        </w:tc>
        <w:tc>
          <w:tcPr>
            <w:tcW w:w="1900" w:type="dxa"/>
            <w:vAlign w:val="bottom"/>
          </w:tcPr>
          <w:p>
            <w:pPr>
              <w:ind w:left="160"/>
              <w:spacing w:after="0"/>
              <w:rPr>
                <w:sz w:val="20"/>
                <w:szCs w:val="20"/>
                <w:color w:val="auto"/>
              </w:rPr>
            </w:pPr>
            <w:r>
              <w:rPr>
                <w:rFonts w:ascii="Arial" w:cs="Arial" w:eastAsia="Arial" w:hAnsi="Arial"/>
                <w:sz w:val="16"/>
                <w:szCs w:val="16"/>
                <w:color w:val="auto"/>
              </w:rPr>
              <w:t>Riverpoint Center</w:t>
            </w:r>
          </w:p>
        </w:tc>
        <w:tc>
          <w:tcPr>
            <w:tcW w:w="2040" w:type="dxa"/>
            <w:vAlign w:val="bottom"/>
          </w:tcPr>
          <w:p>
            <w:pPr>
              <w:ind w:left="320"/>
              <w:spacing w:after="0"/>
              <w:rPr>
                <w:sz w:val="20"/>
                <w:szCs w:val="20"/>
                <w:color w:val="auto"/>
              </w:rPr>
            </w:pPr>
            <w:r>
              <w:rPr>
                <w:rFonts w:ascii="Arial" w:cs="Arial" w:eastAsia="Arial" w:hAnsi="Arial"/>
                <w:sz w:val="16"/>
                <w:szCs w:val="16"/>
                <w:color w:val="auto"/>
              </w:rPr>
              <w:t>Chicago, Illinois</w:t>
            </w:r>
          </w:p>
        </w:tc>
        <w:tc>
          <w:tcPr>
            <w:tcW w:w="1440" w:type="dxa"/>
            <w:vAlign w:val="bottom"/>
          </w:tcPr>
          <w:p>
            <w:pPr>
              <w:jc w:val="center"/>
              <w:ind w:left="163"/>
              <w:spacing w:after="0"/>
              <w:rPr>
                <w:sz w:val="20"/>
                <w:szCs w:val="20"/>
                <w:color w:val="auto"/>
              </w:rPr>
            </w:pPr>
            <w:r>
              <w:rPr>
                <w:rFonts w:ascii="Arial" w:cs="Arial" w:eastAsia="Arial" w:hAnsi="Arial"/>
                <w:sz w:val="16"/>
                <w:szCs w:val="16"/>
                <w:color w:val="auto"/>
                <w:w w:val="89"/>
              </w:rPr>
              <w:t>211,000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43"/>
              <w:spacing w:after="0"/>
              <w:rPr>
                <w:sz w:val="20"/>
                <w:szCs w:val="20"/>
                <w:color w:val="auto"/>
              </w:rPr>
            </w:pPr>
            <w:r>
              <w:rPr>
                <w:rFonts w:ascii="Arial" w:cs="Arial" w:eastAsia="Arial" w:hAnsi="Arial"/>
                <w:sz w:val="16"/>
                <w:szCs w:val="16"/>
                <w:color w:val="auto"/>
              </w:rPr>
              <w:t>107.0</w:t>
            </w:r>
          </w:p>
        </w:tc>
        <w:tc>
          <w:tcPr>
            <w:tcW w:w="2320" w:type="dxa"/>
            <w:vAlign w:val="bottom"/>
          </w:tcPr>
          <w:p>
            <w:pPr>
              <w:ind w:left="120"/>
              <w:spacing w:after="0"/>
              <w:rPr>
                <w:sz w:val="20"/>
                <w:szCs w:val="20"/>
                <w:color w:val="auto"/>
              </w:rPr>
            </w:pPr>
            <w:r>
              <w:rPr>
                <w:rFonts w:ascii="Arial" w:cs="Arial" w:eastAsia="Arial" w:hAnsi="Arial"/>
                <w:sz w:val="16"/>
                <w:szCs w:val="16"/>
                <w:color w:val="auto"/>
              </w:rPr>
              <w:t>Jewel Osco / Marshalls / Old</w:t>
            </w:r>
          </w:p>
        </w:tc>
        <w:tc>
          <w:tcPr>
            <w:tcW w:w="400" w:type="dxa"/>
            <w:vAlign w:val="bottom"/>
          </w:tcPr>
          <w:p>
            <w:pPr>
              <w:spacing w:after="0"/>
              <w:rPr>
                <w:sz w:val="19"/>
                <w:szCs w:val="19"/>
                <w:color w:val="auto"/>
              </w:rPr>
            </w:pPr>
          </w:p>
        </w:tc>
      </w:tr>
      <w:tr>
        <w:trPr>
          <w:trHeight w:val="206"/>
        </w:trPr>
        <w:tc>
          <w:tcPr>
            <w:tcW w:w="18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320" w:type="dxa"/>
            <w:vAlign w:val="bottom"/>
          </w:tcPr>
          <w:p>
            <w:pPr>
              <w:ind w:left="120"/>
              <w:spacing w:after="0"/>
              <w:rPr>
                <w:sz w:val="20"/>
                <w:szCs w:val="20"/>
                <w:color w:val="auto"/>
              </w:rPr>
            </w:pPr>
            <w:r>
              <w:rPr>
                <w:rFonts w:ascii="Arial" w:cs="Arial" w:eastAsia="Arial" w:hAnsi="Arial"/>
                <w:sz w:val="16"/>
                <w:szCs w:val="16"/>
                <w:color w:val="auto"/>
              </w:rPr>
              <w:t>Navy</w:t>
            </w:r>
          </w:p>
        </w:tc>
        <w:tc>
          <w:tcPr>
            <w:tcW w:w="400" w:type="dxa"/>
            <w:vAlign w:val="bottom"/>
          </w:tcPr>
          <w:p>
            <w:pPr>
              <w:spacing w:after="0"/>
              <w:rPr>
                <w:sz w:val="17"/>
                <w:szCs w:val="17"/>
                <w:color w:val="auto"/>
              </w:rPr>
            </w:pPr>
          </w:p>
        </w:tc>
      </w:tr>
      <w:tr>
        <w:trPr>
          <w:trHeight w:val="33"/>
        </w:trPr>
        <w:tc>
          <w:tcPr>
            <w:tcW w:w="18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50"/>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May 19, 2017</w:t>
            </w:r>
          </w:p>
        </w:tc>
        <w:tc>
          <w:tcPr>
            <w:tcW w:w="1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Fourth Street</w:t>
            </w:r>
          </w:p>
        </w:tc>
        <w:tc>
          <w:tcPr>
            <w:tcW w:w="20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Berkeley, California</w:t>
            </w:r>
          </w:p>
        </w:tc>
        <w:tc>
          <w:tcPr>
            <w:tcW w:w="1440" w:type="dxa"/>
            <w:vAlign w:val="bottom"/>
            <w:tcBorders>
              <w:bottom w:val="single" w:sz="8" w:color="CCEEFF"/>
            </w:tcBorders>
            <w:shd w:val="clear" w:color="auto" w:fill="CCEEFF"/>
          </w:tcPr>
          <w:p>
            <w:pPr>
              <w:jc w:val="center"/>
              <w:ind w:left="143"/>
              <w:spacing w:after="0"/>
              <w:rPr>
                <w:sz w:val="20"/>
                <w:szCs w:val="20"/>
                <w:color w:val="auto"/>
              </w:rPr>
            </w:pPr>
            <w:r>
              <w:rPr>
                <w:rFonts w:ascii="Arial" w:cs="Arial" w:eastAsia="Arial" w:hAnsi="Arial"/>
                <w:sz w:val="16"/>
                <w:szCs w:val="16"/>
                <w:color w:val="auto"/>
                <w:w w:val="93"/>
              </w:rPr>
              <w:t>71,000</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23.9</w:t>
            </w:r>
          </w:p>
        </w:tc>
        <w:tc>
          <w:tcPr>
            <w:tcW w:w="2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CB2 / Ingram Book Group</w:t>
            </w:r>
          </w:p>
        </w:tc>
        <w:tc>
          <w:tcPr>
            <w:tcW w:w="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r>
      <w:tr>
        <w:trPr>
          <w:trHeight w:val="20"/>
        </w:trPr>
        <w:tc>
          <w:tcPr>
            <w:tcW w:w="184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40" w:lineRule="exact"/>
        <w:rPr>
          <w:sz w:val="20"/>
          <w:szCs w:val="20"/>
          <w:color w:val="auto"/>
        </w:rPr>
      </w:pPr>
    </w:p>
    <w:p>
      <w:pPr>
        <w:ind w:left="420" w:hanging="412"/>
        <w:spacing w:after="0"/>
        <w:tabs>
          <w:tab w:leader="none" w:pos="4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We acquired the leasehold interest in Hastings Ranch Plaza. The land is controlled under a long-term ground lease that expires on April 30, 2054.</w:t>
      </w:r>
    </w:p>
    <w:p>
      <w:pPr>
        <w:spacing w:after="0" w:line="74" w:lineRule="exact"/>
        <w:rPr>
          <w:rFonts w:ascii="Arial" w:cs="Arial" w:eastAsia="Arial" w:hAnsi="Arial"/>
          <w:sz w:val="17"/>
          <w:szCs w:val="17"/>
          <w:color w:val="auto"/>
        </w:rPr>
      </w:pPr>
    </w:p>
    <w:p>
      <w:pPr>
        <w:ind w:left="420" w:hanging="412"/>
        <w:spacing w:after="0"/>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acquisition was completed through a newly formed entity for which we own a 90% interest.</w:t>
      </w:r>
    </w:p>
    <w:p>
      <w:pPr>
        <w:spacing w:after="0" w:line="293"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On August 2, 2017, we acquired an approximately 90% interest in a joint venture that owns six shopping centers in Los Angeles County, California based on a gross value of $357 million, including the assumption of approximately $79.4 million of mortgage debt. That joint venture also acquired a 24.5% interest in La Alameda, a shopping center in Walnut Park, California for $19.8 million. The property has $41 million of mortgage debt, of which the joint venture's share is approximately $10 million. Additional information on the properties is listed below:</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Property</w:t>
            </w:r>
          </w:p>
        </w:tc>
        <w:tc>
          <w:tcPr>
            <w:tcW w:w="2920" w:type="dxa"/>
            <w:vAlign w:val="bottom"/>
            <w:tcBorders>
              <w:bottom w:val="single" w:sz="8" w:color="auto"/>
            </w:tcBorders>
          </w:tcPr>
          <w:p>
            <w:pPr>
              <w:ind w:left="1000"/>
              <w:spacing w:after="0"/>
              <w:rPr>
                <w:sz w:val="20"/>
                <w:szCs w:val="20"/>
                <w:color w:val="auto"/>
              </w:rPr>
            </w:pPr>
            <w:r>
              <w:rPr>
                <w:rFonts w:ascii="Arial" w:cs="Arial" w:eastAsia="Arial" w:hAnsi="Arial"/>
                <w:sz w:val="14"/>
                <w:szCs w:val="14"/>
                <w:b w:val="1"/>
                <w:bCs w:val="1"/>
                <w:color w:val="auto"/>
              </w:rPr>
              <w:t>City/State</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GLA</w:t>
            </w:r>
          </w:p>
        </w:tc>
        <w:tc>
          <w:tcPr>
            <w:tcW w:w="4560" w:type="dxa"/>
            <w:vAlign w:val="bottom"/>
            <w:tcBorders>
              <w:bottom w:val="single" w:sz="8" w:color="auto"/>
            </w:tcBorders>
          </w:tcPr>
          <w:p>
            <w:pPr>
              <w:ind w:left="1800"/>
              <w:spacing w:after="0"/>
              <w:rPr>
                <w:sz w:val="20"/>
                <w:szCs w:val="20"/>
                <w:color w:val="auto"/>
              </w:rPr>
            </w:pPr>
            <w:r>
              <w:rPr>
                <w:rFonts w:ascii="Arial" w:cs="Arial" w:eastAsia="Arial" w:hAnsi="Arial"/>
                <w:sz w:val="14"/>
                <w:szCs w:val="14"/>
                <w:b w:val="1"/>
                <w:bCs w:val="1"/>
                <w:color w:val="auto"/>
              </w:rPr>
              <w:t>Principal Tenants</w:t>
            </w:r>
          </w:p>
        </w:tc>
      </w:tr>
      <w:tr>
        <w:trPr>
          <w:trHeight w:val="217"/>
        </w:trPr>
        <w:tc>
          <w:tcPr>
            <w:tcW w:w="27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1"/>
              </w:rPr>
              <w:t>(in square feet)</w:t>
            </w:r>
          </w:p>
        </w:tc>
        <w:tc>
          <w:tcPr>
            <w:tcW w:w="4560" w:type="dxa"/>
            <w:vAlign w:val="bottom"/>
          </w:tcPr>
          <w:p>
            <w:pPr>
              <w:spacing w:after="0"/>
              <w:rPr>
                <w:sz w:val="18"/>
                <w:szCs w:val="18"/>
                <w:color w:val="auto"/>
              </w:rPr>
            </w:pPr>
          </w:p>
        </w:tc>
      </w:tr>
      <w:tr>
        <w:trPr>
          <w:trHeight w:val="53"/>
        </w:trPr>
        <w:tc>
          <w:tcPr>
            <w:tcW w:w="2700" w:type="dxa"/>
            <w:vAlign w:val="bottom"/>
          </w:tcPr>
          <w:p>
            <w:pPr>
              <w:spacing w:after="0"/>
              <w:rPr>
                <w:sz w:val="4"/>
                <w:szCs w:val="4"/>
                <w:color w:val="auto"/>
              </w:rPr>
            </w:pPr>
          </w:p>
        </w:tc>
        <w:tc>
          <w:tcPr>
            <w:tcW w:w="29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4560" w:type="dxa"/>
            <w:vAlign w:val="bottom"/>
          </w:tcPr>
          <w:p>
            <w:pPr>
              <w:spacing w:after="0"/>
              <w:rPr>
                <w:sz w:val="4"/>
                <w:szCs w:val="4"/>
                <w:color w:val="auto"/>
              </w:rPr>
            </w:pPr>
          </w:p>
        </w:tc>
      </w:tr>
      <w:tr>
        <w:trPr>
          <w:trHeight w:val="250"/>
        </w:trPr>
        <w:tc>
          <w:tcPr>
            <w:tcW w:w="2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Azalea</w:t>
            </w:r>
          </w:p>
        </w:tc>
        <w:tc>
          <w:tcPr>
            <w:tcW w:w="292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6"/>
                <w:szCs w:val="16"/>
                <w:color w:val="auto"/>
              </w:rPr>
              <w:t>South Gate, CA</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222,000</w:t>
            </w:r>
          </w:p>
        </w:tc>
        <w:tc>
          <w:tcPr>
            <w:tcW w:w="4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Marshalls / Ross Dress for Less / Ulta / CVS</w:t>
            </w:r>
          </w:p>
        </w:tc>
      </w:tr>
      <w:tr>
        <w:trPr>
          <w:trHeight w:val="224"/>
        </w:trPr>
        <w:tc>
          <w:tcPr>
            <w:tcW w:w="2700" w:type="dxa"/>
            <w:vAlign w:val="bottom"/>
          </w:tcPr>
          <w:p>
            <w:pPr>
              <w:ind w:left="40"/>
              <w:spacing w:after="0"/>
              <w:rPr>
                <w:sz w:val="20"/>
                <w:szCs w:val="20"/>
                <w:color w:val="auto"/>
              </w:rPr>
            </w:pPr>
            <w:r>
              <w:rPr>
                <w:rFonts w:ascii="Arial" w:cs="Arial" w:eastAsia="Arial" w:hAnsi="Arial"/>
                <w:sz w:val="16"/>
                <w:szCs w:val="16"/>
                <w:color w:val="auto"/>
              </w:rPr>
              <w:t>Bell Gardens</w:t>
            </w:r>
          </w:p>
        </w:tc>
        <w:tc>
          <w:tcPr>
            <w:tcW w:w="2920" w:type="dxa"/>
            <w:vAlign w:val="bottom"/>
          </w:tcPr>
          <w:p>
            <w:pPr>
              <w:ind w:left="1000"/>
              <w:spacing w:after="0"/>
              <w:rPr>
                <w:sz w:val="20"/>
                <w:szCs w:val="20"/>
                <w:color w:val="auto"/>
              </w:rPr>
            </w:pPr>
            <w:r>
              <w:rPr>
                <w:rFonts w:ascii="Arial" w:cs="Arial" w:eastAsia="Arial" w:hAnsi="Arial"/>
                <w:sz w:val="16"/>
                <w:szCs w:val="16"/>
                <w:color w:val="auto"/>
              </w:rPr>
              <w:t>Bell Gardens, CA</w:t>
            </w:r>
          </w:p>
        </w:tc>
        <w:tc>
          <w:tcPr>
            <w:tcW w:w="1240" w:type="dxa"/>
            <w:vAlign w:val="bottom"/>
          </w:tcPr>
          <w:p>
            <w:pPr>
              <w:jc w:val="center"/>
              <w:spacing w:after="0"/>
              <w:rPr>
                <w:sz w:val="20"/>
                <w:szCs w:val="20"/>
                <w:color w:val="auto"/>
              </w:rPr>
            </w:pPr>
            <w:r>
              <w:rPr>
                <w:rFonts w:ascii="Arial" w:cs="Arial" w:eastAsia="Arial" w:hAnsi="Arial"/>
                <w:sz w:val="16"/>
                <w:szCs w:val="16"/>
                <w:color w:val="auto"/>
                <w:w w:val="93"/>
              </w:rPr>
              <w:t>330,000</w:t>
            </w:r>
          </w:p>
        </w:tc>
        <w:tc>
          <w:tcPr>
            <w:tcW w:w="4560" w:type="dxa"/>
            <w:vAlign w:val="bottom"/>
          </w:tcPr>
          <w:p>
            <w:pPr>
              <w:ind w:left="140"/>
              <w:spacing w:after="0"/>
              <w:rPr>
                <w:sz w:val="20"/>
                <w:szCs w:val="20"/>
                <w:color w:val="auto"/>
              </w:rPr>
            </w:pPr>
            <w:r>
              <w:rPr>
                <w:rFonts w:ascii="Arial" w:cs="Arial" w:eastAsia="Arial" w:hAnsi="Arial"/>
                <w:sz w:val="16"/>
                <w:szCs w:val="16"/>
                <w:color w:val="auto"/>
              </w:rPr>
              <w:t>Marshalls / Ross Dress for Less / Petco / Food4Less</w:t>
            </w:r>
          </w:p>
        </w:tc>
      </w:tr>
      <w:tr>
        <w:trPr>
          <w:trHeight w:val="47"/>
        </w:trPr>
        <w:tc>
          <w:tcPr>
            <w:tcW w:w="2700" w:type="dxa"/>
            <w:vAlign w:val="bottom"/>
          </w:tcPr>
          <w:p>
            <w:pPr>
              <w:spacing w:after="0"/>
              <w:rPr>
                <w:sz w:val="4"/>
                <w:szCs w:val="4"/>
                <w:color w:val="auto"/>
              </w:rPr>
            </w:pPr>
          </w:p>
        </w:tc>
        <w:tc>
          <w:tcPr>
            <w:tcW w:w="29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4560" w:type="dxa"/>
            <w:vAlign w:val="bottom"/>
          </w:tcPr>
          <w:p>
            <w:pPr>
              <w:spacing w:after="0"/>
              <w:rPr>
                <w:sz w:val="4"/>
                <w:szCs w:val="4"/>
                <w:color w:val="auto"/>
              </w:rPr>
            </w:pPr>
          </w:p>
        </w:tc>
      </w:tr>
      <w:tr>
        <w:trPr>
          <w:trHeight w:val="250"/>
        </w:trPr>
        <w:tc>
          <w:tcPr>
            <w:tcW w:w="2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La Alameda</w:t>
            </w:r>
          </w:p>
        </w:tc>
        <w:tc>
          <w:tcPr>
            <w:tcW w:w="292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6"/>
                <w:szCs w:val="16"/>
                <w:color w:val="auto"/>
              </w:rPr>
              <w:t>Walnut Park, CA</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245,000</w:t>
            </w:r>
          </w:p>
        </w:tc>
        <w:tc>
          <w:tcPr>
            <w:tcW w:w="4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Marshalls / Ross Dress for Less / CVS / Petco</w:t>
            </w:r>
          </w:p>
        </w:tc>
      </w:tr>
      <w:tr>
        <w:trPr>
          <w:trHeight w:val="220"/>
        </w:trPr>
        <w:tc>
          <w:tcPr>
            <w:tcW w:w="2700" w:type="dxa"/>
            <w:vAlign w:val="bottom"/>
          </w:tcPr>
          <w:p>
            <w:pPr>
              <w:ind w:left="40"/>
              <w:spacing w:after="0"/>
              <w:rPr>
                <w:sz w:val="20"/>
                <w:szCs w:val="20"/>
                <w:color w:val="auto"/>
              </w:rPr>
            </w:pPr>
            <w:r>
              <w:rPr>
                <w:rFonts w:ascii="Arial" w:cs="Arial" w:eastAsia="Arial" w:hAnsi="Arial"/>
                <w:sz w:val="16"/>
                <w:szCs w:val="16"/>
                <w:color w:val="auto"/>
              </w:rPr>
              <w:t xml:space="preserve">Olivo at Mission Hills </w:t>
            </w:r>
            <w:r>
              <w:rPr>
                <w:rFonts w:ascii="Arial" w:cs="Arial" w:eastAsia="Arial" w:hAnsi="Arial"/>
                <w:sz w:val="14"/>
                <w:szCs w:val="14"/>
                <w:color w:val="auto"/>
              </w:rPr>
              <w:t>(1)</w:t>
            </w:r>
          </w:p>
        </w:tc>
        <w:tc>
          <w:tcPr>
            <w:tcW w:w="2920" w:type="dxa"/>
            <w:vAlign w:val="bottom"/>
          </w:tcPr>
          <w:p>
            <w:pPr>
              <w:ind w:left="1000"/>
              <w:spacing w:after="0"/>
              <w:rPr>
                <w:sz w:val="20"/>
                <w:szCs w:val="20"/>
                <w:color w:val="auto"/>
              </w:rPr>
            </w:pPr>
            <w:r>
              <w:rPr>
                <w:rFonts w:ascii="Arial" w:cs="Arial" w:eastAsia="Arial" w:hAnsi="Arial"/>
                <w:sz w:val="16"/>
                <w:szCs w:val="16"/>
                <w:color w:val="auto"/>
              </w:rPr>
              <w:t>Mission Hills, CA</w:t>
            </w:r>
          </w:p>
        </w:tc>
        <w:tc>
          <w:tcPr>
            <w:tcW w:w="1240" w:type="dxa"/>
            <w:vAlign w:val="bottom"/>
          </w:tcPr>
          <w:p>
            <w:pPr>
              <w:jc w:val="center"/>
              <w:spacing w:after="0"/>
              <w:rPr>
                <w:sz w:val="20"/>
                <w:szCs w:val="20"/>
                <w:color w:val="auto"/>
              </w:rPr>
            </w:pPr>
            <w:r>
              <w:rPr>
                <w:rFonts w:ascii="Arial" w:cs="Arial" w:eastAsia="Arial" w:hAnsi="Arial"/>
                <w:sz w:val="16"/>
                <w:szCs w:val="16"/>
                <w:color w:val="auto"/>
                <w:w w:val="93"/>
              </w:rPr>
              <w:t>155,000</w:t>
            </w:r>
          </w:p>
        </w:tc>
        <w:tc>
          <w:tcPr>
            <w:tcW w:w="4560" w:type="dxa"/>
            <w:vAlign w:val="bottom"/>
          </w:tcPr>
          <w:p>
            <w:pPr>
              <w:ind w:left="140"/>
              <w:spacing w:after="0"/>
              <w:rPr>
                <w:sz w:val="20"/>
                <w:szCs w:val="20"/>
                <w:color w:val="auto"/>
              </w:rPr>
            </w:pPr>
            <w:r>
              <w:rPr>
                <w:rFonts w:ascii="Arial" w:cs="Arial" w:eastAsia="Arial" w:hAnsi="Arial"/>
                <w:sz w:val="16"/>
                <w:szCs w:val="16"/>
                <w:color w:val="auto"/>
                <w:w w:val="93"/>
              </w:rPr>
              <w:t>Pre-leased to: Target (opened 10/2017) / Ross Dress for Less / 24</w:t>
            </w:r>
          </w:p>
        </w:tc>
      </w:tr>
      <w:tr>
        <w:trPr>
          <w:trHeight w:val="206"/>
        </w:trPr>
        <w:tc>
          <w:tcPr>
            <w:tcW w:w="270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560" w:type="dxa"/>
            <w:vAlign w:val="bottom"/>
          </w:tcPr>
          <w:p>
            <w:pPr>
              <w:ind w:left="140"/>
              <w:spacing w:after="0"/>
              <w:rPr>
                <w:sz w:val="20"/>
                <w:szCs w:val="20"/>
                <w:color w:val="auto"/>
              </w:rPr>
            </w:pPr>
            <w:r>
              <w:rPr>
                <w:rFonts w:ascii="Arial" w:cs="Arial" w:eastAsia="Arial" w:hAnsi="Arial"/>
                <w:sz w:val="16"/>
                <w:szCs w:val="16"/>
                <w:color w:val="auto"/>
              </w:rPr>
              <w:t>Hour Fitness</w:t>
            </w:r>
          </w:p>
        </w:tc>
      </w:tr>
      <w:tr>
        <w:trPr>
          <w:trHeight w:val="33"/>
        </w:trPr>
        <w:tc>
          <w:tcPr>
            <w:tcW w:w="27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560" w:type="dxa"/>
            <w:vAlign w:val="bottom"/>
          </w:tcPr>
          <w:p>
            <w:pPr>
              <w:spacing w:after="0"/>
              <w:rPr>
                <w:sz w:val="2"/>
                <w:szCs w:val="2"/>
                <w:color w:val="auto"/>
              </w:rPr>
            </w:pPr>
          </w:p>
        </w:tc>
      </w:tr>
      <w:tr>
        <w:trPr>
          <w:trHeight w:val="250"/>
        </w:trPr>
        <w:tc>
          <w:tcPr>
            <w:tcW w:w="2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Plaza Del Sol</w:t>
            </w:r>
          </w:p>
        </w:tc>
        <w:tc>
          <w:tcPr>
            <w:tcW w:w="292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6"/>
                <w:szCs w:val="16"/>
                <w:color w:val="auto"/>
              </w:rPr>
              <w:t>South El Monte, CA</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48,000</w:t>
            </w:r>
          </w:p>
        </w:tc>
        <w:tc>
          <w:tcPr>
            <w:tcW w:w="4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Marshalls / Starbucks</w:t>
            </w:r>
          </w:p>
        </w:tc>
      </w:tr>
      <w:tr>
        <w:trPr>
          <w:trHeight w:val="224"/>
        </w:trPr>
        <w:tc>
          <w:tcPr>
            <w:tcW w:w="2700" w:type="dxa"/>
            <w:vAlign w:val="bottom"/>
          </w:tcPr>
          <w:p>
            <w:pPr>
              <w:ind w:left="40"/>
              <w:spacing w:after="0"/>
              <w:rPr>
                <w:sz w:val="20"/>
                <w:szCs w:val="20"/>
                <w:color w:val="auto"/>
              </w:rPr>
            </w:pPr>
            <w:r>
              <w:rPr>
                <w:rFonts w:ascii="Arial" w:cs="Arial" w:eastAsia="Arial" w:hAnsi="Arial"/>
                <w:sz w:val="16"/>
                <w:szCs w:val="16"/>
                <w:color w:val="auto"/>
              </w:rPr>
              <w:t>Plaza Pacoima</w:t>
            </w:r>
          </w:p>
        </w:tc>
        <w:tc>
          <w:tcPr>
            <w:tcW w:w="2920" w:type="dxa"/>
            <w:vAlign w:val="bottom"/>
          </w:tcPr>
          <w:p>
            <w:pPr>
              <w:ind w:left="1000"/>
              <w:spacing w:after="0"/>
              <w:rPr>
                <w:sz w:val="20"/>
                <w:szCs w:val="20"/>
                <w:color w:val="auto"/>
              </w:rPr>
            </w:pPr>
            <w:r>
              <w:rPr>
                <w:rFonts w:ascii="Arial" w:cs="Arial" w:eastAsia="Arial" w:hAnsi="Arial"/>
                <w:sz w:val="16"/>
                <w:szCs w:val="16"/>
                <w:color w:val="auto"/>
              </w:rPr>
              <w:t>Pacoima, CA</w:t>
            </w:r>
          </w:p>
        </w:tc>
        <w:tc>
          <w:tcPr>
            <w:tcW w:w="1240" w:type="dxa"/>
            <w:vAlign w:val="bottom"/>
          </w:tcPr>
          <w:p>
            <w:pPr>
              <w:jc w:val="center"/>
              <w:spacing w:after="0"/>
              <w:rPr>
                <w:sz w:val="20"/>
                <w:szCs w:val="20"/>
                <w:color w:val="auto"/>
              </w:rPr>
            </w:pPr>
            <w:r>
              <w:rPr>
                <w:rFonts w:ascii="Arial" w:cs="Arial" w:eastAsia="Arial" w:hAnsi="Arial"/>
                <w:sz w:val="16"/>
                <w:szCs w:val="16"/>
                <w:color w:val="auto"/>
                <w:w w:val="93"/>
              </w:rPr>
              <w:t>204,000</w:t>
            </w:r>
          </w:p>
        </w:tc>
        <w:tc>
          <w:tcPr>
            <w:tcW w:w="4560" w:type="dxa"/>
            <w:vAlign w:val="bottom"/>
          </w:tcPr>
          <w:p>
            <w:pPr>
              <w:ind w:left="140"/>
              <w:spacing w:after="0"/>
              <w:rPr>
                <w:sz w:val="20"/>
                <w:szCs w:val="20"/>
                <w:color w:val="auto"/>
              </w:rPr>
            </w:pPr>
            <w:r>
              <w:rPr>
                <w:rFonts w:ascii="Arial" w:cs="Arial" w:eastAsia="Arial" w:hAnsi="Arial"/>
                <w:sz w:val="16"/>
                <w:szCs w:val="16"/>
                <w:color w:val="auto"/>
              </w:rPr>
              <w:t>Costco / Best Buy</w:t>
            </w:r>
          </w:p>
        </w:tc>
      </w:tr>
      <w:tr>
        <w:trPr>
          <w:trHeight w:val="47"/>
        </w:trPr>
        <w:tc>
          <w:tcPr>
            <w:tcW w:w="2700" w:type="dxa"/>
            <w:vAlign w:val="bottom"/>
          </w:tcPr>
          <w:p>
            <w:pPr>
              <w:spacing w:after="0"/>
              <w:rPr>
                <w:sz w:val="4"/>
                <w:szCs w:val="4"/>
                <w:color w:val="auto"/>
              </w:rPr>
            </w:pPr>
          </w:p>
        </w:tc>
        <w:tc>
          <w:tcPr>
            <w:tcW w:w="29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4560" w:type="dxa"/>
            <w:vAlign w:val="bottom"/>
          </w:tcPr>
          <w:p>
            <w:pPr>
              <w:spacing w:after="0"/>
              <w:rPr>
                <w:sz w:val="4"/>
                <w:szCs w:val="4"/>
                <w:color w:val="auto"/>
              </w:rPr>
            </w:pPr>
          </w:p>
        </w:tc>
      </w:tr>
      <w:tr>
        <w:trPr>
          <w:trHeight w:val="250"/>
        </w:trPr>
        <w:tc>
          <w:tcPr>
            <w:tcW w:w="2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Sylmar Towne Center</w:t>
            </w:r>
          </w:p>
        </w:tc>
        <w:tc>
          <w:tcPr>
            <w:tcW w:w="292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6"/>
                <w:szCs w:val="16"/>
                <w:color w:val="auto"/>
              </w:rPr>
              <w:t>Sylmar, CA</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148,000</w:t>
            </w:r>
          </w:p>
        </w:tc>
        <w:tc>
          <w:tcPr>
            <w:tcW w:w="4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CVS / Food4Less</w:t>
            </w:r>
          </w:p>
        </w:tc>
      </w:tr>
      <w:tr>
        <w:trPr>
          <w:trHeight w:val="20"/>
        </w:trPr>
        <w:tc>
          <w:tcPr>
            <w:tcW w:w="27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bl>
    <w:p>
      <w:pPr>
        <w:spacing w:after="0" w:line="13" w:lineRule="exact"/>
        <w:rPr>
          <w:sz w:val="20"/>
          <w:szCs w:val="20"/>
          <w:color w:val="auto"/>
        </w:rPr>
      </w:pPr>
    </w:p>
    <w:p>
      <w:pPr>
        <w:ind w:left="5920"/>
        <w:spacing w:after="0"/>
        <w:rPr>
          <w:sz w:val="20"/>
          <w:szCs w:val="20"/>
          <w:color w:val="auto"/>
        </w:rPr>
      </w:pPr>
      <w:r>
        <w:rPr>
          <w:rFonts w:ascii="Arial" w:cs="Arial" w:eastAsia="Arial" w:hAnsi="Arial"/>
          <w:sz w:val="16"/>
          <w:szCs w:val="16"/>
          <w:b w:val="1"/>
          <w:bCs w:val="1"/>
          <w:color w:val="auto"/>
        </w:rPr>
        <w:t>1,352,000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22466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43" w:lineRule="exact"/>
        <w:rPr>
          <w:sz w:val="20"/>
          <w:szCs w:val="20"/>
          <w:color w:val="auto"/>
        </w:rPr>
      </w:pPr>
    </w:p>
    <w:p>
      <w:pPr>
        <w:ind w:left="420" w:hanging="412"/>
        <w:spacing w:after="0"/>
        <w:tabs>
          <w:tab w:leader="none" w:pos="4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Property is currently being redeveloped. GLA reflects approximate square footage once the property is open and operating.</w:t>
      </w: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2017 Significant Dispositions</w:t>
      </w:r>
    </w:p>
    <w:p>
      <w:pPr>
        <w:spacing w:after="0" w:line="29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On April 4, 2017 and June 28, 2017, the sale transactions at our Assembly Row property in Somerville, Massachusetts related to the purchase options on our Partners HealthCare and AvalonBay ground lease parcels, respectively, closed. The total sales price was $53.3 million, which resulted in a gain of $15.4 million. During the third quarter of 2017, the following sale transactions closed:</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540" w:type="dxa"/>
            <w:vAlign w:val="bottom"/>
          </w:tcPr>
          <w:p>
            <w:pPr>
              <w:ind w:left="40"/>
              <w:spacing w:after="0"/>
              <w:rPr>
                <w:sz w:val="20"/>
                <w:szCs w:val="20"/>
                <w:color w:val="auto"/>
              </w:rPr>
            </w:pPr>
            <w:r>
              <w:rPr>
                <w:rFonts w:ascii="Arial" w:cs="Arial" w:eastAsia="Arial" w:hAnsi="Arial"/>
                <w:sz w:val="16"/>
                <w:szCs w:val="16"/>
                <w:b w:val="1"/>
                <w:bCs w:val="1"/>
                <w:color w:val="auto"/>
              </w:rPr>
              <w:t>Date</w:t>
            </w:r>
          </w:p>
        </w:tc>
        <w:tc>
          <w:tcPr>
            <w:tcW w:w="2080" w:type="dxa"/>
            <w:vAlign w:val="bottom"/>
          </w:tcPr>
          <w:p>
            <w:pPr>
              <w:ind w:left="220"/>
              <w:spacing w:after="0"/>
              <w:rPr>
                <w:sz w:val="20"/>
                <w:szCs w:val="20"/>
                <w:color w:val="auto"/>
              </w:rPr>
            </w:pPr>
            <w:r>
              <w:rPr>
                <w:rFonts w:ascii="Arial" w:cs="Arial" w:eastAsia="Arial" w:hAnsi="Arial"/>
                <w:sz w:val="16"/>
                <w:szCs w:val="16"/>
                <w:b w:val="1"/>
                <w:bCs w:val="1"/>
                <w:color w:val="auto"/>
              </w:rPr>
              <w:t>Property</w:t>
            </w:r>
          </w:p>
        </w:tc>
        <w:tc>
          <w:tcPr>
            <w:tcW w:w="2580" w:type="dxa"/>
            <w:vAlign w:val="bottom"/>
          </w:tcPr>
          <w:p>
            <w:pPr>
              <w:ind w:left="1200"/>
              <w:spacing w:after="0"/>
              <w:rPr>
                <w:sz w:val="20"/>
                <w:szCs w:val="20"/>
                <w:color w:val="auto"/>
              </w:rPr>
            </w:pPr>
            <w:r>
              <w:rPr>
                <w:rFonts w:ascii="Arial" w:cs="Arial" w:eastAsia="Arial" w:hAnsi="Arial"/>
                <w:sz w:val="16"/>
                <w:szCs w:val="16"/>
                <w:b w:val="1"/>
                <w:bCs w:val="1"/>
                <w:color w:val="auto"/>
              </w:rPr>
              <w:t>City/State</w:t>
            </w:r>
          </w:p>
        </w:tc>
        <w:tc>
          <w:tcPr>
            <w:tcW w:w="1640" w:type="dxa"/>
            <w:vAlign w:val="bottom"/>
          </w:tcPr>
          <w:p>
            <w:pPr>
              <w:jc w:val="center"/>
              <w:ind w:left="221"/>
              <w:spacing w:after="0"/>
              <w:rPr>
                <w:sz w:val="20"/>
                <w:szCs w:val="20"/>
                <w:color w:val="auto"/>
              </w:rPr>
            </w:pPr>
            <w:r>
              <w:rPr>
                <w:rFonts w:ascii="Arial" w:cs="Arial" w:eastAsia="Arial" w:hAnsi="Arial"/>
                <w:sz w:val="16"/>
                <w:szCs w:val="16"/>
                <w:b w:val="1"/>
                <w:bCs w:val="1"/>
                <w:color w:val="auto"/>
              </w:rPr>
              <w:t>GLA</w:t>
            </w:r>
          </w:p>
        </w:tc>
        <w:tc>
          <w:tcPr>
            <w:tcW w:w="480" w:type="dxa"/>
            <w:vAlign w:val="bottom"/>
          </w:tcPr>
          <w:p>
            <w:pPr>
              <w:spacing w:after="0"/>
              <w:rPr>
                <w:sz w:val="18"/>
                <w:szCs w:val="18"/>
                <w:color w:val="auto"/>
              </w:rPr>
            </w:pPr>
          </w:p>
        </w:tc>
        <w:tc>
          <w:tcPr>
            <w:tcW w:w="1380" w:type="dxa"/>
            <w:vAlign w:val="bottom"/>
          </w:tcPr>
          <w:p>
            <w:pPr>
              <w:jc w:val="right"/>
              <w:ind w:right="361"/>
              <w:spacing w:after="0"/>
              <w:rPr>
                <w:sz w:val="20"/>
                <w:szCs w:val="20"/>
                <w:color w:val="auto"/>
              </w:rPr>
            </w:pPr>
            <w:r>
              <w:rPr>
                <w:rFonts w:ascii="Arial" w:cs="Arial" w:eastAsia="Arial" w:hAnsi="Arial"/>
                <w:sz w:val="16"/>
                <w:szCs w:val="16"/>
                <w:b w:val="1"/>
                <w:bCs w:val="1"/>
                <w:color w:val="auto"/>
              </w:rPr>
              <w:t>Sales Price</w:t>
            </w:r>
          </w:p>
        </w:tc>
        <w:tc>
          <w:tcPr>
            <w:tcW w:w="320" w:type="dxa"/>
            <w:vAlign w:val="bottom"/>
          </w:tcPr>
          <w:p>
            <w:pPr>
              <w:spacing w:after="0"/>
              <w:rPr>
                <w:sz w:val="18"/>
                <w:szCs w:val="18"/>
                <w:color w:val="auto"/>
              </w:rPr>
            </w:pPr>
          </w:p>
        </w:tc>
        <w:tc>
          <w:tcPr>
            <w:tcW w:w="1400" w:type="dxa"/>
            <w:vAlign w:val="bottom"/>
          </w:tcPr>
          <w:p>
            <w:pPr>
              <w:jc w:val="right"/>
              <w:ind w:right="401"/>
              <w:spacing w:after="0"/>
              <w:rPr>
                <w:sz w:val="20"/>
                <w:szCs w:val="20"/>
                <w:color w:val="auto"/>
              </w:rPr>
            </w:pPr>
            <w:r>
              <w:rPr>
                <w:rFonts w:ascii="Arial" w:cs="Arial" w:eastAsia="Arial" w:hAnsi="Arial"/>
                <w:sz w:val="16"/>
                <w:szCs w:val="16"/>
                <w:b w:val="1"/>
                <w:bCs w:val="1"/>
                <w:color w:val="auto"/>
              </w:rPr>
              <w:t>Total Gain</w:t>
            </w:r>
          </w:p>
        </w:tc>
      </w:tr>
      <w:tr>
        <w:trPr>
          <w:trHeight w:val="33"/>
        </w:trPr>
        <w:tc>
          <w:tcPr>
            <w:tcW w:w="154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8"/>
        </w:trPr>
        <w:tc>
          <w:tcPr>
            <w:tcW w:w="154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1640" w:type="dxa"/>
            <w:vAlign w:val="bottom"/>
          </w:tcPr>
          <w:p>
            <w:pPr>
              <w:jc w:val="center"/>
              <w:ind w:left="241"/>
              <w:spacing w:after="0"/>
              <w:rPr>
                <w:sz w:val="20"/>
                <w:szCs w:val="20"/>
                <w:color w:val="auto"/>
              </w:rPr>
            </w:pPr>
            <w:r>
              <w:rPr>
                <w:rFonts w:ascii="Arial" w:cs="Arial" w:eastAsia="Arial" w:hAnsi="Arial"/>
                <w:sz w:val="14"/>
                <w:szCs w:val="14"/>
                <w:b w:val="1"/>
                <w:bCs w:val="1"/>
                <w:color w:val="auto"/>
                <w:w w:val="91"/>
              </w:rPr>
              <w:t>(in square feet)</w:t>
            </w:r>
          </w:p>
        </w:tc>
        <w:tc>
          <w:tcPr>
            <w:tcW w:w="480" w:type="dxa"/>
            <w:vAlign w:val="bottom"/>
          </w:tcPr>
          <w:p>
            <w:pPr>
              <w:spacing w:after="0"/>
              <w:rPr>
                <w:sz w:val="22"/>
                <w:szCs w:val="22"/>
                <w:color w:val="auto"/>
              </w:rPr>
            </w:pPr>
          </w:p>
        </w:tc>
        <w:tc>
          <w:tcPr>
            <w:tcW w:w="1380" w:type="dxa"/>
            <w:vAlign w:val="bottom"/>
          </w:tcPr>
          <w:p>
            <w:pPr>
              <w:jc w:val="right"/>
              <w:ind w:right="361"/>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22"/>
                <w:szCs w:val="22"/>
                <w:color w:val="auto"/>
              </w:rPr>
            </w:pPr>
          </w:p>
        </w:tc>
        <w:tc>
          <w:tcPr>
            <w:tcW w:w="1400" w:type="dxa"/>
            <w:vAlign w:val="bottom"/>
          </w:tcPr>
          <w:p>
            <w:pPr>
              <w:jc w:val="right"/>
              <w:ind w:right="401"/>
              <w:spacing w:after="0"/>
              <w:rPr>
                <w:sz w:val="20"/>
                <w:szCs w:val="20"/>
                <w:color w:val="auto"/>
              </w:rPr>
            </w:pPr>
            <w:r>
              <w:rPr>
                <w:rFonts w:ascii="Arial" w:cs="Arial" w:eastAsia="Arial" w:hAnsi="Arial"/>
                <w:sz w:val="14"/>
                <w:szCs w:val="14"/>
                <w:b w:val="1"/>
                <w:bCs w:val="1"/>
                <w:color w:val="auto"/>
              </w:rPr>
              <w:t>(in millions)</w:t>
            </w:r>
          </w:p>
        </w:tc>
      </w:tr>
      <w:tr>
        <w:trPr>
          <w:trHeight w:val="243"/>
        </w:trPr>
        <w:tc>
          <w:tcPr>
            <w:tcW w:w="1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August 25, 2017</w:t>
            </w:r>
          </w:p>
        </w:tc>
        <w:tc>
          <w:tcPr>
            <w:tcW w:w="20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150 Post Street</w:t>
            </w:r>
          </w:p>
        </w:tc>
        <w:tc>
          <w:tcPr>
            <w:tcW w:w="25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San Francisco, California</w:t>
            </w:r>
          </w:p>
        </w:tc>
        <w:tc>
          <w:tcPr>
            <w:tcW w:w="1640" w:type="dxa"/>
            <w:vAlign w:val="bottom"/>
            <w:tcBorders>
              <w:bottom w:val="single" w:sz="8" w:color="CCEEFF"/>
            </w:tcBorders>
            <w:shd w:val="clear" w:color="auto" w:fill="CCEEFF"/>
          </w:tcPr>
          <w:p>
            <w:pPr>
              <w:jc w:val="center"/>
              <w:ind w:left="221"/>
              <w:spacing w:after="0"/>
              <w:rPr>
                <w:sz w:val="20"/>
                <w:szCs w:val="20"/>
                <w:color w:val="auto"/>
              </w:rPr>
            </w:pPr>
            <w:r>
              <w:rPr>
                <w:rFonts w:ascii="Arial" w:cs="Arial" w:eastAsia="Arial" w:hAnsi="Arial"/>
                <w:sz w:val="16"/>
                <w:szCs w:val="16"/>
                <w:color w:val="auto"/>
                <w:w w:val="93"/>
              </w:rPr>
              <w:t>105,000</w:t>
            </w:r>
          </w:p>
        </w:tc>
        <w:tc>
          <w:tcPr>
            <w:tcW w:w="4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69.3</w:t>
            </w:r>
          </w:p>
        </w:tc>
        <w:tc>
          <w:tcPr>
            <w:tcW w:w="3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45.2</w:t>
            </w:r>
          </w:p>
        </w:tc>
      </w:tr>
      <w:tr>
        <w:trPr>
          <w:trHeight w:val="224"/>
        </w:trPr>
        <w:tc>
          <w:tcPr>
            <w:tcW w:w="1540" w:type="dxa"/>
            <w:vAlign w:val="bottom"/>
          </w:tcPr>
          <w:p>
            <w:pPr>
              <w:ind w:left="40"/>
              <w:spacing w:after="0"/>
              <w:rPr>
                <w:sz w:val="20"/>
                <w:szCs w:val="20"/>
                <w:color w:val="auto"/>
              </w:rPr>
            </w:pPr>
            <w:r>
              <w:rPr>
                <w:rFonts w:ascii="Arial" w:cs="Arial" w:eastAsia="Arial" w:hAnsi="Arial"/>
                <w:sz w:val="16"/>
                <w:szCs w:val="16"/>
                <w:color w:val="auto"/>
              </w:rPr>
              <w:t>September 25, 2017</w:t>
            </w:r>
          </w:p>
        </w:tc>
        <w:tc>
          <w:tcPr>
            <w:tcW w:w="2080" w:type="dxa"/>
            <w:vAlign w:val="bottom"/>
          </w:tcPr>
          <w:p>
            <w:pPr>
              <w:ind w:left="220"/>
              <w:spacing w:after="0"/>
              <w:rPr>
                <w:sz w:val="20"/>
                <w:szCs w:val="20"/>
                <w:color w:val="auto"/>
              </w:rPr>
            </w:pPr>
            <w:r>
              <w:rPr>
                <w:rFonts w:ascii="Arial" w:cs="Arial" w:eastAsia="Arial" w:hAnsi="Arial"/>
                <w:sz w:val="16"/>
                <w:szCs w:val="16"/>
                <w:color w:val="auto"/>
              </w:rPr>
              <w:t>North Lake Commons</w:t>
            </w:r>
          </w:p>
        </w:tc>
        <w:tc>
          <w:tcPr>
            <w:tcW w:w="2580" w:type="dxa"/>
            <w:vAlign w:val="bottom"/>
          </w:tcPr>
          <w:p>
            <w:pPr>
              <w:ind w:left="420"/>
              <w:spacing w:after="0"/>
              <w:rPr>
                <w:sz w:val="20"/>
                <w:szCs w:val="20"/>
                <w:color w:val="auto"/>
              </w:rPr>
            </w:pPr>
            <w:r>
              <w:rPr>
                <w:rFonts w:ascii="Arial" w:cs="Arial" w:eastAsia="Arial" w:hAnsi="Arial"/>
                <w:sz w:val="16"/>
                <w:szCs w:val="16"/>
                <w:color w:val="auto"/>
              </w:rPr>
              <w:t>Lake Zurich, Illinois</w:t>
            </w:r>
          </w:p>
        </w:tc>
        <w:tc>
          <w:tcPr>
            <w:tcW w:w="1640" w:type="dxa"/>
            <w:vAlign w:val="bottom"/>
          </w:tcPr>
          <w:p>
            <w:pPr>
              <w:jc w:val="center"/>
              <w:ind w:left="221"/>
              <w:spacing w:after="0"/>
              <w:rPr>
                <w:sz w:val="20"/>
                <w:szCs w:val="20"/>
                <w:color w:val="auto"/>
              </w:rPr>
            </w:pPr>
            <w:r>
              <w:rPr>
                <w:rFonts w:ascii="Arial" w:cs="Arial" w:eastAsia="Arial" w:hAnsi="Arial"/>
                <w:sz w:val="16"/>
                <w:szCs w:val="16"/>
                <w:color w:val="auto"/>
                <w:w w:val="93"/>
              </w:rPr>
              <w:t>129,000</w:t>
            </w:r>
          </w:p>
        </w:tc>
        <w:tc>
          <w:tcPr>
            <w:tcW w:w="4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
              <w:spacing w:after="0"/>
              <w:rPr>
                <w:sz w:val="20"/>
                <w:szCs w:val="20"/>
                <w:color w:val="auto"/>
              </w:rPr>
            </w:pPr>
            <w:r>
              <w:rPr>
                <w:rFonts w:ascii="Arial" w:cs="Arial" w:eastAsia="Arial" w:hAnsi="Arial"/>
                <w:sz w:val="16"/>
                <w:szCs w:val="16"/>
                <w:color w:val="auto"/>
              </w:rPr>
              <w:t>15.6</w:t>
            </w:r>
          </w:p>
        </w:tc>
        <w:tc>
          <w:tcPr>
            <w:tcW w:w="3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21"/>
              <w:spacing w:after="0"/>
              <w:rPr>
                <w:sz w:val="20"/>
                <w:szCs w:val="20"/>
                <w:color w:val="auto"/>
              </w:rPr>
            </w:pPr>
            <w:r>
              <w:rPr>
                <w:rFonts w:ascii="Arial" w:cs="Arial" w:eastAsia="Arial" w:hAnsi="Arial"/>
                <w:sz w:val="16"/>
                <w:szCs w:val="16"/>
                <w:color w:val="auto"/>
              </w:rPr>
              <w:t>4.9</w:t>
            </w:r>
          </w:p>
        </w:tc>
      </w:tr>
    </w:tbl>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742" w:right="239" w:bottom="1440" w:gutter="0" w:footer="0" w:header="0"/>
        </w:sectPr>
      </w:pPr>
    </w:p>
    <w:bookmarkStart w:id="26" w:name="page27"/>
    <w:bookmarkEnd w:id="26"/>
    <w:p>
      <w:pPr>
        <w:ind w:left="2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Real Estate Status Report</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September 30, 2017</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8"/>
              </w:rPr>
              <w:t>Mortgage</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300" w:type="dxa"/>
            <w:vAlign w:val="bottom"/>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and/or</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3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Capital</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3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Lease</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w:t>
            </w:r>
          </w:p>
        </w:tc>
        <w:tc>
          <w:tcPr>
            <w:tcW w:w="680" w:type="dxa"/>
            <w:vAlign w:val="bottom"/>
          </w:tcPr>
          <w:p>
            <w:pPr>
              <w:spacing w:after="0"/>
              <w:rPr>
                <w:sz w:val="11"/>
                <w:szCs w:val="11"/>
                <w:color w:val="auto"/>
              </w:rPr>
            </w:pPr>
          </w:p>
        </w:tc>
        <w:tc>
          <w:tcPr>
            <w:tcW w:w="580" w:type="dxa"/>
            <w:vAlign w:val="bottom"/>
          </w:tcPr>
          <w:p>
            <w:pPr>
              <w:ind w:left="40"/>
              <w:spacing w:after="0" w:line="135" w:lineRule="exact"/>
              <w:rPr>
                <w:sz w:val="20"/>
                <w:szCs w:val="20"/>
                <w:color w:val="auto"/>
              </w:rPr>
            </w:pPr>
            <w:r>
              <w:rPr>
                <w:rFonts w:ascii="Arial" w:cs="Arial" w:eastAsia="Arial" w:hAnsi="Arial"/>
                <w:sz w:val="13"/>
                <w:szCs w:val="13"/>
                <w:b w:val="1"/>
                <w:bCs w:val="1"/>
                <w:color w:val="auto"/>
              </w:rPr>
              <w:t>Grocery</w:t>
            </w:r>
          </w:p>
        </w:tc>
        <w:tc>
          <w:tcPr>
            <w:tcW w:w="900" w:type="dxa"/>
            <w:vAlign w:val="bottom"/>
          </w:tcPr>
          <w:p>
            <w:pPr>
              <w:spacing w:after="0"/>
              <w:rPr>
                <w:sz w:val="11"/>
                <w:szCs w:val="11"/>
                <w:color w:val="auto"/>
              </w:rPr>
            </w:pPr>
          </w:p>
        </w:tc>
        <w:tc>
          <w:tcPr>
            <w:tcW w:w="23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Real Estate</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Obligation</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89"/>
              </w:rPr>
              <w:t>Leased</w:t>
            </w:r>
          </w:p>
        </w:tc>
        <w:tc>
          <w:tcPr>
            <w:tcW w:w="6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86"/>
              </w:rPr>
              <w:t>Residential</w:t>
            </w:r>
          </w:p>
        </w:tc>
        <w:tc>
          <w:tcPr>
            <w:tcW w:w="58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92"/>
              </w:rPr>
              <w:t>Anchor</w:t>
            </w:r>
          </w:p>
        </w:tc>
        <w:tc>
          <w:tcPr>
            <w:tcW w:w="90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Grocery</w:t>
            </w:r>
          </w:p>
        </w:tc>
        <w:tc>
          <w:tcPr>
            <w:tcW w:w="2300" w:type="dxa"/>
            <w:vAlign w:val="bottom"/>
          </w:tcPr>
          <w:p>
            <w:pPr>
              <w:spacing w:after="0"/>
              <w:rPr>
                <w:sz w:val="11"/>
                <w:szCs w:val="11"/>
                <w:color w:val="auto"/>
              </w:rPr>
            </w:pPr>
          </w:p>
        </w:tc>
      </w:tr>
      <w:tr>
        <w:trPr>
          <w:trHeight w:val="174"/>
        </w:trPr>
        <w:tc>
          <w:tcPr>
            <w:tcW w:w="130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Property Name</w:t>
            </w:r>
          </w:p>
        </w:tc>
        <w:tc>
          <w:tcPr>
            <w:tcW w:w="32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MSA Description</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at Cost</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(1)</w:t>
            </w:r>
          </w:p>
        </w:tc>
        <w:tc>
          <w:tcPr>
            <w:tcW w:w="60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Acreage</w:t>
            </w:r>
          </w:p>
        </w:tc>
        <w:tc>
          <w:tcPr>
            <w:tcW w:w="7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3"/>
                <w:szCs w:val="13"/>
                <w:b w:val="1"/>
                <w:bCs w:val="1"/>
                <w:color w:val="auto"/>
              </w:rPr>
              <w:t>GLA (2)</w:t>
            </w:r>
          </w:p>
        </w:tc>
        <w:tc>
          <w:tcPr>
            <w:tcW w:w="4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(2)</w:t>
            </w:r>
          </w:p>
        </w:tc>
        <w:tc>
          <w:tcPr>
            <w:tcW w:w="6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Units</w:t>
            </w:r>
          </w:p>
        </w:tc>
        <w:tc>
          <w:tcPr>
            <w:tcW w:w="58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94"/>
              </w:rPr>
              <w:t>GLA</w:t>
            </w:r>
          </w:p>
        </w:tc>
        <w:tc>
          <w:tcPr>
            <w:tcW w:w="90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Anchor</w:t>
            </w:r>
          </w:p>
        </w:tc>
        <w:tc>
          <w:tcPr>
            <w:tcW w:w="230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Other Retail Tenants</w:t>
            </w:r>
          </w:p>
        </w:tc>
      </w:tr>
      <w:tr>
        <w:trPr>
          <w:trHeight w:val="13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300" w:type="dxa"/>
            <w:vAlign w:val="bottom"/>
          </w:tcPr>
          <w:p>
            <w:pPr>
              <w:spacing w:after="0"/>
              <w:rPr>
                <w:sz w:val="12"/>
                <w:szCs w:val="12"/>
                <w:color w:val="auto"/>
              </w:rPr>
            </w:pPr>
          </w:p>
        </w:tc>
      </w:tr>
      <w:tr>
        <w:trPr>
          <w:trHeight w:val="136"/>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700" w:type="dxa"/>
            <w:vAlign w:val="bottom"/>
          </w:tcPr>
          <w:p>
            <w:pPr>
              <w:jc w:val="center"/>
              <w:spacing w:after="0"/>
              <w:rPr>
                <w:sz w:val="20"/>
                <w:szCs w:val="20"/>
                <w:color w:val="auto"/>
              </w:rPr>
            </w:pPr>
            <w:r>
              <w:rPr>
                <w:rFonts w:ascii="Arial" w:cs="Arial" w:eastAsia="Arial" w:hAnsi="Arial"/>
                <w:sz w:val="11"/>
                <w:szCs w:val="11"/>
                <w:color w:val="auto"/>
                <w:w w:val="88"/>
              </w:rPr>
              <w:t>(in thousands)</w:t>
            </w:r>
          </w:p>
        </w:tc>
        <w:tc>
          <w:tcPr>
            <w:tcW w:w="660" w:type="dxa"/>
            <w:vAlign w:val="bottom"/>
          </w:tcPr>
          <w:p>
            <w:pPr>
              <w:jc w:val="center"/>
              <w:spacing w:after="0"/>
              <w:rPr>
                <w:sz w:val="20"/>
                <w:szCs w:val="20"/>
                <w:color w:val="auto"/>
              </w:rPr>
            </w:pPr>
            <w:r>
              <w:rPr>
                <w:rFonts w:ascii="Arial" w:cs="Arial" w:eastAsia="Arial" w:hAnsi="Arial"/>
                <w:sz w:val="11"/>
                <w:szCs w:val="11"/>
                <w:color w:val="auto"/>
                <w:w w:val="88"/>
              </w:rPr>
              <w:t>thousands)</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300" w:type="dxa"/>
            <w:vAlign w:val="bottom"/>
          </w:tcPr>
          <w:p>
            <w:pPr>
              <w:spacing w:after="0"/>
              <w:rPr>
                <w:sz w:val="11"/>
                <w:szCs w:val="11"/>
                <w:color w:val="auto"/>
              </w:rPr>
            </w:pPr>
          </w:p>
        </w:tc>
      </w:tr>
      <w:tr>
        <w:trPr>
          <w:trHeight w:val="22"/>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3600" w:type="dxa"/>
            <w:vAlign w:val="bottom"/>
            <w:gridSpan w:val="5"/>
            <w:shd w:val="clear" w:color="auto" w:fill="CCEEFF"/>
          </w:tcPr>
          <w:p>
            <w:pPr>
              <w:ind w:left="60"/>
              <w:spacing w:after="0"/>
              <w:rPr>
                <w:sz w:val="20"/>
                <w:szCs w:val="20"/>
                <w:color w:val="auto"/>
              </w:rPr>
            </w:pPr>
            <w:r>
              <w:rPr>
                <w:rFonts w:ascii="Arial" w:cs="Arial" w:eastAsia="Arial" w:hAnsi="Arial"/>
                <w:sz w:val="13"/>
                <w:szCs w:val="13"/>
                <w:b w:val="1"/>
                <w:bCs w:val="1"/>
                <w:color w:val="auto"/>
              </w:rPr>
              <w:t>Washington Metropolitan Area</w:t>
            </w:r>
          </w:p>
        </w:tc>
        <w:tc>
          <w:tcPr>
            <w:tcW w:w="7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r>
      <w:tr>
        <w:trPr>
          <w:trHeight w:val="102"/>
        </w:trPr>
        <w:tc>
          <w:tcPr>
            <w:tcW w:w="2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32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186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CCEEFF"/>
            </w:tcBorders>
            <w:shd w:val="clear" w:color="auto" w:fill="CCEEFF"/>
          </w:tcPr>
          <w:p>
            <w:pPr>
              <w:spacing w:after="0"/>
              <w:rPr>
                <w:sz w:val="8"/>
                <w:szCs w:val="8"/>
                <w:color w:val="auto"/>
              </w:rPr>
            </w:pPr>
          </w:p>
        </w:tc>
        <w:tc>
          <w:tcPr>
            <w:tcW w:w="900" w:type="dxa"/>
            <w:vAlign w:val="bottom"/>
            <w:tcBorders>
              <w:top w:val="single" w:sz="8" w:color="CCEEFF"/>
            </w:tcBorders>
            <w:shd w:val="clear" w:color="auto" w:fill="CCEEFF"/>
          </w:tcPr>
          <w:p>
            <w:pPr>
              <w:spacing w:after="0"/>
              <w:rPr>
                <w:sz w:val="8"/>
                <w:szCs w:val="8"/>
                <w:color w:val="auto"/>
              </w:rPr>
            </w:pPr>
          </w:p>
        </w:tc>
        <w:tc>
          <w:tcPr>
            <w:tcW w:w="2300" w:type="dxa"/>
            <w:vAlign w:val="bottom"/>
            <w:tcBorders>
              <w:top w:val="single" w:sz="8" w:color="CCEEFF"/>
            </w:tcBorders>
            <w:shd w:val="clear" w:color="auto" w:fill="CCEEFF"/>
          </w:tcPr>
          <w:p>
            <w:pPr>
              <w:spacing w:after="0"/>
              <w:rPr>
                <w:sz w:val="8"/>
                <w:szCs w:val="8"/>
                <w:color w:val="auto"/>
              </w:rPr>
            </w:pPr>
          </w:p>
        </w:tc>
      </w:tr>
      <w:tr>
        <w:trPr>
          <w:trHeight w:val="173"/>
        </w:trPr>
        <w:tc>
          <w:tcPr>
            <w:tcW w:w="1300" w:type="dxa"/>
            <w:vAlign w:val="bottom"/>
            <w:gridSpan w:val="3"/>
          </w:tcPr>
          <w:p>
            <w:pPr>
              <w:ind w:left="20"/>
              <w:spacing w:after="0"/>
              <w:rPr>
                <w:sz w:val="20"/>
                <w:szCs w:val="20"/>
                <w:color w:val="auto"/>
              </w:rPr>
            </w:pPr>
            <w:r>
              <w:rPr>
                <w:rFonts w:ascii="Arial" w:cs="Arial" w:eastAsia="Arial" w:hAnsi="Arial"/>
                <w:sz w:val="13"/>
                <w:szCs w:val="13"/>
                <w:color w:val="auto"/>
              </w:rPr>
              <w:t>Barcroft Plaza</w:t>
            </w:r>
          </w:p>
        </w:tc>
        <w:tc>
          <w:tcPr>
            <w:tcW w:w="320" w:type="dxa"/>
            <w:vAlign w:val="bottom"/>
          </w:tcPr>
          <w:p>
            <w:pPr>
              <w:spacing w:after="0"/>
              <w:rPr>
                <w:sz w:val="15"/>
                <w:szCs w:val="15"/>
                <w:color w:val="auto"/>
              </w:rPr>
            </w:pPr>
          </w:p>
        </w:tc>
        <w:tc>
          <w:tcPr>
            <w:tcW w:w="2000" w:type="dxa"/>
            <w:vAlign w:val="bottom"/>
            <w:gridSpan w:val="2"/>
          </w:tcPr>
          <w:p>
            <w:pPr>
              <w:ind w:left="100"/>
              <w:spacing w:after="0"/>
              <w:rPr>
                <w:sz w:val="20"/>
                <w:szCs w:val="20"/>
                <w:color w:val="auto"/>
              </w:rPr>
            </w:pPr>
            <w:r>
              <w:rPr>
                <w:rFonts w:ascii="Arial" w:cs="Arial" w:eastAsia="Arial" w:hAnsi="Arial"/>
                <w:sz w:val="13"/>
                <w:szCs w:val="13"/>
                <w:color w:val="auto"/>
              </w:rPr>
              <w:t>Washington, DC-MD-VA</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w w:val="96"/>
              </w:rPr>
              <w:t>$   44,090</w:t>
            </w:r>
          </w:p>
        </w:tc>
        <w:tc>
          <w:tcPr>
            <w:tcW w:w="660" w:type="dxa"/>
            <w:vAlign w:val="bottom"/>
          </w:tcPr>
          <w:p>
            <w:pPr>
              <w:spacing w:after="0"/>
              <w:rPr>
                <w:sz w:val="15"/>
                <w:szCs w:val="15"/>
                <w:color w:val="auto"/>
              </w:rPr>
            </w:pP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15"/>
                <w:szCs w:val="15"/>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115,000</w:t>
            </w: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88%</w:t>
            </w:r>
          </w:p>
        </w:tc>
        <w:tc>
          <w:tcPr>
            <w:tcW w:w="680" w:type="dxa"/>
            <w:vAlign w:val="bottom"/>
          </w:tcPr>
          <w:p>
            <w:pPr>
              <w:spacing w:after="0"/>
              <w:rPr>
                <w:sz w:val="15"/>
                <w:szCs w:val="15"/>
                <w:color w:val="auto"/>
              </w:rPr>
            </w:pPr>
          </w:p>
        </w:tc>
        <w:tc>
          <w:tcPr>
            <w:tcW w:w="580" w:type="dxa"/>
            <w:vAlign w:val="bottom"/>
          </w:tcPr>
          <w:p>
            <w:pPr>
              <w:jc w:val="center"/>
              <w:ind w:right="17"/>
              <w:spacing w:after="0"/>
              <w:rPr>
                <w:sz w:val="20"/>
                <w:szCs w:val="20"/>
                <w:color w:val="auto"/>
              </w:rPr>
            </w:pPr>
            <w:r>
              <w:rPr>
                <w:rFonts w:ascii="Arial" w:cs="Arial" w:eastAsia="Arial" w:hAnsi="Arial"/>
                <w:sz w:val="13"/>
                <w:szCs w:val="13"/>
                <w:color w:val="auto"/>
                <w:w w:val="85"/>
              </w:rPr>
              <w:t>46,000</w:t>
            </w:r>
          </w:p>
        </w:tc>
        <w:tc>
          <w:tcPr>
            <w:tcW w:w="900" w:type="dxa"/>
            <w:vAlign w:val="bottom"/>
          </w:tcPr>
          <w:p>
            <w:pPr>
              <w:ind w:left="80"/>
              <w:spacing w:after="0"/>
              <w:rPr>
                <w:sz w:val="20"/>
                <w:szCs w:val="20"/>
                <w:color w:val="auto"/>
              </w:rPr>
            </w:pPr>
            <w:r>
              <w:rPr>
                <w:rFonts w:ascii="Arial" w:cs="Arial" w:eastAsia="Arial" w:hAnsi="Arial"/>
                <w:sz w:val="13"/>
                <w:szCs w:val="13"/>
                <w:color w:val="auto"/>
              </w:rPr>
              <w:t>Harris Teeter</w:t>
            </w:r>
          </w:p>
        </w:tc>
        <w:tc>
          <w:tcPr>
            <w:tcW w:w="2300" w:type="dxa"/>
            <w:vAlign w:val="bottom"/>
          </w:tcPr>
          <w:p>
            <w:pPr>
              <w:spacing w:after="0"/>
              <w:rPr>
                <w:sz w:val="15"/>
                <w:szCs w:val="15"/>
                <w:color w:val="auto"/>
              </w:rPr>
            </w:pPr>
          </w:p>
        </w:tc>
      </w:tr>
      <w:tr>
        <w:trPr>
          <w:trHeight w:val="97"/>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300" w:type="dxa"/>
            <w:vAlign w:val="bottom"/>
          </w:tcPr>
          <w:p>
            <w:pPr>
              <w:spacing w:after="0"/>
              <w:rPr>
                <w:sz w:val="8"/>
                <w:szCs w:val="8"/>
                <w:color w:val="auto"/>
              </w:rPr>
            </w:pPr>
          </w:p>
        </w:tc>
      </w:tr>
      <w:tr>
        <w:trPr>
          <w:trHeight w:val="148"/>
        </w:trPr>
        <w:tc>
          <w:tcPr>
            <w:tcW w:w="1300" w:type="dxa"/>
            <w:vAlign w:val="bottom"/>
            <w:gridSpan w:val="3"/>
            <w:shd w:val="clear" w:color="auto" w:fill="CCEEFF"/>
          </w:tcPr>
          <w:p>
            <w:pPr>
              <w:ind w:left="20"/>
              <w:spacing w:after="0" w:line="148" w:lineRule="exact"/>
              <w:rPr>
                <w:sz w:val="20"/>
                <w:szCs w:val="20"/>
                <w:color w:val="auto"/>
              </w:rPr>
            </w:pPr>
            <w:r>
              <w:rPr>
                <w:rFonts w:ascii="Arial" w:cs="Arial" w:eastAsia="Arial" w:hAnsi="Arial"/>
                <w:sz w:val="13"/>
                <w:szCs w:val="13"/>
                <w:color w:val="auto"/>
              </w:rPr>
              <w:t>Bethesda Row</w:t>
            </w:r>
          </w:p>
        </w:tc>
        <w:tc>
          <w:tcPr>
            <w:tcW w:w="320" w:type="dxa"/>
            <w:vAlign w:val="bottom"/>
            <w:shd w:val="clear" w:color="auto" w:fill="CCEEFF"/>
          </w:tcPr>
          <w:p>
            <w:pPr>
              <w:spacing w:after="0"/>
              <w:rPr>
                <w:sz w:val="12"/>
                <w:szCs w:val="12"/>
                <w:color w:val="auto"/>
              </w:rPr>
            </w:pPr>
          </w:p>
        </w:tc>
        <w:tc>
          <w:tcPr>
            <w:tcW w:w="2000" w:type="dxa"/>
            <w:vAlign w:val="bottom"/>
            <w:gridSpan w:val="2"/>
            <w:shd w:val="clear" w:color="auto" w:fill="CCEEFF"/>
          </w:tcPr>
          <w:p>
            <w:pPr>
              <w:ind w:left="100"/>
              <w:spacing w:after="0" w:line="148" w:lineRule="exact"/>
              <w:rPr>
                <w:sz w:val="20"/>
                <w:szCs w:val="20"/>
                <w:color w:val="auto"/>
              </w:rPr>
            </w:pPr>
            <w:r>
              <w:rPr>
                <w:rFonts w:ascii="Arial" w:cs="Arial" w:eastAsia="Arial" w:hAnsi="Arial"/>
                <w:sz w:val="13"/>
                <w:szCs w:val="13"/>
                <w:color w:val="auto"/>
              </w:rPr>
              <w:t>Washington, DC-MD-VA</w:t>
            </w:r>
          </w:p>
        </w:tc>
        <w:tc>
          <w:tcPr>
            <w:tcW w:w="70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227,099</w:t>
            </w:r>
          </w:p>
        </w:tc>
        <w:tc>
          <w:tcPr>
            <w:tcW w:w="66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17</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534,000</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97%</w:t>
            </w:r>
          </w:p>
        </w:tc>
        <w:tc>
          <w:tcPr>
            <w:tcW w:w="680" w:type="dxa"/>
            <w:vAlign w:val="bottom"/>
            <w:shd w:val="clear" w:color="auto" w:fill="CCEEFF"/>
          </w:tcPr>
          <w:p>
            <w:pPr>
              <w:jc w:val="right"/>
              <w:ind w:right="77"/>
              <w:spacing w:after="0" w:line="148" w:lineRule="exact"/>
              <w:rPr>
                <w:sz w:val="20"/>
                <w:szCs w:val="20"/>
                <w:color w:val="auto"/>
              </w:rPr>
            </w:pPr>
            <w:r>
              <w:rPr>
                <w:rFonts w:ascii="Arial" w:cs="Arial" w:eastAsia="Arial" w:hAnsi="Arial"/>
                <w:sz w:val="13"/>
                <w:szCs w:val="13"/>
                <w:color w:val="auto"/>
              </w:rPr>
              <w:t>180</w:t>
            </w:r>
          </w:p>
        </w:tc>
        <w:tc>
          <w:tcPr>
            <w:tcW w:w="580" w:type="dxa"/>
            <w:vAlign w:val="bottom"/>
            <w:shd w:val="clear" w:color="auto" w:fill="CCEEFF"/>
          </w:tcPr>
          <w:p>
            <w:pPr>
              <w:jc w:val="center"/>
              <w:ind w:right="17"/>
              <w:spacing w:after="0" w:line="148" w:lineRule="exact"/>
              <w:rPr>
                <w:sz w:val="20"/>
                <w:szCs w:val="20"/>
                <w:color w:val="auto"/>
              </w:rPr>
            </w:pPr>
            <w:r>
              <w:rPr>
                <w:rFonts w:ascii="Arial" w:cs="Arial" w:eastAsia="Arial" w:hAnsi="Arial"/>
                <w:sz w:val="13"/>
                <w:szCs w:val="13"/>
                <w:color w:val="auto"/>
                <w:w w:val="85"/>
              </w:rPr>
              <w:t>40,000</w:t>
            </w:r>
          </w:p>
        </w:tc>
        <w:tc>
          <w:tcPr>
            <w:tcW w:w="90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Giant Food</w:t>
            </w:r>
          </w:p>
        </w:tc>
        <w:tc>
          <w:tcPr>
            <w:tcW w:w="230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shd w:val="clear" w:color="auto" w:fill="CCEEFF"/>
              </w:rPr>
              <w:t>Apple / Equinox / Barnes &amp; Noble /</w:t>
            </w:r>
          </w:p>
        </w:tc>
      </w:tr>
      <w:tr>
        <w:trPr>
          <w:trHeight w:val="156"/>
        </w:trPr>
        <w:tc>
          <w:tcPr>
            <w:tcW w:w="2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86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c>
          <w:tcPr>
            <w:tcW w:w="23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shd w:val="clear" w:color="auto" w:fill="CCEEFF"/>
              </w:rPr>
              <w:t>Multiple Restaurants</w:t>
            </w:r>
          </w:p>
        </w:tc>
      </w:tr>
      <w:tr>
        <w:trPr>
          <w:trHeight w:val="148"/>
        </w:trPr>
        <w:tc>
          <w:tcPr>
            <w:tcW w:w="1300" w:type="dxa"/>
            <w:vAlign w:val="bottom"/>
            <w:gridSpan w:val="3"/>
          </w:tcPr>
          <w:p>
            <w:pPr>
              <w:ind w:left="20"/>
              <w:spacing w:after="0" w:line="148" w:lineRule="exact"/>
              <w:rPr>
                <w:sz w:val="20"/>
                <w:szCs w:val="20"/>
                <w:color w:val="auto"/>
              </w:rPr>
            </w:pPr>
            <w:r>
              <w:rPr>
                <w:rFonts w:ascii="Arial" w:cs="Arial" w:eastAsia="Arial" w:hAnsi="Arial"/>
                <w:sz w:val="13"/>
                <w:szCs w:val="13"/>
                <w:color w:val="auto"/>
              </w:rPr>
              <w:t>Congressional Plaza</w:t>
            </w:r>
          </w:p>
        </w:tc>
        <w:tc>
          <w:tcPr>
            <w:tcW w:w="3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(3)</w:t>
            </w:r>
          </w:p>
        </w:tc>
        <w:tc>
          <w:tcPr>
            <w:tcW w:w="2000" w:type="dxa"/>
            <w:vAlign w:val="bottom"/>
            <w:gridSpan w:val="2"/>
          </w:tcPr>
          <w:p>
            <w:pPr>
              <w:ind w:left="100"/>
              <w:spacing w:after="0" w:line="148" w:lineRule="exact"/>
              <w:rPr>
                <w:sz w:val="20"/>
                <w:szCs w:val="20"/>
                <w:color w:val="auto"/>
              </w:rPr>
            </w:pPr>
            <w:r>
              <w:rPr>
                <w:rFonts w:ascii="Arial" w:cs="Arial" w:eastAsia="Arial" w:hAnsi="Arial"/>
                <w:sz w:val="13"/>
                <w:szCs w:val="13"/>
                <w:color w:val="auto"/>
              </w:rPr>
              <w:t>Washington, DC-MD-VA</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101,710</w:t>
            </w:r>
          </w:p>
        </w:tc>
        <w:tc>
          <w:tcPr>
            <w:tcW w:w="660" w:type="dxa"/>
            <w:vAlign w:val="bottom"/>
          </w:tcPr>
          <w:p>
            <w:pPr>
              <w:spacing w:after="0"/>
              <w:rPr>
                <w:sz w:val="12"/>
                <w:szCs w:val="12"/>
                <w:color w:val="auto"/>
              </w:rPr>
            </w:pP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21</w:t>
            </w:r>
          </w:p>
        </w:tc>
        <w:tc>
          <w:tcPr>
            <w:tcW w:w="120" w:type="dxa"/>
            <w:vAlign w:val="bottom"/>
          </w:tcPr>
          <w:p>
            <w:pPr>
              <w:spacing w:after="0"/>
              <w:rPr>
                <w:sz w:val="12"/>
                <w:szCs w:val="12"/>
                <w:color w:val="auto"/>
              </w:rPr>
            </w:pP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325,000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97%</w:t>
            </w:r>
          </w:p>
        </w:tc>
        <w:tc>
          <w:tcPr>
            <w:tcW w:w="680" w:type="dxa"/>
            <w:vAlign w:val="bottom"/>
          </w:tcPr>
          <w:p>
            <w:pPr>
              <w:jc w:val="right"/>
              <w:ind w:right="77"/>
              <w:spacing w:after="0" w:line="148" w:lineRule="exact"/>
              <w:rPr>
                <w:sz w:val="20"/>
                <w:szCs w:val="20"/>
                <w:color w:val="auto"/>
              </w:rPr>
            </w:pPr>
            <w:r>
              <w:rPr>
                <w:rFonts w:ascii="Arial" w:cs="Arial" w:eastAsia="Arial" w:hAnsi="Arial"/>
                <w:sz w:val="13"/>
                <w:szCs w:val="13"/>
                <w:color w:val="auto"/>
              </w:rPr>
              <w:t>194</w:t>
            </w: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25,000</w:t>
            </w:r>
          </w:p>
        </w:tc>
        <w:tc>
          <w:tcPr>
            <w:tcW w:w="900" w:type="dxa"/>
            <w:vAlign w:val="bottom"/>
          </w:tcPr>
          <w:p>
            <w:pPr>
              <w:ind w:left="80"/>
              <w:spacing w:after="0" w:line="148" w:lineRule="exact"/>
              <w:rPr>
                <w:sz w:val="20"/>
                <w:szCs w:val="20"/>
                <w:color w:val="auto"/>
              </w:rPr>
            </w:pPr>
            <w:r>
              <w:rPr>
                <w:rFonts w:ascii="Arial" w:cs="Arial" w:eastAsia="Arial" w:hAnsi="Arial"/>
                <w:sz w:val="13"/>
                <w:szCs w:val="13"/>
                <w:color w:val="auto"/>
              </w:rPr>
              <w:t>The Fresh</w:t>
            </w:r>
          </w:p>
        </w:tc>
        <w:tc>
          <w:tcPr>
            <w:tcW w:w="2300" w:type="dxa"/>
            <w:vAlign w:val="bottom"/>
          </w:tcPr>
          <w:p>
            <w:pPr>
              <w:ind w:left="80"/>
              <w:spacing w:after="0" w:line="148" w:lineRule="exact"/>
              <w:rPr>
                <w:sz w:val="20"/>
                <w:szCs w:val="20"/>
                <w:color w:val="auto"/>
              </w:rPr>
            </w:pPr>
            <w:r>
              <w:rPr>
                <w:rFonts w:ascii="Arial" w:cs="Arial" w:eastAsia="Arial" w:hAnsi="Arial"/>
                <w:sz w:val="13"/>
                <w:szCs w:val="13"/>
                <w:color w:val="auto"/>
                <w:w w:val="91"/>
              </w:rPr>
              <w:t>Buy Buy Baby / Saks Fifth Avenue Off 5th</w:t>
            </w:r>
          </w:p>
        </w:tc>
      </w:tr>
      <w:tr>
        <w:trPr>
          <w:trHeight w:val="135"/>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ind w:left="80"/>
              <w:spacing w:after="0" w:line="135" w:lineRule="exact"/>
              <w:rPr>
                <w:sz w:val="20"/>
                <w:szCs w:val="20"/>
                <w:color w:val="auto"/>
              </w:rPr>
            </w:pPr>
            <w:r>
              <w:rPr>
                <w:rFonts w:ascii="Arial" w:cs="Arial" w:eastAsia="Arial" w:hAnsi="Arial"/>
                <w:sz w:val="13"/>
                <w:szCs w:val="13"/>
                <w:color w:val="auto"/>
              </w:rPr>
              <w:t>Market</w:t>
            </w:r>
          </w:p>
        </w:tc>
        <w:tc>
          <w:tcPr>
            <w:tcW w:w="2300" w:type="dxa"/>
            <w:vAlign w:val="bottom"/>
          </w:tcPr>
          <w:p>
            <w:pPr>
              <w:ind w:left="80"/>
              <w:spacing w:after="0" w:line="135" w:lineRule="exact"/>
              <w:rPr>
                <w:sz w:val="20"/>
                <w:szCs w:val="20"/>
                <w:color w:val="auto"/>
              </w:rPr>
            </w:pPr>
            <w:r>
              <w:rPr>
                <w:rFonts w:ascii="Arial" w:cs="Arial" w:eastAsia="Arial" w:hAnsi="Arial"/>
                <w:sz w:val="13"/>
                <w:szCs w:val="13"/>
                <w:color w:val="auto"/>
              </w:rPr>
              <w:t>/ Container Store / Last Call Studio by</w:t>
            </w:r>
          </w:p>
        </w:tc>
      </w:tr>
      <w:tr>
        <w:trPr>
          <w:trHeight w:val="168"/>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300" w:type="dxa"/>
            <w:vAlign w:val="bottom"/>
          </w:tcPr>
          <w:p>
            <w:pPr>
              <w:ind w:left="80"/>
              <w:spacing w:after="0"/>
              <w:rPr>
                <w:sz w:val="20"/>
                <w:szCs w:val="20"/>
                <w:color w:val="auto"/>
              </w:rPr>
            </w:pPr>
            <w:r>
              <w:rPr>
                <w:rFonts w:ascii="Arial" w:cs="Arial" w:eastAsia="Arial" w:hAnsi="Arial"/>
                <w:sz w:val="13"/>
                <w:szCs w:val="13"/>
                <w:color w:val="auto"/>
              </w:rPr>
              <w:t>Neiman Marcus</w:t>
            </w:r>
          </w:p>
        </w:tc>
      </w:tr>
      <w:tr>
        <w:trPr>
          <w:trHeight w:val="181"/>
        </w:trPr>
        <w:tc>
          <w:tcPr>
            <w:tcW w:w="130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Courthouse Center</w:t>
            </w:r>
          </w:p>
        </w:tc>
        <w:tc>
          <w:tcPr>
            <w:tcW w:w="320" w:type="dxa"/>
            <w:vAlign w:val="bottom"/>
            <w:shd w:val="clear" w:color="auto" w:fill="CCEEFF"/>
          </w:tcPr>
          <w:p>
            <w:pPr>
              <w:spacing w:after="0"/>
              <w:rPr>
                <w:sz w:val="15"/>
                <w:szCs w:val="15"/>
                <w:color w:val="auto"/>
              </w:rPr>
            </w:pPr>
          </w:p>
        </w:tc>
        <w:tc>
          <w:tcPr>
            <w:tcW w:w="20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Washington, DC-MD-VA</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4,954</w:t>
            </w: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35,000</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w:t>
            </w: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r>
      <w:tr>
        <w:trPr>
          <w:trHeight w:val="97"/>
        </w:trPr>
        <w:tc>
          <w:tcPr>
            <w:tcW w:w="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8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300" w:type="dxa"/>
            <w:vAlign w:val="bottom"/>
            <w:shd w:val="clear" w:color="auto" w:fill="CCEEFF"/>
          </w:tcPr>
          <w:p>
            <w:pPr>
              <w:spacing w:after="0"/>
              <w:rPr>
                <w:sz w:val="8"/>
                <w:szCs w:val="8"/>
                <w:color w:val="auto"/>
              </w:rPr>
            </w:pPr>
          </w:p>
        </w:tc>
      </w:tr>
      <w:tr>
        <w:trPr>
          <w:trHeight w:val="148"/>
        </w:trPr>
        <w:tc>
          <w:tcPr>
            <w:tcW w:w="1300" w:type="dxa"/>
            <w:vAlign w:val="bottom"/>
            <w:gridSpan w:val="3"/>
          </w:tcPr>
          <w:p>
            <w:pPr>
              <w:ind w:left="20"/>
              <w:spacing w:after="0" w:line="148" w:lineRule="exact"/>
              <w:rPr>
                <w:sz w:val="20"/>
                <w:szCs w:val="20"/>
                <w:color w:val="auto"/>
              </w:rPr>
            </w:pPr>
            <w:r>
              <w:rPr>
                <w:rFonts w:ascii="Arial" w:cs="Arial" w:eastAsia="Arial" w:hAnsi="Arial"/>
                <w:sz w:val="13"/>
                <w:szCs w:val="13"/>
                <w:color w:val="auto"/>
                <w:w w:val="93"/>
              </w:rPr>
              <w:t>Falls Plaza/Falls Plaza-</w:t>
            </w:r>
          </w:p>
        </w:tc>
        <w:tc>
          <w:tcPr>
            <w:tcW w:w="320" w:type="dxa"/>
            <w:vAlign w:val="bottom"/>
          </w:tcPr>
          <w:p>
            <w:pPr>
              <w:spacing w:after="0"/>
              <w:rPr>
                <w:sz w:val="12"/>
                <w:szCs w:val="12"/>
                <w:color w:val="auto"/>
              </w:rPr>
            </w:pPr>
          </w:p>
        </w:tc>
        <w:tc>
          <w:tcPr>
            <w:tcW w:w="2000" w:type="dxa"/>
            <w:vAlign w:val="bottom"/>
            <w:gridSpan w:val="2"/>
          </w:tcPr>
          <w:p>
            <w:pPr>
              <w:ind w:left="100"/>
              <w:spacing w:after="0" w:line="148" w:lineRule="exact"/>
              <w:rPr>
                <w:sz w:val="20"/>
                <w:szCs w:val="20"/>
                <w:color w:val="auto"/>
              </w:rPr>
            </w:pPr>
            <w:r>
              <w:rPr>
                <w:rFonts w:ascii="Arial" w:cs="Arial" w:eastAsia="Arial" w:hAnsi="Arial"/>
                <w:sz w:val="13"/>
                <w:szCs w:val="13"/>
                <w:color w:val="auto"/>
              </w:rPr>
              <w:t>Washington, DC-MD-VA</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13,949</w:t>
            </w:r>
          </w:p>
        </w:tc>
        <w:tc>
          <w:tcPr>
            <w:tcW w:w="660" w:type="dxa"/>
            <w:vAlign w:val="bottom"/>
          </w:tcPr>
          <w:p>
            <w:pPr>
              <w:spacing w:after="0"/>
              <w:rPr>
                <w:sz w:val="12"/>
                <w:szCs w:val="12"/>
                <w:color w:val="auto"/>
              </w:rPr>
            </w:pP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10</w:t>
            </w:r>
          </w:p>
        </w:tc>
        <w:tc>
          <w:tcPr>
            <w:tcW w:w="120" w:type="dxa"/>
            <w:vAlign w:val="bottom"/>
          </w:tcPr>
          <w:p>
            <w:pPr>
              <w:spacing w:after="0"/>
              <w:rPr>
                <w:sz w:val="12"/>
                <w:szCs w:val="12"/>
                <w:color w:val="auto"/>
              </w:rPr>
            </w:pP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144,000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95%</w:t>
            </w:r>
          </w:p>
        </w:tc>
        <w:tc>
          <w:tcPr>
            <w:tcW w:w="68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51,000</w:t>
            </w:r>
          </w:p>
        </w:tc>
        <w:tc>
          <w:tcPr>
            <w:tcW w:w="900" w:type="dxa"/>
            <w:vAlign w:val="bottom"/>
          </w:tcPr>
          <w:p>
            <w:pPr>
              <w:ind w:left="80"/>
              <w:spacing w:after="0" w:line="148" w:lineRule="exact"/>
              <w:rPr>
                <w:sz w:val="20"/>
                <w:szCs w:val="20"/>
                <w:color w:val="auto"/>
              </w:rPr>
            </w:pPr>
            <w:r>
              <w:rPr>
                <w:rFonts w:ascii="Arial" w:cs="Arial" w:eastAsia="Arial" w:hAnsi="Arial"/>
                <w:sz w:val="13"/>
                <w:szCs w:val="13"/>
                <w:color w:val="auto"/>
              </w:rPr>
              <w:t>Giant Food</w:t>
            </w:r>
          </w:p>
        </w:tc>
        <w:tc>
          <w:tcPr>
            <w:tcW w:w="2300" w:type="dxa"/>
            <w:vAlign w:val="bottom"/>
          </w:tcPr>
          <w:p>
            <w:pPr>
              <w:ind w:left="80"/>
              <w:spacing w:after="0" w:line="148" w:lineRule="exact"/>
              <w:rPr>
                <w:sz w:val="20"/>
                <w:szCs w:val="20"/>
                <w:color w:val="auto"/>
              </w:rPr>
            </w:pPr>
            <w:r>
              <w:rPr>
                <w:rFonts w:ascii="Arial" w:cs="Arial" w:eastAsia="Arial" w:hAnsi="Arial"/>
                <w:sz w:val="13"/>
                <w:szCs w:val="13"/>
                <w:color w:val="auto"/>
              </w:rPr>
              <w:t>CVS / Staples</w:t>
            </w:r>
          </w:p>
        </w:tc>
      </w:tr>
      <w:tr>
        <w:trPr>
          <w:trHeight w:val="168"/>
        </w:trPr>
        <w:tc>
          <w:tcPr>
            <w:tcW w:w="1300" w:type="dxa"/>
            <w:vAlign w:val="bottom"/>
            <w:gridSpan w:val="3"/>
          </w:tcPr>
          <w:p>
            <w:pPr>
              <w:ind w:left="20"/>
              <w:spacing w:after="0"/>
              <w:rPr>
                <w:sz w:val="20"/>
                <w:szCs w:val="20"/>
                <w:color w:val="auto"/>
              </w:rPr>
            </w:pPr>
            <w:r>
              <w:rPr>
                <w:rFonts w:ascii="Arial" w:cs="Arial" w:eastAsia="Arial" w:hAnsi="Arial"/>
                <w:sz w:val="13"/>
                <w:szCs w:val="13"/>
                <w:color w:val="auto"/>
              </w:rPr>
              <w:t>East</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156"/>
        </w:trPr>
        <w:tc>
          <w:tcPr>
            <w:tcW w:w="130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Federal Plaza</w:t>
            </w:r>
          </w:p>
        </w:tc>
        <w:tc>
          <w:tcPr>
            <w:tcW w:w="320" w:type="dxa"/>
            <w:vAlign w:val="bottom"/>
            <w:shd w:val="clear" w:color="auto" w:fill="CCEEFF"/>
          </w:tcPr>
          <w:p>
            <w:pPr>
              <w:spacing w:after="0"/>
              <w:rPr>
                <w:sz w:val="13"/>
                <w:szCs w:val="13"/>
                <w:color w:val="auto"/>
              </w:rPr>
            </w:pPr>
          </w:p>
        </w:tc>
        <w:tc>
          <w:tcPr>
            <w:tcW w:w="20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Washington, DC-MD-VA</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69,003</w:t>
            </w:r>
          </w:p>
        </w:tc>
        <w:tc>
          <w:tcPr>
            <w:tcW w:w="66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18</w:t>
            </w: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249,000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14,000</w:t>
            </w: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Trader Joe's</w:t>
            </w:r>
          </w:p>
        </w:tc>
        <w:tc>
          <w:tcPr>
            <w:tcW w:w="2300" w:type="dxa"/>
            <w:vAlign w:val="bottom"/>
            <w:shd w:val="clear" w:color="auto" w:fill="CCEEFF"/>
          </w:tcPr>
          <w:p>
            <w:pPr>
              <w:ind w:left="80"/>
              <w:spacing w:after="0"/>
              <w:rPr>
                <w:sz w:val="20"/>
                <w:szCs w:val="20"/>
                <w:color w:val="auto"/>
              </w:rPr>
            </w:pPr>
            <w:r>
              <w:rPr>
                <w:rFonts w:ascii="Arial" w:cs="Arial" w:eastAsia="Arial" w:hAnsi="Arial"/>
                <w:sz w:val="13"/>
                <w:szCs w:val="13"/>
                <w:color w:val="auto"/>
                <w:w w:val="93"/>
                <w:shd w:val="clear" w:color="auto" w:fill="CCEEFF"/>
              </w:rPr>
              <w:t>TJ Maxx / Micro Center / Ross Dress For</w:t>
            </w:r>
          </w:p>
        </w:tc>
      </w:tr>
      <w:tr>
        <w:trPr>
          <w:trHeight w:val="156"/>
        </w:trPr>
        <w:tc>
          <w:tcPr>
            <w:tcW w:w="2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86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c>
          <w:tcPr>
            <w:tcW w:w="23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shd w:val="clear" w:color="auto" w:fill="CCEEFF"/>
              </w:rPr>
              <w:t>Less</w:t>
            </w:r>
          </w:p>
        </w:tc>
      </w:tr>
      <w:tr>
        <w:trPr>
          <w:trHeight w:val="148"/>
        </w:trPr>
        <w:tc>
          <w:tcPr>
            <w:tcW w:w="1300" w:type="dxa"/>
            <w:vAlign w:val="bottom"/>
            <w:gridSpan w:val="3"/>
          </w:tcPr>
          <w:p>
            <w:pPr>
              <w:ind w:left="20"/>
              <w:spacing w:after="0" w:line="148" w:lineRule="exact"/>
              <w:rPr>
                <w:sz w:val="20"/>
                <w:szCs w:val="20"/>
                <w:color w:val="auto"/>
              </w:rPr>
            </w:pPr>
            <w:r>
              <w:rPr>
                <w:rFonts w:ascii="Arial" w:cs="Arial" w:eastAsia="Arial" w:hAnsi="Arial"/>
                <w:sz w:val="13"/>
                <w:szCs w:val="13"/>
                <w:color w:val="auto"/>
              </w:rPr>
              <w:t>Free State Shopping</w:t>
            </w:r>
          </w:p>
        </w:tc>
        <w:tc>
          <w:tcPr>
            <w:tcW w:w="320" w:type="dxa"/>
            <w:vAlign w:val="bottom"/>
          </w:tcPr>
          <w:p>
            <w:pPr>
              <w:spacing w:after="0"/>
              <w:rPr>
                <w:sz w:val="12"/>
                <w:szCs w:val="12"/>
                <w:color w:val="auto"/>
              </w:rPr>
            </w:pPr>
          </w:p>
        </w:tc>
        <w:tc>
          <w:tcPr>
            <w:tcW w:w="2000" w:type="dxa"/>
            <w:vAlign w:val="bottom"/>
            <w:gridSpan w:val="2"/>
          </w:tcPr>
          <w:p>
            <w:pPr>
              <w:ind w:left="100"/>
              <w:spacing w:after="0" w:line="148" w:lineRule="exact"/>
              <w:rPr>
                <w:sz w:val="20"/>
                <w:szCs w:val="20"/>
                <w:color w:val="auto"/>
              </w:rPr>
            </w:pPr>
            <w:r>
              <w:rPr>
                <w:rFonts w:ascii="Arial" w:cs="Arial" w:eastAsia="Arial" w:hAnsi="Arial"/>
                <w:sz w:val="13"/>
                <w:szCs w:val="13"/>
                <w:color w:val="auto"/>
              </w:rPr>
              <w:t>Washington, DC-MD-VA</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64,624</w:t>
            </w:r>
          </w:p>
        </w:tc>
        <w:tc>
          <w:tcPr>
            <w:tcW w:w="660" w:type="dxa"/>
            <w:vAlign w:val="bottom"/>
          </w:tcPr>
          <w:p>
            <w:pPr>
              <w:spacing w:after="0"/>
              <w:rPr>
                <w:sz w:val="12"/>
                <w:szCs w:val="12"/>
                <w:color w:val="auto"/>
              </w:rPr>
            </w:pP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29</w:t>
            </w:r>
          </w:p>
        </w:tc>
        <w:tc>
          <w:tcPr>
            <w:tcW w:w="120" w:type="dxa"/>
            <w:vAlign w:val="bottom"/>
          </w:tcPr>
          <w:p>
            <w:pPr>
              <w:spacing w:after="0"/>
              <w:rPr>
                <w:sz w:val="12"/>
                <w:szCs w:val="12"/>
                <w:color w:val="auto"/>
              </w:rPr>
            </w:pP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265,000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92%</w:t>
            </w:r>
          </w:p>
        </w:tc>
        <w:tc>
          <w:tcPr>
            <w:tcW w:w="68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73,000</w:t>
            </w:r>
          </w:p>
        </w:tc>
        <w:tc>
          <w:tcPr>
            <w:tcW w:w="900" w:type="dxa"/>
            <w:vAlign w:val="bottom"/>
          </w:tcPr>
          <w:p>
            <w:pPr>
              <w:ind w:left="80"/>
              <w:spacing w:after="0" w:line="148" w:lineRule="exact"/>
              <w:rPr>
                <w:sz w:val="20"/>
                <w:szCs w:val="20"/>
                <w:color w:val="auto"/>
              </w:rPr>
            </w:pPr>
            <w:r>
              <w:rPr>
                <w:rFonts w:ascii="Arial" w:cs="Arial" w:eastAsia="Arial" w:hAnsi="Arial"/>
                <w:sz w:val="13"/>
                <w:szCs w:val="13"/>
                <w:color w:val="auto"/>
              </w:rPr>
              <w:t>Giant Food</w:t>
            </w:r>
          </w:p>
        </w:tc>
        <w:tc>
          <w:tcPr>
            <w:tcW w:w="2300" w:type="dxa"/>
            <w:vAlign w:val="bottom"/>
          </w:tcPr>
          <w:p>
            <w:pPr>
              <w:ind w:left="80"/>
              <w:spacing w:after="0" w:line="148" w:lineRule="exact"/>
              <w:rPr>
                <w:sz w:val="20"/>
                <w:szCs w:val="20"/>
                <w:color w:val="auto"/>
              </w:rPr>
            </w:pPr>
            <w:r>
              <w:rPr>
                <w:rFonts w:ascii="Arial" w:cs="Arial" w:eastAsia="Arial" w:hAnsi="Arial"/>
                <w:sz w:val="13"/>
                <w:szCs w:val="13"/>
                <w:color w:val="auto"/>
                <w:w w:val="97"/>
              </w:rPr>
              <w:t>TJ Maxx / Ross Dress For Less / Office</w:t>
            </w:r>
          </w:p>
        </w:tc>
      </w:tr>
      <w:tr>
        <w:trPr>
          <w:trHeight w:val="168"/>
        </w:trPr>
        <w:tc>
          <w:tcPr>
            <w:tcW w:w="1300" w:type="dxa"/>
            <w:vAlign w:val="bottom"/>
            <w:gridSpan w:val="3"/>
          </w:tcPr>
          <w:p>
            <w:pPr>
              <w:ind w:left="20"/>
              <w:spacing w:after="0"/>
              <w:rPr>
                <w:sz w:val="20"/>
                <w:szCs w:val="20"/>
                <w:color w:val="auto"/>
              </w:rPr>
            </w:pPr>
            <w:r>
              <w:rPr>
                <w:rFonts w:ascii="Arial" w:cs="Arial" w:eastAsia="Arial" w:hAnsi="Arial"/>
                <w:sz w:val="13"/>
                <w:szCs w:val="13"/>
                <w:color w:val="auto"/>
              </w:rPr>
              <w:t>Center</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300" w:type="dxa"/>
            <w:vAlign w:val="bottom"/>
          </w:tcPr>
          <w:p>
            <w:pPr>
              <w:ind w:left="80"/>
              <w:spacing w:after="0"/>
              <w:rPr>
                <w:sz w:val="20"/>
                <w:szCs w:val="20"/>
                <w:color w:val="auto"/>
              </w:rPr>
            </w:pPr>
            <w:r>
              <w:rPr>
                <w:rFonts w:ascii="Arial" w:cs="Arial" w:eastAsia="Arial" w:hAnsi="Arial"/>
                <w:sz w:val="13"/>
                <w:szCs w:val="13"/>
                <w:color w:val="auto"/>
              </w:rPr>
              <w:t>Depot</w:t>
            </w:r>
          </w:p>
        </w:tc>
      </w:tr>
      <w:tr>
        <w:trPr>
          <w:trHeight w:val="156"/>
        </w:trPr>
        <w:tc>
          <w:tcPr>
            <w:tcW w:w="130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Friendship Center</w:t>
            </w:r>
          </w:p>
        </w:tc>
        <w:tc>
          <w:tcPr>
            <w:tcW w:w="320" w:type="dxa"/>
            <w:vAlign w:val="bottom"/>
            <w:shd w:val="clear" w:color="auto" w:fill="CCEEFF"/>
          </w:tcPr>
          <w:p>
            <w:pPr>
              <w:spacing w:after="0"/>
              <w:rPr>
                <w:sz w:val="13"/>
                <w:szCs w:val="13"/>
                <w:color w:val="auto"/>
              </w:rPr>
            </w:pPr>
          </w:p>
        </w:tc>
        <w:tc>
          <w:tcPr>
            <w:tcW w:w="20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Washington, DC-MD-VA</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37,853</w:t>
            </w:r>
          </w:p>
        </w:tc>
        <w:tc>
          <w:tcPr>
            <w:tcW w:w="66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119,000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300" w:type="dxa"/>
            <w:vAlign w:val="bottom"/>
            <w:shd w:val="clear" w:color="auto" w:fill="CCEEFF"/>
          </w:tcPr>
          <w:p>
            <w:pPr>
              <w:ind w:left="80"/>
              <w:spacing w:after="0"/>
              <w:rPr>
                <w:sz w:val="20"/>
                <w:szCs w:val="20"/>
                <w:color w:val="auto"/>
              </w:rPr>
            </w:pPr>
            <w:r>
              <w:rPr>
                <w:rFonts w:ascii="Arial" w:cs="Arial" w:eastAsia="Arial" w:hAnsi="Arial"/>
                <w:sz w:val="13"/>
                <w:szCs w:val="13"/>
                <w:color w:val="auto"/>
                <w:shd w:val="clear" w:color="auto" w:fill="CCEEFF"/>
              </w:rPr>
              <w:t>Marshalls / Nordstrom Rack / DSW /</w:t>
            </w:r>
          </w:p>
        </w:tc>
      </w:tr>
      <w:tr>
        <w:trPr>
          <w:trHeight w:val="156"/>
        </w:trPr>
        <w:tc>
          <w:tcPr>
            <w:tcW w:w="2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86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c>
          <w:tcPr>
            <w:tcW w:w="23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shd w:val="clear" w:color="auto" w:fill="CCEEFF"/>
              </w:rPr>
              <w:t>Maggiano's</w:t>
            </w:r>
          </w:p>
        </w:tc>
      </w:tr>
      <w:tr>
        <w:trPr>
          <w:trHeight w:val="148"/>
        </w:trPr>
        <w:tc>
          <w:tcPr>
            <w:tcW w:w="1300" w:type="dxa"/>
            <w:vAlign w:val="bottom"/>
            <w:gridSpan w:val="3"/>
          </w:tcPr>
          <w:p>
            <w:pPr>
              <w:ind w:left="20"/>
              <w:spacing w:after="0" w:line="148" w:lineRule="exact"/>
              <w:rPr>
                <w:sz w:val="20"/>
                <w:szCs w:val="20"/>
                <w:color w:val="auto"/>
              </w:rPr>
            </w:pPr>
            <w:r>
              <w:rPr>
                <w:rFonts w:ascii="Arial" w:cs="Arial" w:eastAsia="Arial" w:hAnsi="Arial"/>
                <w:sz w:val="13"/>
                <w:szCs w:val="13"/>
                <w:color w:val="auto"/>
              </w:rPr>
              <w:t>Gaithersburg Square</w:t>
            </w:r>
          </w:p>
        </w:tc>
        <w:tc>
          <w:tcPr>
            <w:tcW w:w="320" w:type="dxa"/>
            <w:vAlign w:val="bottom"/>
          </w:tcPr>
          <w:p>
            <w:pPr>
              <w:spacing w:after="0"/>
              <w:rPr>
                <w:sz w:val="12"/>
                <w:szCs w:val="12"/>
                <w:color w:val="auto"/>
              </w:rPr>
            </w:pPr>
          </w:p>
        </w:tc>
        <w:tc>
          <w:tcPr>
            <w:tcW w:w="2000" w:type="dxa"/>
            <w:vAlign w:val="bottom"/>
            <w:gridSpan w:val="2"/>
          </w:tcPr>
          <w:p>
            <w:pPr>
              <w:ind w:left="100"/>
              <w:spacing w:after="0" w:line="148" w:lineRule="exact"/>
              <w:rPr>
                <w:sz w:val="20"/>
                <w:szCs w:val="20"/>
                <w:color w:val="auto"/>
              </w:rPr>
            </w:pPr>
            <w:r>
              <w:rPr>
                <w:rFonts w:ascii="Arial" w:cs="Arial" w:eastAsia="Arial" w:hAnsi="Arial"/>
                <w:sz w:val="13"/>
                <w:szCs w:val="13"/>
                <w:color w:val="auto"/>
              </w:rPr>
              <w:t>Washington, DC-MD-VA</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27,418</w:t>
            </w:r>
          </w:p>
        </w:tc>
        <w:tc>
          <w:tcPr>
            <w:tcW w:w="660" w:type="dxa"/>
            <w:vAlign w:val="bottom"/>
          </w:tcPr>
          <w:p>
            <w:pPr>
              <w:spacing w:after="0"/>
              <w:rPr>
                <w:sz w:val="12"/>
                <w:szCs w:val="12"/>
                <w:color w:val="auto"/>
              </w:rPr>
            </w:pP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16</w:t>
            </w:r>
          </w:p>
        </w:tc>
        <w:tc>
          <w:tcPr>
            <w:tcW w:w="120" w:type="dxa"/>
            <w:vAlign w:val="bottom"/>
          </w:tcPr>
          <w:p>
            <w:pPr>
              <w:spacing w:after="0"/>
              <w:rPr>
                <w:sz w:val="12"/>
                <w:szCs w:val="12"/>
                <w:color w:val="auto"/>
              </w:rPr>
            </w:pP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207,000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96%</w:t>
            </w: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300" w:type="dxa"/>
            <w:vAlign w:val="bottom"/>
          </w:tcPr>
          <w:p>
            <w:pPr>
              <w:ind w:left="80"/>
              <w:spacing w:after="0" w:line="148" w:lineRule="exact"/>
              <w:rPr>
                <w:sz w:val="20"/>
                <w:szCs w:val="20"/>
                <w:color w:val="auto"/>
              </w:rPr>
            </w:pPr>
            <w:r>
              <w:rPr>
                <w:rFonts w:ascii="Arial" w:cs="Arial" w:eastAsia="Arial" w:hAnsi="Arial"/>
                <w:sz w:val="13"/>
                <w:szCs w:val="13"/>
                <w:color w:val="auto"/>
                <w:w w:val="88"/>
              </w:rPr>
              <w:t>Bed, Bath &amp; Beyond / Ross Dress For Less</w:t>
            </w:r>
          </w:p>
        </w:tc>
      </w:tr>
      <w:tr>
        <w:trPr>
          <w:trHeight w:val="168"/>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300" w:type="dxa"/>
            <w:vAlign w:val="bottom"/>
          </w:tcPr>
          <w:p>
            <w:pPr>
              <w:ind w:left="80"/>
              <w:spacing w:after="0"/>
              <w:rPr>
                <w:sz w:val="20"/>
                <w:szCs w:val="20"/>
                <w:color w:val="auto"/>
              </w:rPr>
            </w:pPr>
            <w:r>
              <w:rPr>
                <w:rFonts w:ascii="Arial" w:cs="Arial" w:eastAsia="Arial" w:hAnsi="Arial"/>
                <w:sz w:val="13"/>
                <w:szCs w:val="13"/>
                <w:color w:val="auto"/>
              </w:rPr>
              <w:t>/ Ashley Furniture HomeStore</w:t>
            </w:r>
          </w:p>
        </w:tc>
      </w:tr>
      <w:tr>
        <w:trPr>
          <w:trHeight w:val="170"/>
        </w:trPr>
        <w:tc>
          <w:tcPr>
            <w:tcW w:w="130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Graham Park Plaza</w:t>
            </w:r>
          </w:p>
        </w:tc>
        <w:tc>
          <w:tcPr>
            <w:tcW w:w="320" w:type="dxa"/>
            <w:vAlign w:val="bottom"/>
            <w:shd w:val="clear" w:color="auto" w:fill="CCEEFF"/>
          </w:tcPr>
          <w:p>
            <w:pPr>
              <w:spacing w:after="0"/>
              <w:rPr>
                <w:sz w:val="14"/>
                <w:szCs w:val="14"/>
                <w:color w:val="auto"/>
              </w:rPr>
            </w:pPr>
          </w:p>
        </w:tc>
        <w:tc>
          <w:tcPr>
            <w:tcW w:w="20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Washington, DC-MD-VA</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34,999</w:t>
            </w:r>
          </w:p>
        </w:tc>
        <w:tc>
          <w:tcPr>
            <w:tcW w:w="66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19</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260,000</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w:t>
            </w:r>
          </w:p>
        </w:tc>
        <w:tc>
          <w:tcPr>
            <w:tcW w:w="680" w:type="dxa"/>
            <w:vAlign w:val="bottom"/>
            <w:shd w:val="clear" w:color="auto" w:fill="CCEEFF"/>
          </w:tcPr>
          <w:p>
            <w:pPr>
              <w:spacing w:after="0"/>
              <w:rPr>
                <w:sz w:val="14"/>
                <w:szCs w:val="14"/>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58,000</w:t>
            </w: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2300" w:type="dxa"/>
            <w:vAlign w:val="bottom"/>
            <w:shd w:val="clear" w:color="auto" w:fill="CCEEFF"/>
          </w:tcPr>
          <w:p>
            <w:pPr>
              <w:ind w:left="80"/>
              <w:spacing w:after="0"/>
              <w:rPr>
                <w:sz w:val="20"/>
                <w:szCs w:val="20"/>
                <w:color w:val="auto"/>
              </w:rPr>
            </w:pPr>
            <w:r>
              <w:rPr>
                <w:rFonts w:ascii="Arial" w:cs="Arial" w:eastAsia="Arial" w:hAnsi="Arial"/>
                <w:sz w:val="13"/>
                <w:szCs w:val="13"/>
                <w:color w:val="auto"/>
                <w:shd w:val="clear" w:color="auto" w:fill="CCEEFF"/>
              </w:rPr>
              <w:t>Stein Mart</w:t>
            </w:r>
          </w:p>
        </w:tc>
      </w:tr>
      <w:tr>
        <w:trPr>
          <w:trHeight w:val="108"/>
        </w:trPr>
        <w:tc>
          <w:tcPr>
            <w:tcW w:w="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8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2300" w:type="dxa"/>
            <w:vAlign w:val="bottom"/>
            <w:shd w:val="clear" w:color="auto" w:fill="CCEEFF"/>
          </w:tcPr>
          <w:p>
            <w:pPr>
              <w:spacing w:after="0"/>
              <w:rPr>
                <w:sz w:val="9"/>
                <w:szCs w:val="9"/>
                <w:color w:val="auto"/>
              </w:rPr>
            </w:pPr>
          </w:p>
        </w:tc>
      </w:tr>
      <w:tr>
        <w:trPr>
          <w:trHeight w:val="173"/>
        </w:trPr>
        <w:tc>
          <w:tcPr>
            <w:tcW w:w="1300" w:type="dxa"/>
            <w:vAlign w:val="bottom"/>
            <w:gridSpan w:val="3"/>
          </w:tcPr>
          <w:p>
            <w:pPr>
              <w:ind w:left="20"/>
              <w:spacing w:after="0"/>
              <w:rPr>
                <w:sz w:val="20"/>
                <w:szCs w:val="20"/>
                <w:color w:val="auto"/>
              </w:rPr>
            </w:pPr>
            <w:r>
              <w:rPr>
                <w:rFonts w:ascii="Arial" w:cs="Arial" w:eastAsia="Arial" w:hAnsi="Arial"/>
                <w:sz w:val="13"/>
                <w:szCs w:val="13"/>
                <w:color w:val="auto"/>
              </w:rPr>
              <w:t>Idylwood Plaza</w:t>
            </w:r>
          </w:p>
        </w:tc>
        <w:tc>
          <w:tcPr>
            <w:tcW w:w="320" w:type="dxa"/>
            <w:vAlign w:val="bottom"/>
          </w:tcPr>
          <w:p>
            <w:pPr>
              <w:spacing w:after="0"/>
              <w:rPr>
                <w:sz w:val="15"/>
                <w:szCs w:val="15"/>
                <w:color w:val="auto"/>
              </w:rPr>
            </w:pPr>
          </w:p>
        </w:tc>
        <w:tc>
          <w:tcPr>
            <w:tcW w:w="2000" w:type="dxa"/>
            <w:vAlign w:val="bottom"/>
            <w:gridSpan w:val="2"/>
          </w:tcPr>
          <w:p>
            <w:pPr>
              <w:ind w:left="100"/>
              <w:spacing w:after="0"/>
              <w:rPr>
                <w:sz w:val="20"/>
                <w:szCs w:val="20"/>
                <w:color w:val="auto"/>
              </w:rPr>
            </w:pPr>
            <w:r>
              <w:rPr>
                <w:rFonts w:ascii="Arial" w:cs="Arial" w:eastAsia="Arial" w:hAnsi="Arial"/>
                <w:sz w:val="13"/>
                <w:szCs w:val="13"/>
                <w:color w:val="auto"/>
              </w:rPr>
              <w:t>Washington, DC-MD-VA</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16,839</w:t>
            </w:r>
          </w:p>
        </w:tc>
        <w:tc>
          <w:tcPr>
            <w:tcW w:w="660" w:type="dxa"/>
            <w:vAlign w:val="bottom"/>
          </w:tcPr>
          <w:p>
            <w:pPr>
              <w:spacing w:after="0"/>
              <w:rPr>
                <w:sz w:val="15"/>
                <w:szCs w:val="15"/>
                <w:color w:val="auto"/>
              </w:rPr>
            </w:pP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15"/>
                <w:szCs w:val="15"/>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73,000</w:t>
            </w: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97%</w:t>
            </w:r>
          </w:p>
        </w:tc>
        <w:tc>
          <w:tcPr>
            <w:tcW w:w="680" w:type="dxa"/>
            <w:vAlign w:val="bottom"/>
          </w:tcPr>
          <w:p>
            <w:pPr>
              <w:spacing w:after="0"/>
              <w:rPr>
                <w:sz w:val="15"/>
                <w:szCs w:val="15"/>
                <w:color w:val="auto"/>
              </w:rPr>
            </w:pPr>
          </w:p>
        </w:tc>
        <w:tc>
          <w:tcPr>
            <w:tcW w:w="580" w:type="dxa"/>
            <w:vAlign w:val="bottom"/>
          </w:tcPr>
          <w:p>
            <w:pPr>
              <w:jc w:val="center"/>
              <w:ind w:right="17"/>
              <w:spacing w:after="0"/>
              <w:rPr>
                <w:sz w:val="20"/>
                <w:szCs w:val="20"/>
                <w:color w:val="auto"/>
              </w:rPr>
            </w:pPr>
            <w:r>
              <w:rPr>
                <w:rFonts w:ascii="Arial" w:cs="Arial" w:eastAsia="Arial" w:hAnsi="Arial"/>
                <w:sz w:val="13"/>
                <w:szCs w:val="13"/>
                <w:color w:val="auto"/>
                <w:w w:val="85"/>
              </w:rPr>
              <w:t>30,000</w:t>
            </w:r>
          </w:p>
        </w:tc>
        <w:tc>
          <w:tcPr>
            <w:tcW w:w="900" w:type="dxa"/>
            <w:vAlign w:val="bottom"/>
          </w:tcPr>
          <w:p>
            <w:pPr>
              <w:ind w:left="80"/>
              <w:spacing w:after="0"/>
              <w:rPr>
                <w:sz w:val="20"/>
                <w:szCs w:val="20"/>
                <w:color w:val="auto"/>
              </w:rPr>
            </w:pPr>
            <w:r>
              <w:rPr>
                <w:rFonts w:ascii="Arial" w:cs="Arial" w:eastAsia="Arial" w:hAnsi="Arial"/>
                <w:sz w:val="13"/>
                <w:szCs w:val="13"/>
                <w:color w:val="auto"/>
              </w:rPr>
              <w:t>Whole Foods</w:t>
            </w:r>
          </w:p>
        </w:tc>
        <w:tc>
          <w:tcPr>
            <w:tcW w:w="2300" w:type="dxa"/>
            <w:vAlign w:val="bottom"/>
          </w:tcPr>
          <w:p>
            <w:pPr>
              <w:spacing w:after="0"/>
              <w:rPr>
                <w:sz w:val="15"/>
                <w:szCs w:val="15"/>
                <w:color w:val="auto"/>
              </w:rPr>
            </w:pPr>
          </w:p>
        </w:tc>
      </w:tr>
      <w:tr>
        <w:trPr>
          <w:trHeight w:val="97"/>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300" w:type="dxa"/>
            <w:vAlign w:val="bottom"/>
          </w:tcPr>
          <w:p>
            <w:pPr>
              <w:spacing w:after="0"/>
              <w:rPr>
                <w:sz w:val="8"/>
                <w:szCs w:val="8"/>
                <w:color w:val="auto"/>
              </w:rPr>
            </w:pPr>
          </w:p>
        </w:tc>
      </w:tr>
      <w:tr>
        <w:trPr>
          <w:trHeight w:val="162"/>
        </w:trPr>
        <w:tc>
          <w:tcPr>
            <w:tcW w:w="130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Laurel</w:t>
            </w:r>
          </w:p>
        </w:tc>
        <w:tc>
          <w:tcPr>
            <w:tcW w:w="320" w:type="dxa"/>
            <w:vAlign w:val="bottom"/>
            <w:shd w:val="clear" w:color="auto" w:fill="CCEEFF"/>
          </w:tcPr>
          <w:p>
            <w:pPr>
              <w:spacing w:after="0"/>
              <w:rPr>
                <w:sz w:val="14"/>
                <w:szCs w:val="14"/>
                <w:color w:val="auto"/>
              </w:rPr>
            </w:pPr>
          </w:p>
        </w:tc>
        <w:tc>
          <w:tcPr>
            <w:tcW w:w="20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Washington, DC-MD-VA</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56,876</w:t>
            </w:r>
          </w:p>
        </w:tc>
        <w:tc>
          <w:tcPr>
            <w:tcW w:w="66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26</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389,000</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w:t>
            </w:r>
          </w:p>
        </w:tc>
        <w:tc>
          <w:tcPr>
            <w:tcW w:w="680" w:type="dxa"/>
            <w:vAlign w:val="bottom"/>
            <w:shd w:val="clear" w:color="auto" w:fill="CCEEFF"/>
          </w:tcPr>
          <w:p>
            <w:pPr>
              <w:spacing w:after="0"/>
              <w:rPr>
                <w:sz w:val="14"/>
                <w:szCs w:val="14"/>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61,000</w:t>
            </w: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2300" w:type="dxa"/>
            <w:vAlign w:val="bottom"/>
            <w:shd w:val="clear" w:color="auto" w:fill="CCEEFF"/>
          </w:tcPr>
          <w:p>
            <w:pPr>
              <w:ind w:left="80"/>
              <w:spacing w:after="0"/>
              <w:rPr>
                <w:sz w:val="20"/>
                <w:szCs w:val="20"/>
                <w:color w:val="auto"/>
              </w:rPr>
            </w:pPr>
            <w:r>
              <w:rPr>
                <w:rFonts w:ascii="Arial" w:cs="Arial" w:eastAsia="Arial" w:hAnsi="Arial"/>
                <w:sz w:val="13"/>
                <w:szCs w:val="13"/>
                <w:color w:val="auto"/>
                <w:shd w:val="clear" w:color="auto" w:fill="CCEEFF"/>
              </w:rPr>
              <w:t>Marshalls / L.A. Fitness</w:t>
            </w:r>
          </w:p>
        </w:tc>
      </w:tr>
      <w:tr>
        <w:trPr>
          <w:trHeight w:val="108"/>
        </w:trPr>
        <w:tc>
          <w:tcPr>
            <w:tcW w:w="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8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2300" w:type="dxa"/>
            <w:vAlign w:val="bottom"/>
            <w:shd w:val="clear" w:color="auto" w:fill="CCEEFF"/>
          </w:tcPr>
          <w:p>
            <w:pPr>
              <w:spacing w:after="0"/>
              <w:rPr>
                <w:sz w:val="9"/>
                <w:szCs w:val="9"/>
                <w:color w:val="auto"/>
              </w:rPr>
            </w:pPr>
          </w:p>
        </w:tc>
      </w:tr>
      <w:tr>
        <w:trPr>
          <w:trHeight w:val="173"/>
        </w:trPr>
        <w:tc>
          <w:tcPr>
            <w:tcW w:w="1300" w:type="dxa"/>
            <w:vAlign w:val="bottom"/>
            <w:gridSpan w:val="3"/>
          </w:tcPr>
          <w:p>
            <w:pPr>
              <w:ind w:left="20"/>
              <w:spacing w:after="0"/>
              <w:rPr>
                <w:sz w:val="20"/>
                <w:szCs w:val="20"/>
                <w:color w:val="auto"/>
              </w:rPr>
            </w:pPr>
            <w:r>
              <w:rPr>
                <w:rFonts w:ascii="Arial" w:cs="Arial" w:eastAsia="Arial" w:hAnsi="Arial"/>
                <w:sz w:val="13"/>
                <w:szCs w:val="13"/>
                <w:color w:val="auto"/>
              </w:rPr>
              <w:t>Leesburg Plaza</w:t>
            </w:r>
          </w:p>
        </w:tc>
        <w:tc>
          <w:tcPr>
            <w:tcW w:w="320" w:type="dxa"/>
            <w:vAlign w:val="bottom"/>
          </w:tcPr>
          <w:p>
            <w:pPr>
              <w:spacing w:after="0"/>
              <w:rPr>
                <w:sz w:val="15"/>
                <w:szCs w:val="15"/>
                <w:color w:val="auto"/>
              </w:rPr>
            </w:pPr>
          </w:p>
        </w:tc>
        <w:tc>
          <w:tcPr>
            <w:tcW w:w="2000" w:type="dxa"/>
            <w:vAlign w:val="bottom"/>
            <w:gridSpan w:val="2"/>
          </w:tcPr>
          <w:p>
            <w:pPr>
              <w:ind w:left="100"/>
              <w:spacing w:after="0"/>
              <w:rPr>
                <w:sz w:val="20"/>
                <w:szCs w:val="20"/>
                <w:color w:val="auto"/>
              </w:rPr>
            </w:pPr>
            <w:r>
              <w:rPr>
                <w:rFonts w:ascii="Arial" w:cs="Arial" w:eastAsia="Arial" w:hAnsi="Arial"/>
                <w:sz w:val="13"/>
                <w:szCs w:val="13"/>
                <w:color w:val="auto"/>
              </w:rPr>
              <w:t>Washington, DC-MD-VA</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36,128</w:t>
            </w:r>
          </w:p>
        </w:tc>
        <w:tc>
          <w:tcPr>
            <w:tcW w:w="660" w:type="dxa"/>
            <w:vAlign w:val="bottom"/>
          </w:tcPr>
          <w:p>
            <w:pPr>
              <w:spacing w:after="0"/>
              <w:rPr>
                <w:sz w:val="15"/>
                <w:szCs w:val="15"/>
                <w:color w:val="auto"/>
              </w:rPr>
            </w:pP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26</w:t>
            </w:r>
          </w:p>
        </w:tc>
        <w:tc>
          <w:tcPr>
            <w:tcW w:w="120" w:type="dxa"/>
            <w:vAlign w:val="bottom"/>
          </w:tcPr>
          <w:p>
            <w:pPr>
              <w:spacing w:after="0"/>
              <w:rPr>
                <w:sz w:val="15"/>
                <w:szCs w:val="15"/>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236,000</w:t>
            </w: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93%</w:t>
            </w:r>
          </w:p>
        </w:tc>
        <w:tc>
          <w:tcPr>
            <w:tcW w:w="680" w:type="dxa"/>
            <w:vAlign w:val="bottom"/>
          </w:tcPr>
          <w:p>
            <w:pPr>
              <w:spacing w:after="0"/>
              <w:rPr>
                <w:sz w:val="15"/>
                <w:szCs w:val="15"/>
                <w:color w:val="auto"/>
              </w:rPr>
            </w:pPr>
          </w:p>
        </w:tc>
        <w:tc>
          <w:tcPr>
            <w:tcW w:w="580" w:type="dxa"/>
            <w:vAlign w:val="bottom"/>
          </w:tcPr>
          <w:p>
            <w:pPr>
              <w:jc w:val="center"/>
              <w:ind w:right="17"/>
              <w:spacing w:after="0"/>
              <w:rPr>
                <w:sz w:val="20"/>
                <w:szCs w:val="20"/>
                <w:color w:val="auto"/>
              </w:rPr>
            </w:pPr>
            <w:r>
              <w:rPr>
                <w:rFonts w:ascii="Arial" w:cs="Arial" w:eastAsia="Arial" w:hAnsi="Arial"/>
                <w:sz w:val="13"/>
                <w:szCs w:val="13"/>
                <w:color w:val="auto"/>
                <w:w w:val="85"/>
              </w:rPr>
              <w:t>55,000</w:t>
            </w:r>
          </w:p>
        </w:tc>
        <w:tc>
          <w:tcPr>
            <w:tcW w:w="900" w:type="dxa"/>
            <w:vAlign w:val="bottom"/>
          </w:tcPr>
          <w:p>
            <w:pPr>
              <w:ind w:left="80"/>
              <w:spacing w:after="0"/>
              <w:rPr>
                <w:sz w:val="20"/>
                <w:szCs w:val="20"/>
                <w:color w:val="auto"/>
              </w:rPr>
            </w:pPr>
            <w:r>
              <w:rPr>
                <w:rFonts w:ascii="Arial" w:cs="Arial" w:eastAsia="Arial" w:hAnsi="Arial"/>
                <w:sz w:val="13"/>
                <w:szCs w:val="13"/>
                <w:color w:val="auto"/>
              </w:rPr>
              <w:t>Giant Food</w:t>
            </w:r>
          </w:p>
        </w:tc>
        <w:tc>
          <w:tcPr>
            <w:tcW w:w="2300" w:type="dxa"/>
            <w:vAlign w:val="bottom"/>
          </w:tcPr>
          <w:p>
            <w:pPr>
              <w:ind w:left="80"/>
              <w:spacing w:after="0"/>
              <w:rPr>
                <w:sz w:val="20"/>
                <w:szCs w:val="20"/>
                <w:color w:val="auto"/>
              </w:rPr>
            </w:pPr>
            <w:r>
              <w:rPr>
                <w:rFonts w:ascii="Arial" w:cs="Arial" w:eastAsia="Arial" w:hAnsi="Arial"/>
                <w:sz w:val="13"/>
                <w:szCs w:val="13"/>
                <w:color w:val="auto"/>
              </w:rPr>
              <w:t>Petsmart / Gold's Gym / Office Depot</w:t>
            </w:r>
          </w:p>
        </w:tc>
      </w:tr>
      <w:tr>
        <w:trPr>
          <w:trHeight w:val="97"/>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300" w:type="dxa"/>
            <w:vAlign w:val="bottom"/>
          </w:tcPr>
          <w:p>
            <w:pPr>
              <w:spacing w:after="0"/>
              <w:rPr>
                <w:sz w:val="8"/>
                <w:szCs w:val="8"/>
                <w:color w:val="auto"/>
              </w:rPr>
            </w:pPr>
          </w:p>
        </w:tc>
      </w:tr>
      <w:tr>
        <w:trPr>
          <w:trHeight w:val="148"/>
        </w:trPr>
        <w:tc>
          <w:tcPr>
            <w:tcW w:w="1300" w:type="dxa"/>
            <w:vAlign w:val="bottom"/>
            <w:gridSpan w:val="3"/>
            <w:shd w:val="clear" w:color="auto" w:fill="CCEEFF"/>
          </w:tcPr>
          <w:p>
            <w:pPr>
              <w:ind w:left="20"/>
              <w:spacing w:after="0" w:line="148" w:lineRule="exact"/>
              <w:rPr>
                <w:sz w:val="20"/>
                <w:szCs w:val="20"/>
                <w:color w:val="auto"/>
              </w:rPr>
            </w:pPr>
            <w:r>
              <w:rPr>
                <w:rFonts w:ascii="Arial" w:cs="Arial" w:eastAsia="Arial" w:hAnsi="Arial"/>
                <w:sz w:val="13"/>
                <w:szCs w:val="13"/>
                <w:color w:val="auto"/>
              </w:rPr>
              <w:t>Montrose Crossing</w:t>
            </w:r>
          </w:p>
        </w:tc>
        <w:tc>
          <w:tcPr>
            <w:tcW w:w="32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(3)</w:t>
            </w:r>
          </w:p>
        </w:tc>
        <w:tc>
          <w:tcPr>
            <w:tcW w:w="2000" w:type="dxa"/>
            <w:vAlign w:val="bottom"/>
            <w:gridSpan w:val="2"/>
            <w:shd w:val="clear" w:color="auto" w:fill="CCEEFF"/>
          </w:tcPr>
          <w:p>
            <w:pPr>
              <w:ind w:left="100"/>
              <w:spacing w:after="0" w:line="148" w:lineRule="exact"/>
              <w:rPr>
                <w:sz w:val="20"/>
                <w:szCs w:val="20"/>
                <w:color w:val="auto"/>
              </w:rPr>
            </w:pPr>
            <w:r>
              <w:rPr>
                <w:rFonts w:ascii="Arial" w:cs="Arial" w:eastAsia="Arial" w:hAnsi="Arial"/>
                <w:sz w:val="13"/>
                <w:szCs w:val="13"/>
                <w:color w:val="auto"/>
              </w:rPr>
              <w:t>Washington, DC-MD-VA</w:t>
            </w:r>
          </w:p>
        </w:tc>
        <w:tc>
          <w:tcPr>
            <w:tcW w:w="70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157,889</w:t>
            </w:r>
          </w:p>
        </w:tc>
        <w:tc>
          <w:tcPr>
            <w:tcW w:w="660" w:type="dxa"/>
            <w:vAlign w:val="bottom"/>
            <w:shd w:val="clear" w:color="auto" w:fill="CCEEFF"/>
          </w:tcPr>
          <w:p>
            <w:pPr>
              <w:jc w:val="right"/>
              <w:ind w:right="58"/>
              <w:spacing w:after="0" w:line="148" w:lineRule="exact"/>
              <w:rPr>
                <w:sz w:val="20"/>
                <w:szCs w:val="20"/>
                <w:color w:val="auto"/>
              </w:rPr>
            </w:pPr>
            <w:r>
              <w:rPr>
                <w:rFonts w:ascii="Arial" w:cs="Arial" w:eastAsia="Arial" w:hAnsi="Arial"/>
                <w:sz w:val="13"/>
                <w:szCs w:val="13"/>
                <w:color w:val="auto"/>
              </w:rPr>
              <w:t>71,478</w:t>
            </w:r>
          </w:p>
        </w:tc>
        <w:tc>
          <w:tcPr>
            <w:tcW w:w="48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36</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364,000</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94%</w:t>
            </w: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jc w:val="center"/>
              <w:ind w:right="17"/>
              <w:spacing w:after="0" w:line="148" w:lineRule="exact"/>
              <w:rPr>
                <w:sz w:val="20"/>
                <w:szCs w:val="20"/>
                <w:color w:val="auto"/>
              </w:rPr>
            </w:pPr>
            <w:r>
              <w:rPr>
                <w:rFonts w:ascii="Arial" w:cs="Arial" w:eastAsia="Arial" w:hAnsi="Arial"/>
                <w:sz w:val="13"/>
                <w:szCs w:val="13"/>
                <w:color w:val="auto"/>
                <w:w w:val="85"/>
              </w:rPr>
              <w:t>73,000</w:t>
            </w:r>
          </w:p>
        </w:tc>
        <w:tc>
          <w:tcPr>
            <w:tcW w:w="90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shd w:val="clear" w:color="auto" w:fill="CCEEFF"/>
              </w:rPr>
              <w:t>Giant Food</w:t>
            </w:r>
          </w:p>
        </w:tc>
        <w:tc>
          <w:tcPr>
            <w:tcW w:w="230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w w:val="96"/>
                <w:shd w:val="clear" w:color="auto" w:fill="CCEEFF"/>
              </w:rPr>
              <w:t>Marshalls / Old Navy / Barnes &amp; Noble /</w:t>
            </w:r>
          </w:p>
        </w:tc>
      </w:tr>
      <w:tr>
        <w:trPr>
          <w:trHeight w:val="156"/>
        </w:trPr>
        <w:tc>
          <w:tcPr>
            <w:tcW w:w="2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86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c>
          <w:tcPr>
            <w:tcW w:w="23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shd w:val="clear" w:color="auto" w:fill="CCEEFF"/>
              </w:rPr>
              <w:t>Bob's Discount Furniture</w:t>
            </w:r>
          </w:p>
        </w:tc>
      </w:tr>
      <w:tr>
        <w:trPr>
          <w:trHeight w:val="148"/>
        </w:trPr>
        <w:tc>
          <w:tcPr>
            <w:tcW w:w="1300" w:type="dxa"/>
            <w:vAlign w:val="bottom"/>
            <w:gridSpan w:val="3"/>
          </w:tcPr>
          <w:p>
            <w:pPr>
              <w:ind w:left="20"/>
              <w:spacing w:after="0" w:line="148" w:lineRule="exact"/>
              <w:rPr>
                <w:sz w:val="20"/>
                <w:szCs w:val="20"/>
                <w:color w:val="auto"/>
              </w:rPr>
            </w:pPr>
            <w:r>
              <w:rPr>
                <w:rFonts w:ascii="Arial" w:cs="Arial" w:eastAsia="Arial" w:hAnsi="Arial"/>
                <w:sz w:val="13"/>
                <w:szCs w:val="13"/>
                <w:color w:val="auto"/>
              </w:rPr>
              <w:t>Mount Vernon/South</w:t>
            </w:r>
          </w:p>
        </w:tc>
        <w:tc>
          <w:tcPr>
            <w:tcW w:w="3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(5)</w:t>
            </w:r>
          </w:p>
        </w:tc>
        <w:tc>
          <w:tcPr>
            <w:tcW w:w="2000" w:type="dxa"/>
            <w:vAlign w:val="bottom"/>
            <w:gridSpan w:val="2"/>
          </w:tcPr>
          <w:p>
            <w:pPr>
              <w:ind w:left="100"/>
              <w:spacing w:after="0" w:line="148" w:lineRule="exact"/>
              <w:rPr>
                <w:sz w:val="20"/>
                <w:szCs w:val="20"/>
                <w:color w:val="auto"/>
              </w:rPr>
            </w:pPr>
            <w:r>
              <w:rPr>
                <w:rFonts w:ascii="Arial" w:cs="Arial" w:eastAsia="Arial" w:hAnsi="Arial"/>
                <w:sz w:val="13"/>
                <w:szCs w:val="13"/>
                <w:color w:val="auto"/>
              </w:rPr>
              <w:t>Washington, DC-MD-VA</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84,593</w:t>
            </w:r>
          </w:p>
        </w:tc>
        <w:tc>
          <w:tcPr>
            <w:tcW w:w="660" w:type="dxa"/>
            <w:vAlign w:val="bottom"/>
          </w:tcPr>
          <w:p>
            <w:pPr>
              <w:spacing w:after="0"/>
              <w:rPr>
                <w:sz w:val="12"/>
                <w:szCs w:val="12"/>
                <w:color w:val="auto"/>
              </w:rPr>
            </w:pP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29</w:t>
            </w:r>
          </w:p>
        </w:tc>
        <w:tc>
          <w:tcPr>
            <w:tcW w:w="120" w:type="dxa"/>
            <w:vAlign w:val="bottom"/>
          </w:tcPr>
          <w:p>
            <w:pPr>
              <w:spacing w:after="0"/>
              <w:rPr>
                <w:sz w:val="12"/>
                <w:szCs w:val="12"/>
                <w:color w:val="auto"/>
              </w:rPr>
            </w:pP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570,000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96%</w:t>
            </w:r>
          </w:p>
        </w:tc>
        <w:tc>
          <w:tcPr>
            <w:tcW w:w="68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62,000</w:t>
            </w:r>
          </w:p>
        </w:tc>
        <w:tc>
          <w:tcPr>
            <w:tcW w:w="900" w:type="dxa"/>
            <w:vAlign w:val="bottom"/>
          </w:tcPr>
          <w:p>
            <w:pPr>
              <w:ind w:left="80"/>
              <w:spacing w:after="0" w:line="148" w:lineRule="exact"/>
              <w:rPr>
                <w:sz w:val="20"/>
                <w:szCs w:val="20"/>
                <w:color w:val="auto"/>
              </w:rPr>
            </w:pPr>
            <w:r>
              <w:rPr>
                <w:rFonts w:ascii="Arial" w:cs="Arial" w:eastAsia="Arial" w:hAnsi="Arial"/>
                <w:sz w:val="13"/>
                <w:szCs w:val="13"/>
                <w:color w:val="auto"/>
                <w:w w:val="89"/>
              </w:rPr>
              <w:t>Shoppers Food</w:t>
            </w:r>
          </w:p>
        </w:tc>
        <w:tc>
          <w:tcPr>
            <w:tcW w:w="2300" w:type="dxa"/>
            <w:vAlign w:val="bottom"/>
          </w:tcPr>
          <w:p>
            <w:pPr>
              <w:ind w:left="80"/>
              <w:spacing w:after="0" w:line="148" w:lineRule="exact"/>
              <w:rPr>
                <w:sz w:val="20"/>
                <w:szCs w:val="20"/>
                <w:color w:val="auto"/>
              </w:rPr>
            </w:pPr>
            <w:r>
              <w:rPr>
                <w:rFonts w:ascii="Arial" w:cs="Arial" w:eastAsia="Arial" w:hAnsi="Arial"/>
                <w:sz w:val="13"/>
                <w:szCs w:val="13"/>
                <w:color w:val="auto"/>
              </w:rPr>
              <w:t>TJ Maxx / Home Depot / Bed, Bath &amp;</w:t>
            </w:r>
          </w:p>
        </w:tc>
      </w:tr>
      <w:tr>
        <w:trPr>
          <w:trHeight w:val="135"/>
        </w:trPr>
        <w:tc>
          <w:tcPr>
            <w:tcW w:w="1300" w:type="dxa"/>
            <w:vAlign w:val="bottom"/>
            <w:gridSpan w:val="3"/>
          </w:tcPr>
          <w:p>
            <w:pPr>
              <w:ind w:left="20"/>
              <w:spacing w:after="0" w:line="135" w:lineRule="exact"/>
              <w:rPr>
                <w:sz w:val="20"/>
                <w:szCs w:val="20"/>
                <w:color w:val="auto"/>
              </w:rPr>
            </w:pPr>
            <w:r>
              <w:rPr>
                <w:rFonts w:ascii="Arial" w:cs="Arial" w:eastAsia="Arial" w:hAnsi="Arial"/>
                <w:sz w:val="13"/>
                <w:szCs w:val="13"/>
                <w:color w:val="auto"/>
                <w:w w:val="96"/>
              </w:rPr>
              <w:t>Valley/7770 Richmond</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ind w:left="80"/>
              <w:spacing w:after="0" w:line="135" w:lineRule="exact"/>
              <w:rPr>
                <w:sz w:val="20"/>
                <w:szCs w:val="20"/>
                <w:color w:val="auto"/>
              </w:rPr>
            </w:pPr>
            <w:r>
              <w:rPr>
                <w:rFonts w:ascii="Arial" w:cs="Arial" w:eastAsia="Arial" w:hAnsi="Arial"/>
                <w:sz w:val="13"/>
                <w:szCs w:val="13"/>
                <w:color w:val="auto"/>
              </w:rPr>
              <w:t>Warehouse</w:t>
            </w:r>
          </w:p>
        </w:tc>
        <w:tc>
          <w:tcPr>
            <w:tcW w:w="2300" w:type="dxa"/>
            <w:vAlign w:val="bottom"/>
          </w:tcPr>
          <w:p>
            <w:pPr>
              <w:ind w:left="80"/>
              <w:spacing w:after="0" w:line="135" w:lineRule="exact"/>
              <w:rPr>
                <w:sz w:val="20"/>
                <w:szCs w:val="20"/>
                <w:color w:val="auto"/>
              </w:rPr>
            </w:pPr>
            <w:r>
              <w:rPr>
                <w:rFonts w:ascii="Arial" w:cs="Arial" w:eastAsia="Arial" w:hAnsi="Arial"/>
                <w:sz w:val="13"/>
                <w:szCs w:val="13"/>
                <w:color w:val="auto"/>
              </w:rPr>
              <w:t>Beyond / Gold's Gym</w:t>
            </w:r>
          </w:p>
        </w:tc>
      </w:tr>
      <w:tr>
        <w:trPr>
          <w:trHeight w:val="168"/>
        </w:trPr>
        <w:tc>
          <w:tcPr>
            <w:tcW w:w="1300" w:type="dxa"/>
            <w:vAlign w:val="bottom"/>
            <w:gridSpan w:val="3"/>
          </w:tcPr>
          <w:p>
            <w:pPr>
              <w:ind w:left="20"/>
              <w:spacing w:after="0"/>
              <w:rPr>
                <w:sz w:val="20"/>
                <w:szCs w:val="20"/>
                <w:color w:val="auto"/>
              </w:rPr>
            </w:pPr>
            <w:r>
              <w:rPr>
                <w:rFonts w:ascii="Arial" w:cs="Arial" w:eastAsia="Arial" w:hAnsi="Arial"/>
                <w:sz w:val="13"/>
                <w:szCs w:val="13"/>
                <w:color w:val="auto"/>
              </w:rPr>
              <w:t>Hwy</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170"/>
        </w:trPr>
        <w:tc>
          <w:tcPr>
            <w:tcW w:w="130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Old Keene Mill</w:t>
            </w:r>
          </w:p>
        </w:tc>
        <w:tc>
          <w:tcPr>
            <w:tcW w:w="320" w:type="dxa"/>
            <w:vAlign w:val="bottom"/>
            <w:shd w:val="clear" w:color="auto" w:fill="CCEEFF"/>
          </w:tcPr>
          <w:p>
            <w:pPr>
              <w:spacing w:after="0"/>
              <w:rPr>
                <w:sz w:val="14"/>
                <w:szCs w:val="14"/>
                <w:color w:val="auto"/>
              </w:rPr>
            </w:pPr>
          </w:p>
        </w:tc>
        <w:tc>
          <w:tcPr>
            <w:tcW w:w="20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Washington, DC-MD-VA</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7,709</w:t>
            </w:r>
          </w:p>
        </w:tc>
        <w:tc>
          <w:tcPr>
            <w:tcW w:w="66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92,000</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80" w:type="dxa"/>
            <w:vAlign w:val="bottom"/>
            <w:shd w:val="clear" w:color="auto" w:fill="CCEEFF"/>
          </w:tcPr>
          <w:p>
            <w:pPr>
              <w:spacing w:after="0"/>
              <w:rPr>
                <w:sz w:val="14"/>
                <w:szCs w:val="14"/>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24,000</w:t>
            </w: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Whole Foods</w:t>
            </w:r>
          </w:p>
        </w:tc>
        <w:tc>
          <w:tcPr>
            <w:tcW w:w="2300" w:type="dxa"/>
            <w:vAlign w:val="bottom"/>
            <w:shd w:val="clear" w:color="auto" w:fill="CCEEFF"/>
          </w:tcPr>
          <w:p>
            <w:pPr>
              <w:ind w:left="80"/>
              <w:spacing w:after="0"/>
              <w:rPr>
                <w:sz w:val="20"/>
                <w:szCs w:val="20"/>
                <w:color w:val="auto"/>
              </w:rPr>
            </w:pPr>
            <w:r>
              <w:rPr>
                <w:rFonts w:ascii="Arial" w:cs="Arial" w:eastAsia="Arial" w:hAnsi="Arial"/>
                <w:sz w:val="13"/>
                <w:szCs w:val="13"/>
                <w:color w:val="auto"/>
                <w:shd w:val="clear" w:color="auto" w:fill="CCEEFF"/>
              </w:rPr>
              <w:t>Walgreens / Planet Fitness</w:t>
            </w:r>
          </w:p>
        </w:tc>
      </w:tr>
      <w:tr>
        <w:trPr>
          <w:trHeight w:val="108"/>
        </w:trPr>
        <w:tc>
          <w:tcPr>
            <w:tcW w:w="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8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2300" w:type="dxa"/>
            <w:vAlign w:val="bottom"/>
            <w:shd w:val="clear" w:color="auto" w:fill="CCEEFF"/>
          </w:tcPr>
          <w:p>
            <w:pPr>
              <w:spacing w:after="0"/>
              <w:rPr>
                <w:sz w:val="9"/>
                <w:szCs w:val="9"/>
                <w:color w:val="auto"/>
              </w:rPr>
            </w:pPr>
          </w:p>
        </w:tc>
      </w:tr>
      <w:tr>
        <w:trPr>
          <w:trHeight w:val="173"/>
        </w:trPr>
        <w:tc>
          <w:tcPr>
            <w:tcW w:w="1300" w:type="dxa"/>
            <w:vAlign w:val="bottom"/>
            <w:gridSpan w:val="3"/>
          </w:tcPr>
          <w:p>
            <w:pPr>
              <w:ind w:left="20"/>
              <w:spacing w:after="0"/>
              <w:rPr>
                <w:sz w:val="20"/>
                <w:szCs w:val="20"/>
                <w:color w:val="auto"/>
              </w:rPr>
            </w:pPr>
            <w:r>
              <w:rPr>
                <w:rFonts w:ascii="Arial" w:cs="Arial" w:eastAsia="Arial" w:hAnsi="Arial"/>
                <w:sz w:val="13"/>
                <w:szCs w:val="13"/>
                <w:color w:val="auto"/>
              </w:rPr>
              <w:t>Pan Am</w:t>
            </w:r>
          </w:p>
        </w:tc>
        <w:tc>
          <w:tcPr>
            <w:tcW w:w="320" w:type="dxa"/>
            <w:vAlign w:val="bottom"/>
          </w:tcPr>
          <w:p>
            <w:pPr>
              <w:spacing w:after="0"/>
              <w:rPr>
                <w:sz w:val="15"/>
                <w:szCs w:val="15"/>
                <w:color w:val="auto"/>
              </w:rPr>
            </w:pPr>
          </w:p>
        </w:tc>
        <w:tc>
          <w:tcPr>
            <w:tcW w:w="2000" w:type="dxa"/>
            <w:vAlign w:val="bottom"/>
            <w:gridSpan w:val="2"/>
          </w:tcPr>
          <w:p>
            <w:pPr>
              <w:ind w:left="100"/>
              <w:spacing w:after="0"/>
              <w:rPr>
                <w:sz w:val="20"/>
                <w:szCs w:val="20"/>
                <w:color w:val="auto"/>
              </w:rPr>
            </w:pPr>
            <w:r>
              <w:rPr>
                <w:rFonts w:ascii="Arial" w:cs="Arial" w:eastAsia="Arial" w:hAnsi="Arial"/>
                <w:sz w:val="13"/>
                <w:szCs w:val="13"/>
                <w:color w:val="auto"/>
              </w:rPr>
              <w:t>Washington, DC-MD-VA</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29,231</w:t>
            </w:r>
          </w:p>
        </w:tc>
        <w:tc>
          <w:tcPr>
            <w:tcW w:w="660" w:type="dxa"/>
            <w:vAlign w:val="bottom"/>
          </w:tcPr>
          <w:p>
            <w:pPr>
              <w:spacing w:after="0"/>
              <w:rPr>
                <w:sz w:val="15"/>
                <w:szCs w:val="15"/>
                <w:color w:val="auto"/>
              </w:rPr>
            </w:pP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25</w:t>
            </w:r>
          </w:p>
        </w:tc>
        <w:tc>
          <w:tcPr>
            <w:tcW w:w="120" w:type="dxa"/>
            <w:vAlign w:val="bottom"/>
          </w:tcPr>
          <w:p>
            <w:pPr>
              <w:spacing w:after="0"/>
              <w:rPr>
                <w:sz w:val="15"/>
                <w:szCs w:val="15"/>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227,000</w:t>
            </w: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98%</w:t>
            </w:r>
          </w:p>
        </w:tc>
        <w:tc>
          <w:tcPr>
            <w:tcW w:w="680" w:type="dxa"/>
            <w:vAlign w:val="bottom"/>
          </w:tcPr>
          <w:p>
            <w:pPr>
              <w:spacing w:after="0"/>
              <w:rPr>
                <w:sz w:val="15"/>
                <w:szCs w:val="15"/>
                <w:color w:val="auto"/>
              </w:rPr>
            </w:pPr>
          </w:p>
        </w:tc>
        <w:tc>
          <w:tcPr>
            <w:tcW w:w="580" w:type="dxa"/>
            <w:vAlign w:val="bottom"/>
          </w:tcPr>
          <w:p>
            <w:pPr>
              <w:jc w:val="center"/>
              <w:ind w:right="17"/>
              <w:spacing w:after="0"/>
              <w:rPr>
                <w:sz w:val="20"/>
                <w:szCs w:val="20"/>
                <w:color w:val="auto"/>
              </w:rPr>
            </w:pPr>
            <w:r>
              <w:rPr>
                <w:rFonts w:ascii="Arial" w:cs="Arial" w:eastAsia="Arial" w:hAnsi="Arial"/>
                <w:sz w:val="13"/>
                <w:szCs w:val="13"/>
                <w:color w:val="auto"/>
                <w:w w:val="85"/>
              </w:rPr>
              <w:t>65,000</w:t>
            </w:r>
          </w:p>
        </w:tc>
        <w:tc>
          <w:tcPr>
            <w:tcW w:w="900" w:type="dxa"/>
            <w:vAlign w:val="bottom"/>
          </w:tcPr>
          <w:p>
            <w:pPr>
              <w:ind w:left="80"/>
              <w:spacing w:after="0"/>
              <w:rPr>
                <w:sz w:val="20"/>
                <w:szCs w:val="20"/>
                <w:color w:val="auto"/>
              </w:rPr>
            </w:pPr>
            <w:r>
              <w:rPr>
                <w:rFonts w:ascii="Arial" w:cs="Arial" w:eastAsia="Arial" w:hAnsi="Arial"/>
                <w:sz w:val="13"/>
                <w:szCs w:val="13"/>
                <w:color w:val="auto"/>
              </w:rPr>
              <w:t>Safeway</w:t>
            </w:r>
          </w:p>
        </w:tc>
        <w:tc>
          <w:tcPr>
            <w:tcW w:w="2300" w:type="dxa"/>
            <w:vAlign w:val="bottom"/>
          </w:tcPr>
          <w:p>
            <w:pPr>
              <w:ind w:left="80"/>
              <w:spacing w:after="0"/>
              <w:rPr>
                <w:sz w:val="20"/>
                <w:szCs w:val="20"/>
                <w:color w:val="auto"/>
              </w:rPr>
            </w:pPr>
            <w:r>
              <w:rPr>
                <w:rFonts w:ascii="Arial" w:cs="Arial" w:eastAsia="Arial" w:hAnsi="Arial"/>
                <w:sz w:val="13"/>
                <w:szCs w:val="13"/>
                <w:color w:val="auto"/>
              </w:rPr>
              <w:t>Micro Center / CVS / Michaels</w:t>
            </w:r>
          </w:p>
        </w:tc>
      </w:tr>
      <w:tr>
        <w:trPr>
          <w:trHeight w:val="97"/>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300" w:type="dxa"/>
            <w:vAlign w:val="bottom"/>
          </w:tcPr>
          <w:p>
            <w:pPr>
              <w:spacing w:after="0"/>
              <w:rPr>
                <w:sz w:val="8"/>
                <w:szCs w:val="8"/>
                <w:color w:val="auto"/>
              </w:rPr>
            </w:pPr>
          </w:p>
        </w:tc>
      </w:tr>
      <w:tr>
        <w:trPr>
          <w:trHeight w:val="162"/>
        </w:trPr>
        <w:tc>
          <w:tcPr>
            <w:tcW w:w="130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Pentagon Row</w:t>
            </w:r>
          </w:p>
        </w:tc>
        <w:tc>
          <w:tcPr>
            <w:tcW w:w="320" w:type="dxa"/>
            <w:vAlign w:val="bottom"/>
            <w:shd w:val="clear" w:color="auto" w:fill="CCEEFF"/>
          </w:tcPr>
          <w:p>
            <w:pPr>
              <w:spacing w:after="0"/>
              <w:rPr>
                <w:sz w:val="14"/>
                <w:szCs w:val="14"/>
                <w:color w:val="auto"/>
              </w:rPr>
            </w:pPr>
          </w:p>
        </w:tc>
        <w:tc>
          <w:tcPr>
            <w:tcW w:w="20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Washington, DC-MD-VA</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100,784</w:t>
            </w:r>
          </w:p>
        </w:tc>
        <w:tc>
          <w:tcPr>
            <w:tcW w:w="66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299,000</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w:t>
            </w:r>
          </w:p>
        </w:tc>
        <w:tc>
          <w:tcPr>
            <w:tcW w:w="680" w:type="dxa"/>
            <w:vAlign w:val="bottom"/>
            <w:shd w:val="clear" w:color="auto" w:fill="CCEEFF"/>
          </w:tcPr>
          <w:p>
            <w:pPr>
              <w:spacing w:after="0"/>
              <w:rPr>
                <w:sz w:val="14"/>
                <w:szCs w:val="14"/>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45,000</w:t>
            </w: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Harris Teeter</w:t>
            </w:r>
          </w:p>
        </w:tc>
        <w:tc>
          <w:tcPr>
            <w:tcW w:w="2300" w:type="dxa"/>
            <w:vAlign w:val="bottom"/>
            <w:shd w:val="clear" w:color="auto" w:fill="CCEEFF"/>
          </w:tcPr>
          <w:p>
            <w:pPr>
              <w:ind w:left="80"/>
              <w:spacing w:after="0"/>
              <w:rPr>
                <w:sz w:val="20"/>
                <w:szCs w:val="20"/>
                <w:color w:val="auto"/>
              </w:rPr>
            </w:pPr>
            <w:r>
              <w:rPr>
                <w:rFonts w:ascii="Arial" w:cs="Arial" w:eastAsia="Arial" w:hAnsi="Arial"/>
                <w:sz w:val="13"/>
                <w:szCs w:val="13"/>
                <w:color w:val="auto"/>
                <w:shd w:val="clear" w:color="auto" w:fill="CCEEFF"/>
              </w:rPr>
              <w:t>TJ Maxx / Bed, Bath &amp; Beyond / DSW</w:t>
            </w:r>
          </w:p>
        </w:tc>
      </w:tr>
      <w:tr>
        <w:trPr>
          <w:trHeight w:val="108"/>
        </w:trPr>
        <w:tc>
          <w:tcPr>
            <w:tcW w:w="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8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2300" w:type="dxa"/>
            <w:vAlign w:val="bottom"/>
            <w:shd w:val="clear" w:color="auto" w:fill="CCEEFF"/>
          </w:tcPr>
          <w:p>
            <w:pPr>
              <w:spacing w:after="0"/>
              <w:rPr>
                <w:sz w:val="9"/>
                <w:szCs w:val="9"/>
                <w:color w:val="auto"/>
              </w:rPr>
            </w:pPr>
          </w:p>
        </w:tc>
      </w:tr>
      <w:tr>
        <w:trPr>
          <w:trHeight w:val="148"/>
        </w:trPr>
        <w:tc>
          <w:tcPr>
            <w:tcW w:w="1300" w:type="dxa"/>
            <w:vAlign w:val="bottom"/>
            <w:gridSpan w:val="3"/>
          </w:tcPr>
          <w:p>
            <w:pPr>
              <w:ind w:left="20"/>
              <w:spacing w:after="0" w:line="148" w:lineRule="exact"/>
              <w:rPr>
                <w:sz w:val="20"/>
                <w:szCs w:val="20"/>
                <w:color w:val="auto"/>
              </w:rPr>
            </w:pPr>
            <w:r>
              <w:rPr>
                <w:rFonts w:ascii="Arial" w:cs="Arial" w:eastAsia="Arial" w:hAnsi="Arial"/>
                <w:sz w:val="13"/>
                <w:szCs w:val="13"/>
                <w:color w:val="auto"/>
              </w:rPr>
              <w:t>Pike &amp; Rose</w:t>
            </w:r>
          </w:p>
        </w:tc>
        <w:tc>
          <w:tcPr>
            <w:tcW w:w="3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(4)</w:t>
            </w:r>
          </w:p>
        </w:tc>
        <w:tc>
          <w:tcPr>
            <w:tcW w:w="2000" w:type="dxa"/>
            <w:vAlign w:val="bottom"/>
            <w:gridSpan w:val="2"/>
          </w:tcPr>
          <w:p>
            <w:pPr>
              <w:ind w:left="100"/>
              <w:spacing w:after="0" w:line="148" w:lineRule="exact"/>
              <w:rPr>
                <w:sz w:val="20"/>
                <w:szCs w:val="20"/>
                <w:color w:val="auto"/>
              </w:rPr>
            </w:pPr>
            <w:r>
              <w:rPr>
                <w:rFonts w:ascii="Arial" w:cs="Arial" w:eastAsia="Arial" w:hAnsi="Arial"/>
                <w:sz w:val="13"/>
                <w:szCs w:val="13"/>
                <w:color w:val="auto"/>
              </w:rPr>
              <w:t>Washington, DC-MD-VA</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568,891</w:t>
            </w:r>
          </w:p>
        </w:tc>
        <w:tc>
          <w:tcPr>
            <w:tcW w:w="660" w:type="dxa"/>
            <w:vAlign w:val="bottom"/>
          </w:tcPr>
          <w:p>
            <w:pPr>
              <w:spacing w:after="0"/>
              <w:rPr>
                <w:sz w:val="12"/>
                <w:szCs w:val="12"/>
                <w:color w:val="auto"/>
              </w:rPr>
            </w:pP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24</w:t>
            </w:r>
          </w:p>
        </w:tc>
        <w:tc>
          <w:tcPr>
            <w:tcW w:w="120" w:type="dxa"/>
            <w:vAlign w:val="bottom"/>
          </w:tcPr>
          <w:p>
            <w:pPr>
              <w:spacing w:after="0"/>
              <w:rPr>
                <w:sz w:val="12"/>
                <w:szCs w:val="12"/>
                <w:color w:val="auto"/>
              </w:rPr>
            </w:pP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353,000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97%</w:t>
            </w:r>
          </w:p>
        </w:tc>
        <w:tc>
          <w:tcPr>
            <w:tcW w:w="680" w:type="dxa"/>
            <w:vAlign w:val="bottom"/>
          </w:tcPr>
          <w:p>
            <w:pPr>
              <w:jc w:val="right"/>
              <w:ind w:right="77"/>
              <w:spacing w:after="0" w:line="148" w:lineRule="exact"/>
              <w:rPr>
                <w:sz w:val="20"/>
                <w:szCs w:val="20"/>
                <w:color w:val="auto"/>
              </w:rPr>
            </w:pPr>
            <w:r>
              <w:rPr>
                <w:rFonts w:ascii="Arial" w:cs="Arial" w:eastAsia="Arial" w:hAnsi="Arial"/>
                <w:sz w:val="13"/>
                <w:szCs w:val="13"/>
                <w:color w:val="auto"/>
              </w:rPr>
              <w:t>546</w:t>
            </w:r>
          </w:p>
        </w:tc>
        <w:tc>
          <w:tcPr>
            <w:tcW w:w="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300" w:type="dxa"/>
            <w:vAlign w:val="bottom"/>
          </w:tcPr>
          <w:p>
            <w:pPr>
              <w:ind w:left="80"/>
              <w:spacing w:after="0" w:line="148" w:lineRule="exact"/>
              <w:rPr>
                <w:sz w:val="20"/>
                <w:szCs w:val="20"/>
                <w:color w:val="auto"/>
              </w:rPr>
            </w:pPr>
            <w:r>
              <w:rPr>
                <w:rFonts w:ascii="Arial" w:cs="Arial" w:eastAsia="Arial" w:hAnsi="Arial"/>
                <w:sz w:val="13"/>
                <w:szCs w:val="13"/>
                <w:color w:val="auto"/>
                <w:w w:val="92"/>
              </w:rPr>
              <w:t>iPic Theater / Sport &amp; Health / H&amp;M / REI</w:t>
            </w:r>
          </w:p>
        </w:tc>
      </w:tr>
      <w:tr>
        <w:trPr>
          <w:trHeight w:val="168"/>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300" w:type="dxa"/>
            <w:vAlign w:val="bottom"/>
          </w:tcPr>
          <w:p>
            <w:pPr>
              <w:ind w:left="80"/>
              <w:spacing w:after="0"/>
              <w:rPr>
                <w:sz w:val="20"/>
                <w:szCs w:val="20"/>
                <w:color w:val="auto"/>
              </w:rPr>
            </w:pPr>
            <w:r>
              <w:rPr>
                <w:rFonts w:ascii="Arial" w:cs="Arial" w:eastAsia="Arial" w:hAnsi="Arial"/>
                <w:sz w:val="13"/>
                <w:szCs w:val="13"/>
                <w:color w:val="auto"/>
              </w:rPr>
              <w:t>/ Pinstripes / Multiple Restaurants</w:t>
            </w:r>
          </w:p>
        </w:tc>
      </w:tr>
      <w:tr>
        <w:trPr>
          <w:trHeight w:val="170"/>
        </w:trPr>
        <w:tc>
          <w:tcPr>
            <w:tcW w:w="130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Pike 7 Plaza</w:t>
            </w:r>
          </w:p>
        </w:tc>
        <w:tc>
          <w:tcPr>
            <w:tcW w:w="320" w:type="dxa"/>
            <w:vAlign w:val="bottom"/>
            <w:shd w:val="clear" w:color="auto" w:fill="CCEEFF"/>
          </w:tcPr>
          <w:p>
            <w:pPr>
              <w:spacing w:after="0"/>
              <w:rPr>
                <w:sz w:val="14"/>
                <w:szCs w:val="14"/>
                <w:color w:val="auto"/>
              </w:rPr>
            </w:pPr>
          </w:p>
        </w:tc>
        <w:tc>
          <w:tcPr>
            <w:tcW w:w="20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Washington, DC-MD-VA</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43,271</w:t>
            </w:r>
          </w:p>
        </w:tc>
        <w:tc>
          <w:tcPr>
            <w:tcW w:w="66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164,000</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300" w:type="dxa"/>
            <w:vAlign w:val="bottom"/>
            <w:shd w:val="clear" w:color="auto" w:fill="CCEEFF"/>
          </w:tcPr>
          <w:p>
            <w:pPr>
              <w:ind w:left="80"/>
              <w:spacing w:after="0"/>
              <w:rPr>
                <w:sz w:val="20"/>
                <w:szCs w:val="20"/>
                <w:color w:val="auto"/>
              </w:rPr>
            </w:pPr>
            <w:r>
              <w:rPr>
                <w:rFonts w:ascii="Arial" w:cs="Arial" w:eastAsia="Arial" w:hAnsi="Arial"/>
                <w:sz w:val="13"/>
                <w:szCs w:val="13"/>
                <w:color w:val="auto"/>
                <w:w w:val="90"/>
                <w:shd w:val="clear" w:color="auto" w:fill="CCEEFF"/>
              </w:rPr>
              <w:t>TJ Maxx / DSW / Crunch Fitness / Staples</w:t>
            </w:r>
          </w:p>
        </w:tc>
      </w:tr>
      <w:tr>
        <w:trPr>
          <w:trHeight w:val="108"/>
        </w:trPr>
        <w:tc>
          <w:tcPr>
            <w:tcW w:w="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8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2300" w:type="dxa"/>
            <w:vAlign w:val="bottom"/>
            <w:shd w:val="clear" w:color="auto" w:fill="CCEEFF"/>
          </w:tcPr>
          <w:p>
            <w:pPr>
              <w:spacing w:after="0"/>
              <w:rPr>
                <w:sz w:val="9"/>
                <w:szCs w:val="9"/>
                <w:color w:val="auto"/>
              </w:rPr>
            </w:pPr>
          </w:p>
        </w:tc>
      </w:tr>
      <w:tr>
        <w:trPr>
          <w:trHeight w:val="173"/>
        </w:trPr>
        <w:tc>
          <w:tcPr>
            <w:tcW w:w="1300" w:type="dxa"/>
            <w:vAlign w:val="bottom"/>
            <w:gridSpan w:val="3"/>
          </w:tcPr>
          <w:p>
            <w:pPr>
              <w:ind w:left="20"/>
              <w:spacing w:after="0"/>
              <w:rPr>
                <w:sz w:val="20"/>
                <w:szCs w:val="20"/>
                <w:color w:val="auto"/>
              </w:rPr>
            </w:pPr>
            <w:r>
              <w:rPr>
                <w:rFonts w:ascii="Arial" w:cs="Arial" w:eastAsia="Arial" w:hAnsi="Arial"/>
                <w:sz w:val="13"/>
                <w:szCs w:val="13"/>
                <w:color w:val="auto"/>
              </w:rPr>
              <w:t>Plaza del Mercado</w:t>
            </w:r>
          </w:p>
        </w:tc>
        <w:tc>
          <w:tcPr>
            <w:tcW w:w="320" w:type="dxa"/>
            <w:vAlign w:val="bottom"/>
          </w:tcPr>
          <w:p>
            <w:pPr>
              <w:spacing w:after="0"/>
              <w:rPr>
                <w:sz w:val="15"/>
                <w:szCs w:val="15"/>
                <w:color w:val="auto"/>
              </w:rPr>
            </w:pPr>
          </w:p>
        </w:tc>
        <w:tc>
          <w:tcPr>
            <w:tcW w:w="2000" w:type="dxa"/>
            <w:vAlign w:val="bottom"/>
            <w:gridSpan w:val="2"/>
          </w:tcPr>
          <w:p>
            <w:pPr>
              <w:ind w:left="100"/>
              <w:spacing w:after="0"/>
              <w:rPr>
                <w:sz w:val="20"/>
                <w:szCs w:val="20"/>
                <w:color w:val="auto"/>
              </w:rPr>
            </w:pPr>
            <w:r>
              <w:rPr>
                <w:rFonts w:ascii="Arial" w:cs="Arial" w:eastAsia="Arial" w:hAnsi="Arial"/>
                <w:sz w:val="13"/>
                <w:szCs w:val="13"/>
                <w:color w:val="auto"/>
              </w:rPr>
              <w:t>Washington, DC-MD-VA</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46,194</w:t>
            </w:r>
          </w:p>
        </w:tc>
        <w:tc>
          <w:tcPr>
            <w:tcW w:w="660" w:type="dxa"/>
            <w:vAlign w:val="bottom"/>
          </w:tcPr>
          <w:p>
            <w:pPr>
              <w:spacing w:after="0"/>
              <w:rPr>
                <w:sz w:val="15"/>
                <w:szCs w:val="15"/>
                <w:color w:val="auto"/>
              </w:rPr>
            </w:pP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15"/>
                <w:szCs w:val="15"/>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117,000</w:t>
            </w: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93%</w:t>
            </w:r>
          </w:p>
        </w:tc>
        <w:tc>
          <w:tcPr>
            <w:tcW w:w="680" w:type="dxa"/>
            <w:vAlign w:val="bottom"/>
          </w:tcPr>
          <w:p>
            <w:pPr>
              <w:spacing w:after="0"/>
              <w:rPr>
                <w:sz w:val="15"/>
                <w:szCs w:val="15"/>
                <w:color w:val="auto"/>
              </w:rPr>
            </w:pPr>
          </w:p>
        </w:tc>
        <w:tc>
          <w:tcPr>
            <w:tcW w:w="580" w:type="dxa"/>
            <w:vAlign w:val="bottom"/>
          </w:tcPr>
          <w:p>
            <w:pPr>
              <w:jc w:val="center"/>
              <w:ind w:right="17"/>
              <w:spacing w:after="0"/>
              <w:rPr>
                <w:sz w:val="20"/>
                <w:szCs w:val="20"/>
                <w:color w:val="auto"/>
              </w:rPr>
            </w:pPr>
            <w:r>
              <w:rPr>
                <w:rFonts w:ascii="Arial" w:cs="Arial" w:eastAsia="Arial" w:hAnsi="Arial"/>
                <w:sz w:val="13"/>
                <w:szCs w:val="13"/>
                <w:color w:val="auto"/>
                <w:w w:val="85"/>
              </w:rPr>
              <w:t>18,000</w:t>
            </w:r>
          </w:p>
        </w:tc>
        <w:tc>
          <w:tcPr>
            <w:tcW w:w="900" w:type="dxa"/>
            <w:vAlign w:val="bottom"/>
          </w:tcPr>
          <w:p>
            <w:pPr>
              <w:ind w:left="80"/>
              <w:spacing w:after="0"/>
              <w:rPr>
                <w:sz w:val="20"/>
                <w:szCs w:val="20"/>
                <w:color w:val="auto"/>
              </w:rPr>
            </w:pPr>
            <w:r>
              <w:rPr>
                <w:rFonts w:ascii="Arial" w:cs="Arial" w:eastAsia="Arial" w:hAnsi="Arial"/>
                <w:sz w:val="13"/>
                <w:szCs w:val="13"/>
                <w:color w:val="auto"/>
              </w:rPr>
              <w:t>Aldi</w:t>
            </w:r>
          </w:p>
        </w:tc>
        <w:tc>
          <w:tcPr>
            <w:tcW w:w="2300" w:type="dxa"/>
            <w:vAlign w:val="bottom"/>
          </w:tcPr>
          <w:p>
            <w:pPr>
              <w:ind w:left="80"/>
              <w:spacing w:after="0"/>
              <w:rPr>
                <w:sz w:val="20"/>
                <w:szCs w:val="20"/>
                <w:color w:val="auto"/>
              </w:rPr>
            </w:pPr>
            <w:r>
              <w:rPr>
                <w:rFonts w:ascii="Arial" w:cs="Arial" w:eastAsia="Arial" w:hAnsi="Arial"/>
                <w:sz w:val="13"/>
                <w:szCs w:val="13"/>
                <w:color w:val="auto"/>
              </w:rPr>
              <w:t>CVS / L.A. Fitness</w:t>
            </w:r>
          </w:p>
        </w:tc>
      </w:tr>
      <w:tr>
        <w:trPr>
          <w:trHeight w:val="97"/>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300" w:type="dxa"/>
            <w:vAlign w:val="bottom"/>
          </w:tcPr>
          <w:p>
            <w:pPr>
              <w:spacing w:after="0"/>
              <w:rPr>
                <w:sz w:val="8"/>
                <w:szCs w:val="8"/>
                <w:color w:val="auto"/>
              </w:rPr>
            </w:pPr>
          </w:p>
        </w:tc>
      </w:tr>
      <w:tr>
        <w:trPr>
          <w:trHeight w:val="162"/>
        </w:trPr>
        <w:tc>
          <w:tcPr>
            <w:tcW w:w="130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Quince Orchard</w:t>
            </w:r>
          </w:p>
        </w:tc>
        <w:tc>
          <w:tcPr>
            <w:tcW w:w="320" w:type="dxa"/>
            <w:vAlign w:val="bottom"/>
            <w:shd w:val="clear" w:color="auto" w:fill="CCEEFF"/>
          </w:tcPr>
          <w:p>
            <w:pPr>
              <w:spacing w:after="0"/>
              <w:rPr>
                <w:sz w:val="14"/>
                <w:szCs w:val="14"/>
                <w:color w:val="auto"/>
              </w:rPr>
            </w:pPr>
          </w:p>
        </w:tc>
        <w:tc>
          <w:tcPr>
            <w:tcW w:w="20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Washington, DC-MD-VA</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38,628</w:t>
            </w:r>
          </w:p>
        </w:tc>
        <w:tc>
          <w:tcPr>
            <w:tcW w:w="66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267,000</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680" w:type="dxa"/>
            <w:vAlign w:val="bottom"/>
            <w:shd w:val="clear" w:color="auto" w:fill="CCEEFF"/>
          </w:tcPr>
          <w:p>
            <w:pPr>
              <w:spacing w:after="0"/>
              <w:rPr>
                <w:sz w:val="14"/>
                <w:szCs w:val="14"/>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19,000</w:t>
            </w: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Aldi</w:t>
            </w:r>
          </w:p>
        </w:tc>
        <w:tc>
          <w:tcPr>
            <w:tcW w:w="2300" w:type="dxa"/>
            <w:vAlign w:val="bottom"/>
            <w:shd w:val="clear" w:color="auto" w:fill="CCEEFF"/>
          </w:tcPr>
          <w:p>
            <w:pPr>
              <w:ind w:left="80"/>
              <w:spacing w:after="0"/>
              <w:rPr>
                <w:sz w:val="20"/>
                <w:szCs w:val="20"/>
                <w:color w:val="auto"/>
              </w:rPr>
            </w:pPr>
            <w:r>
              <w:rPr>
                <w:rFonts w:ascii="Arial" w:cs="Arial" w:eastAsia="Arial" w:hAnsi="Arial"/>
                <w:sz w:val="13"/>
                <w:szCs w:val="13"/>
                <w:color w:val="auto"/>
                <w:shd w:val="clear" w:color="auto" w:fill="CCEEFF"/>
              </w:rPr>
              <w:t>HomeGoods / L.A. Fitness / Staples</w:t>
            </w:r>
          </w:p>
        </w:tc>
      </w:tr>
      <w:tr>
        <w:trPr>
          <w:trHeight w:val="108"/>
        </w:trPr>
        <w:tc>
          <w:tcPr>
            <w:tcW w:w="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8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2300" w:type="dxa"/>
            <w:vAlign w:val="bottom"/>
            <w:shd w:val="clear" w:color="auto" w:fill="CCEEFF"/>
          </w:tcPr>
          <w:p>
            <w:pPr>
              <w:spacing w:after="0"/>
              <w:rPr>
                <w:sz w:val="9"/>
                <w:szCs w:val="9"/>
                <w:color w:val="auto"/>
              </w:rPr>
            </w:pPr>
          </w:p>
        </w:tc>
      </w:tr>
      <w:tr>
        <w:trPr>
          <w:trHeight w:val="148"/>
        </w:trPr>
        <w:tc>
          <w:tcPr>
            <w:tcW w:w="1300" w:type="dxa"/>
            <w:vAlign w:val="bottom"/>
            <w:gridSpan w:val="3"/>
          </w:tcPr>
          <w:p>
            <w:pPr>
              <w:ind w:left="20"/>
              <w:spacing w:after="0" w:line="148" w:lineRule="exact"/>
              <w:rPr>
                <w:sz w:val="20"/>
                <w:szCs w:val="20"/>
                <w:color w:val="auto"/>
              </w:rPr>
            </w:pPr>
            <w:r>
              <w:rPr>
                <w:rFonts w:ascii="Arial" w:cs="Arial" w:eastAsia="Arial" w:hAnsi="Arial"/>
                <w:sz w:val="13"/>
                <w:szCs w:val="13"/>
                <w:color w:val="auto"/>
                <w:w w:val="94"/>
              </w:rPr>
              <w:t>Rockville Town Square</w:t>
            </w:r>
          </w:p>
        </w:tc>
        <w:tc>
          <w:tcPr>
            <w:tcW w:w="3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(6)</w:t>
            </w:r>
          </w:p>
        </w:tc>
        <w:tc>
          <w:tcPr>
            <w:tcW w:w="2000" w:type="dxa"/>
            <w:vAlign w:val="bottom"/>
            <w:gridSpan w:val="2"/>
          </w:tcPr>
          <w:p>
            <w:pPr>
              <w:ind w:left="100"/>
              <w:spacing w:after="0" w:line="148" w:lineRule="exact"/>
              <w:rPr>
                <w:sz w:val="20"/>
                <w:szCs w:val="20"/>
                <w:color w:val="auto"/>
              </w:rPr>
            </w:pPr>
            <w:r>
              <w:rPr>
                <w:rFonts w:ascii="Arial" w:cs="Arial" w:eastAsia="Arial" w:hAnsi="Arial"/>
                <w:sz w:val="13"/>
                <w:szCs w:val="13"/>
                <w:color w:val="auto"/>
              </w:rPr>
              <w:t>Washington, DC-MD-VA</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50,677</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4,460</w:t>
            </w: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12</w:t>
            </w:r>
          </w:p>
        </w:tc>
        <w:tc>
          <w:tcPr>
            <w:tcW w:w="120" w:type="dxa"/>
            <w:vAlign w:val="bottom"/>
          </w:tcPr>
          <w:p>
            <w:pPr>
              <w:spacing w:after="0"/>
              <w:rPr>
                <w:sz w:val="12"/>
                <w:szCs w:val="12"/>
                <w:color w:val="auto"/>
              </w:rPr>
            </w:pP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187,000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95%</w:t>
            </w:r>
          </w:p>
        </w:tc>
        <w:tc>
          <w:tcPr>
            <w:tcW w:w="68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25,000</w:t>
            </w:r>
          </w:p>
        </w:tc>
        <w:tc>
          <w:tcPr>
            <w:tcW w:w="900" w:type="dxa"/>
            <w:vAlign w:val="bottom"/>
          </w:tcPr>
          <w:p>
            <w:pPr>
              <w:ind w:left="80"/>
              <w:spacing w:after="0" w:line="148" w:lineRule="exact"/>
              <w:rPr>
                <w:sz w:val="20"/>
                <w:szCs w:val="20"/>
                <w:color w:val="auto"/>
              </w:rPr>
            </w:pPr>
            <w:r>
              <w:rPr>
                <w:rFonts w:ascii="Arial" w:cs="Arial" w:eastAsia="Arial" w:hAnsi="Arial"/>
                <w:sz w:val="13"/>
                <w:szCs w:val="13"/>
                <w:color w:val="auto"/>
              </w:rPr>
              <w:t>Dawson's</w:t>
            </w:r>
          </w:p>
        </w:tc>
        <w:tc>
          <w:tcPr>
            <w:tcW w:w="2300" w:type="dxa"/>
            <w:vAlign w:val="bottom"/>
          </w:tcPr>
          <w:p>
            <w:pPr>
              <w:ind w:left="80"/>
              <w:spacing w:after="0" w:line="148" w:lineRule="exact"/>
              <w:rPr>
                <w:sz w:val="20"/>
                <w:szCs w:val="20"/>
                <w:color w:val="auto"/>
              </w:rPr>
            </w:pPr>
            <w:r>
              <w:rPr>
                <w:rFonts w:ascii="Arial" w:cs="Arial" w:eastAsia="Arial" w:hAnsi="Arial"/>
                <w:sz w:val="13"/>
                <w:szCs w:val="13"/>
                <w:color w:val="auto"/>
                <w:w w:val="93"/>
              </w:rPr>
              <w:t>CVS / Gold's Gym / Multiple Restaurants</w:t>
            </w:r>
          </w:p>
        </w:tc>
      </w:tr>
      <w:tr>
        <w:trPr>
          <w:trHeight w:val="168"/>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ind w:left="80"/>
              <w:spacing w:after="0"/>
              <w:rPr>
                <w:sz w:val="20"/>
                <w:szCs w:val="20"/>
                <w:color w:val="auto"/>
              </w:rPr>
            </w:pPr>
            <w:r>
              <w:rPr>
                <w:rFonts w:ascii="Arial" w:cs="Arial" w:eastAsia="Arial" w:hAnsi="Arial"/>
                <w:sz w:val="13"/>
                <w:szCs w:val="13"/>
                <w:color w:val="auto"/>
              </w:rPr>
              <w:t>Market</w:t>
            </w:r>
          </w:p>
        </w:tc>
        <w:tc>
          <w:tcPr>
            <w:tcW w:w="2300" w:type="dxa"/>
            <w:vAlign w:val="bottom"/>
          </w:tcPr>
          <w:p>
            <w:pPr>
              <w:spacing w:after="0"/>
              <w:rPr>
                <w:sz w:val="14"/>
                <w:szCs w:val="14"/>
                <w:color w:val="auto"/>
              </w:rPr>
            </w:pPr>
          </w:p>
        </w:tc>
      </w:tr>
      <w:tr>
        <w:trPr>
          <w:trHeight w:val="156"/>
        </w:trPr>
        <w:tc>
          <w:tcPr>
            <w:tcW w:w="130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Rollingwood</w:t>
            </w:r>
          </w:p>
        </w:tc>
        <w:tc>
          <w:tcPr>
            <w:tcW w:w="320" w:type="dxa"/>
            <w:vAlign w:val="bottom"/>
            <w:shd w:val="clear" w:color="auto" w:fill="CCEEFF"/>
          </w:tcPr>
          <w:p>
            <w:pPr>
              <w:spacing w:after="0"/>
              <w:rPr>
                <w:sz w:val="13"/>
                <w:szCs w:val="13"/>
                <w:color w:val="auto"/>
              </w:rPr>
            </w:pPr>
          </w:p>
        </w:tc>
        <w:tc>
          <w:tcPr>
            <w:tcW w:w="20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Washington, DC-MD-VA</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10,699</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20,939</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N/A</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6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282</w:t>
            </w:r>
          </w:p>
        </w:tc>
        <w:tc>
          <w:tcPr>
            <w:tcW w:w="5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300" w:type="dxa"/>
            <w:vAlign w:val="bottom"/>
            <w:shd w:val="clear" w:color="auto" w:fill="CCEEFF"/>
          </w:tcPr>
          <w:p>
            <w:pPr>
              <w:spacing w:after="0"/>
              <w:rPr>
                <w:sz w:val="13"/>
                <w:szCs w:val="13"/>
                <w:color w:val="auto"/>
              </w:rPr>
            </w:pPr>
          </w:p>
        </w:tc>
      </w:tr>
      <w:tr>
        <w:trPr>
          <w:trHeight w:val="176"/>
        </w:trPr>
        <w:tc>
          <w:tcPr>
            <w:tcW w:w="130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Apartments</w:t>
            </w: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r>
      <w:tr>
        <w:trPr>
          <w:trHeight w:val="173"/>
        </w:trPr>
        <w:tc>
          <w:tcPr>
            <w:tcW w:w="1300" w:type="dxa"/>
            <w:vAlign w:val="bottom"/>
            <w:gridSpan w:val="3"/>
          </w:tcPr>
          <w:p>
            <w:pPr>
              <w:ind w:left="20"/>
              <w:spacing w:after="0"/>
              <w:rPr>
                <w:sz w:val="20"/>
                <w:szCs w:val="20"/>
                <w:color w:val="auto"/>
              </w:rPr>
            </w:pPr>
            <w:r>
              <w:rPr>
                <w:rFonts w:ascii="Arial" w:cs="Arial" w:eastAsia="Arial" w:hAnsi="Arial"/>
                <w:sz w:val="13"/>
                <w:szCs w:val="13"/>
                <w:color w:val="auto"/>
              </w:rPr>
              <w:t>Sam's Park &amp; Shop</w:t>
            </w:r>
          </w:p>
        </w:tc>
        <w:tc>
          <w:tcPr>
            <w:tcW w:w="320" w:type="dxa"/>
            <w:vAlign w:val="bottom"/>
          </w:tcPr>
          <w:p>
            <w:pPr>
              <w:spacing w:after="0"/>
              <w:rPr>
                <w:sz w:val="15"/>
                <w:szCs w:val="15"/>
                <w:color w:val="auto"/>
              </w:rPr>
            </w:pPr>
          </w:p>
        </w:tc>
        <w:tc>
          <w:tcPr>
            <w:tcW w:w="2000" w:type="dxa"/>
            <w:vAlign w:val="bottom"/>
            <w:gridSpan w:val="2"/>
          </w:tcPr>
          <w:p>
            <w:pPr>
              <w:ind w:left="100"/>
              <w:spacing w:after="0"/>
              <w:rPr>
                <w:sz w:val="20"/>
                <w:szCs w:val="20"/>
                <w:color w:val="auto"/>
              </w:rPr>
            </w:pPr>
            <w:r>
              <w:rPr>
                <w:rFonts w:ascii="Arial" w:cs="Arial" w:eastAsia="Arial" w:hAnsi="Arial"/>
                <w:sz w:val="13"/>
                <w:szCs w:val="13"/>
                <w:color w:val="auto"/>
              </w:rPr>
              <w:t>Washington, DC-MD-VA</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12,759</w:t>
            </w:r>
          </w:p>
        </w:tc>
        <w:tc>
          <w:tcPr>
            <w:tcW w:w="660" w:type="dxa"/>
            <w:vAlign w:val="bottom"/>
          </w:tcPr>
          <w:p>
            <w:pPr>
              <w:spacing w:after="0"/>
              <w:rPr>
                <w:sz w:val="15"/>
                <w:szCs w:val="15"/>
                <w:color w:val="auto"/>
              </w:rPr>
            </w:pP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5"/>
                <w:szCs w:val="15"/>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49,000</w:t>
            </w: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83%</w:t>
            </w: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300" w:type="dxa"/>
            <w:vAlign w:val="bottom"/>
          </w:tcPr>
          <w:p>
            <w:pPr>
              <w:ind w:left="80"/>
              <w:spacing w:after="0"/>
              <w:rPr>
                <w:sz w:val="20"/>
                <w:szCs w:val="20"/>
                <w:color w:val="auto"/>
              </w:rPr>
            </w:pPr>
            <w:r>
              <w:rPr>
                <w:rFonts w:ascii="Arial" w:cs="Arial" w:eastAsia="Arial" w:hAnsi="Arial"/>
                <w:sz w:val="13"/>
                <w:szCs w:val="13"/>
                <w:color w:val="auto"/>
              </w:rPr>
              <w:t>Petco</w:t>
            </w:r>
          </w:p>
        </w:tc>
      </w:tr>
      <w:tr>
        <w:trPr>
          <w:trHeight w:val="97"/>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300" w:type="dxa"/>
            <w:vAlign w:val="bottom"/>
          </w:tcPr>
          <w:p>
            <w:pPr>
              <w:spacing w:after="0"/>
              <w:rPr>
                <w:sz w:val="8"/>
                <w:szCs w:val="8"/>
                <w:color w:val="auto"/>
              </w:rPr>
            </w:pPr>
          </w:p>
        </w:tc>
      </w:tr>
      <w:tr>
        <w:trPr>
          <w:trHeight w:val="148"/>
        </w:trPr>
        <w:tc>
          <w:tcPr>
            <w:tcW w:w="1300" w:type="dxa"/>
            <w:vAlign w:val="bottom"/>
            <w:gridSpan w:val="3"/>
            <w:shd w:val="clear" w:color="auto" w:fill="CCEEFF"/>
          </w:tcPr>
          <w:p>
            <w:pPr>
              <w:ind w:left="20"/>
              <w:spacing w:after="0" w:line="148" w:lineRule="exact"/>
              <w:rPr>
                <w:sz w:val="20"/>
                <w:szCs w:val="20"/>
                <w:color w:val="auto"/>
              </w:rPr>
            </w:pPr>
            <w:r>
              <w:rPr>
                <w:rFonts w:ascii="Arial" w:cs="Arial" w:eastAsia="Arial" w:hAnsi="Arial"/>
                <w:sz w:val="13"/>
                <w:szCs w:val="13"/>
                <w:color w:val="auto"/>
              </w:rPr>
              <w:t>Tower Shopping</w:t>
            </w:r>
          </w:p>
        </w:tc>
        <w:tc>
          <w:tcPr>
            <w:tcW w:w="320" w:type="dxa"/>
            <w:vAlign w:val="bottom"/>
            <w:shd w:val="clear" w:color="auto" w:fill="CCEEFF"/>
          </w:tcPr>
          <w:p>
            <w:pPr>
              <w:spacing w:after="0"/>
              <w:rPr>
                <w:sz w:val="12"/>
                <w:szCs w:val="12"/>
                <w:color w:val="auto"/>
              </w:rPr>
            </w:pPr>
          </w:p>
        </w:tc>
        <w:tc>
          <w:tcPr>
            <w:tcW w:w="2000" w:type="dxa"/>
            <w:vAlign w:val="bottom"/>
            <w:gridSpan w:val="2"/>
            <w:shd w:val="clear" w:color="auto" w:fill="CCEEFF"/>
          </w:tcPr>
          <w:p>
            <w:pPr>
              <w:ind w:left="100"/>
              <w:spacing w:after="0" w:line="148" w:lineRule="exact"/>
              <w:rPr>
                <w:sz w:val="20"/>
                <w:szCs w:val="20"/>
                <w:color w:val="auto"/>
              </w:rPr>
            </w:pPr>
            <w:r>
              <w:rPr>
                <w:rFonts w:ascii="Arial" w:cs="Arial" w:eastAsia="Arial" w:hAnsi="Arial"/>
                <w:sz w:val="13"/>
                <w:szCs w:val="13"/>
                <w:color w:val="auto"/>
              </w:rPr>
              <w:t>Washington, DC-MD-VA</w:t>
            </w:r>
          </w:p>
        </w:tc>
        <w:tc>
          <w:tcPr>
            <w:tcW w:w="70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22,047</w:t>
            </w:r>
          </w:p>
        </w:tc>
        <w:tc>
          <w:tcPr>
            <w:tcW w:w="66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12</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112,000</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90%</w:t>
            </w: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jc w:val="center"/>
              <w:ind w:right="17"/>
              <w:spacing w:after="0" w:line="148" w:lineRule="exact"/>
              <w:rPr>
                <w:sz w:val="20"/>
                <w:szCs w:val="20"/>
                <w:color w:val="auto"/>
              </w:rPr>
            </w:pPr>
            <w:r>
              <w:rPr>
                <w:rFonts w:ascii="Arial" w:cs="Arial" w:eastAsia="Arial" w:hAnsi="Arial"/>
                <w:sz w:val="13"/>
                <w:szCs w:val="13"/>
                <w:color w:val="auto"/>
                <w:w w:val="85"/>
              </w:rPr>
              <w:t>26,000</w:t>
            </w:r>
          </w:p>
        </w:tc>
        <w:tc>
          <w:tcPr>
            <w:tcW w:w="90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L.A. Mart</w:t>
            </w:r>
          </w:p>
        </w:tc>
        <w:tc>
          <w:tcPr>
            <w:tcW w:w="230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shd w:val="clear" w:color="auto" w:fill="CCEEFF"/>
              </w:rPr>
              <w:t>Talbots / Total Wine &amp; More</w:t>
            </w:r>
          </w:p>
        </w:tc>
      </w:tr>
      <w:tr>
        <w:trPr>
          <w:trHeight w:val="176"/>
        </w:trPr>
        <w:tc>
          <w:tcPr>
            <w:tcW w:w="130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Center</w:t>
            </w: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r>
      <w:tr>
        <w:trPr>
          <w:trHeight w:val="173"/>
        </w:trPr>
        <w:tc>
          <w:tcPr>
            <w:tcW w:w="1300" w:type="dxa"/>
            <w:vAlign w:val="bottom"/>
            <w:gridSpan w:val="3"/>
          </w:tcPr>
          <w:p>
            <w:pPr>
              <w:ind w:left="20"/>
              <w:spacing w:after="0"/>
              <w:rPr>
                <w:sz w:val="20"/>
                <w:szCs w:val="20"/>
                <w:color w:val="auto"/>
              </w:rPr>
            </w:pPr>
            <w:r>
              <w:rPr>
                <w:rFonts w:ascii="Arial" w:cs="Arial" w:eastAsia="Arial" w:hAnsi="Arial"/>
                <w:sz w:val="13"/>
                <w:szCs w:val="13"/>
                <w:color w:val="auto"/>
              </w:rPr>
              <w:t>Tyson's Station</w:t>
            </w:r>
          </w:p>
        </w:tc>
        <w:tc>
          <w:tcPr>
            <w:tcW w:w="320" w:type="dxa"/>
            <w:vAlign w:val="bottom"/>
          </w:tcPr>
          <w:p>
            <w:pPr>
              <w:spacing w:after="0"/>
              <w:rPr>
                <w:sz w:val="15"/>
                <w:szCs w:val="15"/>
                <w:color w:val="auto"/>
              </w:rPr>
            </w:pPr>
          </w:p>
        </w:tc>
        <w:tc>
          <w:tcPr>
            <w:tcW w:w="2000" w:type="dxa"/>
            <w:vAlign w:val="bottom"/>
            <w:gridSpan w:val="2"/>
          </w:tcPr>
          <w:p>
            <w:pPr>
              <w:ind w:left="100"/>
              <w:spacing w:after="0"/>
              <w:rPr>
                <w:sz w:val="20"/>
                <w:szCs w:val="20"/>
                <w:color w:val="auto"/>
              </w:rPr>
            </w:pPr>
            <w:r>
              <w:rPr>
                <w:rFonts w:ascii="Arial" w:cs="Arial" w:eastAsia="Arial" w:hAnsi="Arial"/>
                <w:sz w:val="13"/>
                <w:szCs w:val="13"/>
                <w:color w:val="auto"/>
              </w:rPr>
              <w:t>Washington, DC-MD-VA</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4,643</w:t>
            </w:r>
          </w:p>
        </w:tc>
        <w:tc>
          <w:tcPr>
            <w:tcW w:w="660" w:type="dxa"/>
            <w:vAlign w:val="bottom"/>
          </w:tcPr>
          <w:p>
            <w:pPr>
              <w:spacing w:after="0"/>
              <w:rPr>
                <w:sz w:val="15"/>
                <w:szCs w:val="15"/>
                <w:color w:val="auto"/>
              </w:rPr>
            </w:pP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15"/>
                <w:szCs w:val="15"/>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50,000</w:t>
            </w: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87%</w:t>
            </w:r>
          </w:p>
        </w:tc>
        <w:tc>
          <w:tcPr>
            <w:tcW w:w="680" w:type="dxa"/>
            <w:vAlign w:val="bottom"/>
          </w:tcPr>
          <w:p>
            <w:pPr>
              <w:spacing w:after="0"/>
              <w:rPr>
                <w:sz w:val="15"/>
                <w:szCs w:val="15"/>
                <w:color w:val="auto"/>
              </w:rPr>
            </w:pPr>
          </w:p>
        </w:tc>
        <w:tc>
          <w:tcPr>
            <w:tcW w:w="580" w:type="dxa"/>
            <w:vAlign w:val="bottom"/>
          </w:tcPr>
          <w:p>
            <w:pPr>
              <w:jc w:val="center"/>
              <w:ind w:right="17"/>
              <w:spacing w:after="0"/>
              <w:rPr>
                <w:sz w:val="20"/>
                <w:szCs w:val="20"/>
                <w:color w:val="auto"/>
              </w:rPr>
            </w:pPr>
            <w:r>
              <w:rPr>
                <w:rFonts w:ascii="Arial" w:cs="Arial" w:eastAsia="Arial" w:hAnsi="Arial"/>
                <w:sz w:val="13"/>
                <w:szCs w:val="13"/>
                <w:color w:val="auto"/>
                <w:w w:val="85"/>
              </w:rPr>
              <w:t>11,000</w:t>
            </w:r>
          </w:p>
        </w:tc>
        <w:tc>
          <w:tcPr>
            <w:tcW w:w="900" w:type="dxa"/>
            <w:vAlign w:val="bottom"/>
          </w:tcPr>
          <w:p>
            <w:pPr>
              <w:ind w:left="80"/>
              <w:spacing w:after="0"/>
              <w:rPr>
                <w:sz w:val="20"/>
                <w:szCs w:val="20"/>
                <w:color w:val="auto"/>
              </w:rPr>
            </w:pPr>
            <w:r>
              <w:rPr>
                <w:rFonts w:ascii="Arial" w:cs="Arial" w:eastAsia="Arial" w:hAnsi="Arial"/>
                <w:sz w:val="13"/>
                <w:szCs w:val="13"/>
                <w:color w:val="auto"/>
              </w:rPr>
              <w:t>Trader Joe's</w:t>
            </w:r>
          </w:p>
        </w:tc>
        <w:tc>
          <w:tcPr>
            <w:tcW w:w="2300" w:type="dxa"/>
            <w:vAlign w:val="bottom"/>
          </w:tcPr>
          <w:p>
            <w:pPr>
              <w:spacing w:after="0"/>
              <w:rPr>
                <w:sz w:val="15"/>
                <w:szCs w:val="15"/>
                <w:color w:val="auto"/>
              </w:rPr>
            </w:pPr>
          </w:p>
        </w:tc>
      </w:tr>
      <w:tr>
        <w:trPr>
          <w:trHeight w:val="97"/>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300" w:type="dxa"/>
            <w:vAlign w:val="bottom"/>
          </w:tcPr>
          <w:p>
            <w:pPr>
              <w:spacing w:after="0"/>
              <w:rPr>
                <w:sz w:val="8"/>
                <w:szCs w:val="8"/>
                <w:color w:val="auto"/>
              </w:rPr>
            </w:pPr>
          </w:p>
        </w:tc>
      </w:tr>
      <w:tr>
        <w:trPr>
          <w:trHeight w:val="162"/>
        </w:trPr>
        <w:tc>
          <w:tcPr>
            <w:tcW w:w="130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Village at Shirlington</w:t>
            </w:r>
          </w:p>
        </w:tc>
        <w:tc>
          <w:tcPr>
            <w:tcW w:w="3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w:t>
            </w:r>
          </w:p>
        </w:tc>
        <w:tc>
          <w:tcPr>
            <w:tcW w:w="20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Washington, DC-MD-VA</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64,505</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6,632</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266,000</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w:t>
            </w:r>
          </w:p>
        </w:tc>
        <w:tc>
          <w:tcPr>
            <w:tcW w:w="680" w:type="dxa"/>
            <w:vAlign w:val="bottom"/>
            <w:shd w:val="clear" w:color="auto" w:fill="CCEEFF"/>
          </w:tcPr>
          <w:p>
            <w:pPr>
              <w:spacing w:after="0"/>
              <w:rPr>
                <w:sz w:val="14"/>
                <w:szCs w:val="14"/>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28,000</w:t>
            </w: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Harris Teeter</w:t>
            </w:r>
          </w:p>
        </w:tc>
        <w:tc>
          <w:tcPr>
            <w:tcW w:w="2300" w:type="dxa"/>
            <w:vAlign w:val="bottom"/>
            <w:shd w:val="clear" w:color="auto" w:fill="CCEEFF"/>
          </w:tcPr>
          <w:p>
            <w:pPr>
              <w:ind w:left="80"/>
              <w:spacing w:after="0"/>
              <w:rPr>
                <w:sz w:val="20"/>
                <w:szCs w:val="20"/>
                <w:color w:val="auto"/>
              </w:rPr>
            </w:pPr>
            <w:r>
              <w:rPr>
                <w:rFonts w:ascii="Arial" w:cs="Arial" w:eastAsia="Arial" w:hAnsi="Arial"/>
                <w:sz w:val="13"/>
                <w:szCs w:val="13"/>
                <w:color w:val="auto"/>
                <w:shd w:val="clear" w:color="auto" w:fill="CCEEFF"/>
              </w:rPr>
              <w:t>AMC / Carlyle Grand Café</w:t>
            </w:r>
          </w:p>
        </w:tc>
      </w:tr>
      <w:tr>
        <w:trPr>
          <w:trHeight w:val="108"/>
        </w:trPr>
        <w:tc>
          <w:tcPr>
            <w:tcW w:w="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8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2300" w:type="dxa"/>
            <w:vAlign w:val="bottom"/>
            <w:shd w:val="clear" w:color="auto" w:fill="CCEEFF"/>
          </w:tcPr>
          <w:p>
            <w:pPr>
              <w:spacing w:after="0"/>
              <w:rPr>
                <w:sz w:val="9"/>
                <w:szCs w:val="9"/>
                <w:color w:val="auto"/>
              </w:rPr>
            </w:pPr>
          </w:p>
        </w:tc>
      </w:tr>
      <w:tr>
        <w:trPr>
          <w:trHeight w:val="173"/>
        </w:trPr>
        <w:tc>
          <w:tcPr>
            <w:tcW w:w="1300" w:type="dxa"/>
            <w:vAlign w:val="bottom"/>
            <w:gridSpan w:val="3"/>
          </w:tcPr>
          <w:p>
            <w:pPr>
              <w:ind w:left="20"/>
              <w:spacing w:after="0"/>
              <w:rPr>
                <w:sz w:val="20"/>
                <w:szCs w:val="20"/>
                <w:color w:val="auto"/>
              </w:rPr>
            </w:pPr>
            <w:r>
              <w:rPr>
                <w:rFonts w:ascii="Arial" w:cs="Arial" w:eastAsia="Arial" w:hAnsi="Arial"/>
                <w:sz w:val="13"/>
                <w:szCs w:val="13"/>
                <w:color w:val="auto"/>
              </w:rPr>
              <w:t>Wildwood</w:t>
            </w:r>
          </w:p>
        </w:tc>
        <w:tc>
          <w:tcPr>
            <w:tcW w:w="320" w:type="dxa"/>
            <w:vAlign w:val="bottom"/>
          </w:tcPr>
          <w:p>
            <w:pPr>
              <w:spacing w:after="0"/>
              <w:rPr>
                <w:sz w:val="15"/>
                <w:szCs w:val="15"/>
                <w:color w:val="auto"/>
              </w:rPr>
            </w:pPr>
          </w:p>
        </w:tc>
        <w:tc>
          <w:tcPr>
            <w:tcW w:w="2000" w:type="dxa"/>
            <w:vAlign w:val="bottom"/>
            <w:gridSpan w:val="2"/>
          </w:tcPr>
          <w:p>
            <w:pPr>
              <w:ind w:left="100"/>
              <w:spacing w:after="0"/>
              <w:rPr>
                <w:sz w:val="20"/>
                <w:szCs w:val="20"/>
                <w:color w:val="auto"/>
              </w:rPr>
            </w:pPr>
            <w:r>
              <w:rPr>
                <w:rFonts w:ascii="Arial" w:cs="Arial" w:eastAsia="Arial" w:hAnsi="Arial"/>
                <w:sz w:val="13"/>
                <w:szCs w:val="13"/>
                <w:color w:val="auto"/>
              </w:rPr>
              <w:t>Washington, DC-MD-VA</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20,303</w:t>
            </w:r>
          </w:p>
        </w:tc>
        <w:tc>
          <w:tcPr>
            <w:tcW w:w="660" w:type="dxa"/>
            <w:vAlign w:val="bottom"/>
          </w:tcPr>
          <w:p>
            <w:pPr>
              <w:spacing w:after="0"/>
              <w:rPr>
                <w:sz w:val="15"/>
                <w:szCs w:val="15"/>
                <w:color w:val="auto"/>
              </w:rPr>
            </w:pP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12</w:t>
            </w:r>
          </w:p>
        </w:tc>
        <w:tc>
          <w:tcPr>
            <w:tcW w:w="120" w:type="dxa"/>
            <w:vAlign w:val="bottom"/>
          </w:tcPr>
          <w:p>
            <w:pPr>
              <w:spacing w:after="0"/>
              <w:rPr>
                <w:sz w:val="15"/>
                <w:szCs w:val="15"/>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83,000</w:t>
            </w: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100%</w:t>
            </w:r>
          </w:p>
        </w:tc>
        <w:tc>
          <w:tcPr>
            <w:tcW w:w="680" w:type="dxa"/>
            <w:vAlign w:val="bottom"/>
          </w:tcPr>
          <w:p>
            <w:pPr>
              <w:spacing w:after="0"/>
              <w:rPr>
                <w:sz w:val="15"/>
                <w:szCs w:val="15"/>
                <w:color w:val="auto"/>
              </w:rPr>
            </w:pPr>
          </w:p>
        </w:tc>
        <w:tc>
          <w:tcPr>
            <w:tcW w:w="580" w:type="dxa"/>
            <w:vAlign w:val="bottom"/>
          </w:tcPr>
          <w:p>
            <w:pPr>
              <w:jc w:val="center"/>
              <w:ind w:right="17"/>
              <w:spacing w:after="0"/>
              <w:rPr>
                <w:sz w:val="20"/>
                <w:szCs w:val="20"/>
                <w:color w:val="auto"/>
              </w:rPr>
            </w:pPr>
            <w:r>
              <w:rPr>
                <w:rFonts w:ascii="Arial" w:cs="Arial" w:eastAsia="Arial" w:hAnsi="Arial"/>
                <w:sz w:val="13"/>
                <w:szCs w:val="13"/>
                <w:color w:val="auto"/>
                <w:w w:val="85"/>
              </w:rPr>
              <w:t>20,000</w:t>
            </w:r>
          </w:p>
        </w:tc>
        <w:tc>
          <w:tcPr>
            <w:tcW w:w="900" w:type="dxa"/>
            <w:vAlign w:val="bottom"/>
          </w:tcPr>
          <w:p>
            <w:pPr>
              <w:ind w:left="80"/>
              <w:spacing w:after="0"/>
              <w:rPr>
                <w:sz w:val="20"/>
                <w:szCs w:val="20"/>
                <w:color w:val="auto"/>
              </w:rPr>
            </w:pPr>
            <w:r>
              <w:rPr>
                <w:rFonts w:ascii="Arial" w:cs="Arial" w:eastAsia="Arial" w:hAnsi="Arial"/>
                <w:sz w:val="13"/>
                <w:szCs w:val="13"/>
                <w:color w:val="auto"/>
              </w:rPr>
              <w:t>Balducci's</w:t>
            </w:r>
          </w:p>
        </w:tc>
        <w:tc>
          <w:tcPr>
            <w:tcW w:w="2300" w:type="dxa"/>
            <w:vAlign w:val="bottom"/>
          </w:tcPr>
          <w:p>
            <w:pPr>
              <w:ind w:left="80"/>
              <w:spacing w:after="0"/>
              <w:rPr>
                <w:sz w:val="20"/>
                <w:szCs w:val="20"/>
                <w:color w:val="auto"/>
              </w:rPr>
            </w:pPr>
            <w:r>
              <w:rPr>
                <w:rFonts w:ascii="Arial" w:cs="Arial" w:eastAsia="Arial" w:hAnsi="Arial"/>
                <w:sz w:val="13"/>
                <w:szCs w:val="13"/>
                <w:color w:val="auto"/>
              </w:rPr>
              <w:t>CVS</w:t>
            </w:r>
          </w:p>
        </w:tc>
      </w:tr>
      <w:tr>
        <w:trPr>
          <w:trHeight w:val="97"/>
        </w:trPr>
        <w:tc>
          <w:tcPr>
            <w:tcW w:w="20" w:type="dxa"/>
            <w:vAlign w:val="bottom"/>
            <w:tcBorders>
              <w:bottom w:val="single" w:sz="8" w:color="CCEEFF"/>
            </w:tcBorders>
          </w:tcPr>
          <w:p>
            <w:pPr>
              <w:spacing w:after="0"/>
              <w:rPr>
                <w:sz w:val="8"/>
                <w:szCs w:val="8"/>
                <w:color w:val="auto"/>
              </w:rPr>
            </w:pPr>
          </w:p>
        </w:tc>
        <w:tc>
          <w:tcPr>
            <w:tcW w:w="620" w:type="dxa"/>
            <w:vAlign w:val="bottom"/>
            <w:tcBorders>
              <w:bottom w:val="single" w:sz="8" w:color="CCEEFF"/>
            </w:tcBorders>
          </w:tcPr>
          <w:p>
            <w:pPr>
              <w:spacing w:after="0"/>
              <w:rPr>
                <w:sz w:val="8"/>
                <w:szCs w:val="8"/>
                <w:color w:val="auto"/>
              </w:rPr>
            </w:pPr>
          </w:p>
        </w:tc>
        <w:tc>
          <w:tcPr>
            <w:tcW w:w="660" w:type="dxa"/>
            <w:vAlign w:val="bottom"/>
            <w:tcBorders>
              <w:bottom w:val="single" w:sz="8" w:color="CCEEFF"/>
            </w:tcBorders>
          </w:tcPr>
          <w:p>
            <w:pPr>
              <w:spacing w:after="0"/>
              <w:rPr>
                <w:sz w:val="8"/>
                <w:szCs w:val="8"/>
                <w:color w:val="auto"/>
              </w:rPr>
            </w:pPr>
          </w:p>
        </w:tc>
        <w:tc>
          <w:tcPr>
            <w:tcW w:w="320" w:type="dxa"/>
            <w:vAlign w:val="bottom"/>
            <w:tcBorders>
              <w:bottom w:val="single" w:sz="8" w:color="CCEEFF"/>
            </w:tcBorders>
          </w:tcPr>
          <w:p>
            <w:pPr>
              <w:spacing w:after="0"/>
              <w:rPr>
                <w:sz w:val="8"/>
                <w:szCs w:val="8"/>
                <w:color w:val="auto"/>
              </w:rPr>
            </w:pPr>
          </w:p>
        </w:tc>
        <w:tc>
          <w:tcPr>
            <w:tcW w:w="140" w:type="dxa"/>
            <w:vAlign w:val="bottom"/>
            <w:tcBorders>
              <w:bottom w:val="single" w:sz="8" w:color="CCEEFF"/>
            </w:tcBorders>
          </w:tcPr>
          <w:p>
            <w:pPr>
              <w:spacing w:after="0"/>
              <w:rPr>
                <w:sz w:val="8"/>
                <w:szCs w:val="8"/>
                <w:color w:val="auto"/>
              </w:rPr>
            </w:pPr>
          </w:p>
        </w:tc>
        <w:tc>
          <w:tcPr>
            <w:tcW w:w="1860" w:type="dxa"/>
            <w:vAlign w:val="bottom"/>
            <w:tcBorders>
              <w:bottom w:val="single" w:sz="8" w:color="CCEEFF"/>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60" w:type="dxa"/>
            <w:vAlign w:val="bottom"/>
            <w:tcBorders>
              <w:bottom w:val="single" w:sz="8" w:color="CCEEFF"/>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80" w:type="dxa"/>
            <w:vAlign w:val="bottom"/>
            <w:tcBorders>
              <w:bottom w:val="single" w:sz="8" w:color="CCEEFF"/>
            </w:tcBorders>
          </w:tcPr>
          <w:p>
            <w:pPr>
              <w:spacing w:after="0"/>
              <w:rPr>
                <w:sz w:val="8"/>
                <w:szCs w:val="8"/>
                <w:color w:val="auto"/>
              </w:rPr>
            </w:pPr>
          </w:p>
        </w:tc>
        <w:tc>
          <w:tcPr>
            <w:tcW w:w="580" w:type="dxa"/>
            <w:vAlign w:val="bottom"/>
            <w:tcBorders>
              <w:bottom w:val="single" w:sz="8" w:color="CCEEFF"/>
            </w:tcBorders>
          </w:tcPr>
          <w:p>
            <w:pPr>
              <w:spacing w:after="0"/>
              <w:rPr>
                <w:sz w:val="8"/>
                <w:szCs w:val="8"/>
                <w:color w:val="auto"/>
              </w:rPr>
            </w:pPr>
          </w:p>
        </w:tc>
        <w:tc>
          <w:tcPr>
            <w:tcW w:w="900" w:type="dxa"/>
            <w:vAlign w:val="bottom"/>
            <w:tcBorders>
              <w:bottom w:val="single" w:sz="8" w:color="CCEEFF"/>
            </w:tcBorders>
          </w:tcPr>
          <w:p>
            <w:pPr>
              <w:spacing w:after="0"/>
              <w:rPr>
                <w:sz w:val="8"/>
                <w:szCs w:val="8"/>
                <w:color w:val="auto"/>
              </w:rPr>
            </w:pPr>
          </w:p>
        </w:tc>
        <w:tc>
          <w:tcPr>
            <w:tcW w:w="2300" w:type="dxa"/>
            <w:vAlign w:val="bottom"/>
            <w:tcBorders>
              <w:bottom w:val="single" w:sz="8" w:color="CCEEFF"/>
            </w:tcBorders>
          </w:tcPr>
          <w:p>
            <w:pPr>
              <w:spacing w:after="0"/>
              <w:rPr>
                <w:sz w:val="8"/>
                <w:szCs w:val="8"/>
                <w:color w:val="auto"/>
              </w:rPr>
            </w:pPr>
          </w:p>
        </w:tc>
      </w:tr>
      <w:tr>
        <w:trPr>
          <w:trHeight w:val="129"/>
        </w:trPr>
        <w:tc>
          <w:tcPr>
            <w:tcW w:w="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00" w:type="dxa"/>
            <w:vAlign w:val="bottom"/>
            <w:gridSpan w:val="2"/>
            <w:shd w:val="clear" w:color="auto" w:fill="CCEEFF"/>
          </w:tcPr>
          <w:p>
            <w:pPr>
              <w:ind w:left="100"/>
              <w:spacing w:after="0" w:line="129" w:lineRule="exact"/>
              <w:rPr>
                <w:sz w:val="20"/>
                <w:szCs w:val="20"/>
                <w:color w:val="auto"/>
              </w:rPr>
            </w:pPr>
            <w:r>
              <w:rPr>
                <w:rFonts w:ascii="Arial" w:cs="Arial" w:eastAsia="Arial" w:hAnsi="Arial"/>
                <w:sz w:val="13"/>
                <w:szCs w:val="13"/>
                <w:b w:val="1"/>
                <w:bCs w:val="1"/>
                <w:color w:val="auto"/>
                <w:w w:val="98"/>
              </w:rPr>
              <w:t>Total Washington Metropolitan</w:t>
            </w:r>
          </w:p>
        </w:tc>
        <w:tc>
          <w:tcPr>
            <w:tcW w:w="700" w:type="dxa"/>
            <w:vAlign w:val="bottom"/>
            <w:shd w:val="clear" w:color="auto" w:fill="CCEEFF"/>
          </w:tcPr>
          <w:p>
            <w:pPr>
              <w:jc w:val="right"/>
              <w:ind w:right="57"/>
              <w:spacing w:after="0" w:line="129" w:lineRule="exact"/>
              <w:rPr>
                <w:sz w:val="20"/>
                <w:szCs w:val="20"/>
                <w:color w:val="auto"/>
              </w:rPr>
            </w:pPr>
            <w:r>
              <w:rPr>
                <w:rFonts w:ascii="Arial" w:cs="Arial" w:eastAsia="Arial" w:hAnsi="Arial"/>
                <w:sz w:val="13"/>
                <w:szCs w:val="13"/>
                <w:color w:val="auto"/>
                <w:w w:val="96"/>
              </w:rPr>
              <w:t>1,998,365</w:t>
            </w:r>
          </w:p>
        </w:tc>
        <w:tc>
          <w:tcPr>
            <w:tcW w:w="660" w:type="dxa"/>
            <w:vAlign w:val="bottom"/>
            <w:shd w:val="clear" w:color="auto" w:fill="CCEEFF"/>
          </w:tcPr>
          <w:p>
            <w:pPr>
              <w:spacing w:after="0"/>
              <w:rPr>
                <w:sz w:val="11"/>
                <w:szCs w:val="11"/>
                <w:color w:val="auto"/>
              </w:rPr>
            </w:pPr>
          </w:p>
        </w:tc>
        <w:tc>
          <w:tcPr>
            <w:tcW w:w="480" w:type="dxa"/>
            <w:vAlign w:val="bottom"/>
            <w:shd w:val="clear" w:color="auto" w:fill="CCEEFF"/>
          </w:tcPr>
          <w:p>
            <w:pPr>
              <w:jc w:val="right"/>
              <w:ind w:right="57"/>
              <w:spacing w:after="0" w:line="129" w:lineRule="exact"/>
              <w:rPr>
                <w:sz w:val="20"/>
                <w:szCs w:val="20"/>
                <w:color w:val="auto"/>
              </w:rPr>
            </w:pPr>
            <w:r>
              <w:rPr>
                <w:rFonts w:ascii="Arial" w:cs="Arial" w:eastAsia="Arial" w:hAnsi="Arial"/>
                <w:sz w:val="13"/>
                <w:szCs w:val="13"/>
                <w:color w:val="auto"/>
              </w:rPr>
              <w:t>451</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57"/>
              <w:spacing w:after="0" w:line="129" w:lineRule="exact"/>
              <w:rPr>
                <w:sz w:val="20"/>
                <w:szCs w:val="20"/>
                <w:color w:val="auto"/>
              </w:rPr>
            </w:pPr>
            <w:r>
              <w:rPr>
                <w:rFonts w:ascii="Arial" w:cs="Arial" w:eastAsia="Arial" w:hAnsi="Arial"/>
                <w:sz w:val="13"/>
                <w:szCs w:val="13"/>
                <w:color w:val="auto"/>
                <w:w w:val="89"/>
              </w:rPr>
              <w:t>6,151,000</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94%</w:t>
            </w:r>
          </w:p>
        </w:tc>
        <w:tc>
          <w:tcPr>
            <w:tcW w:w="6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300" w:type="dxa"/>
            <w:vAlign w:val="bottom"/>
            <w:shd w:val="clear" w:color="auto" w:fill="CCEEFF"/>
          </w:tcPr>
          <w:p>
            <w:pPr>
              <w:spacing w:after="0"/>
              <w:rPr>
                <w:sz w:val="11"/>
                <w:szCs w:val="11"/>
                <w:color w:val="auto"/>
              </w:rPr>
            </w:pPr>
          </w:p>
        </w:tc>
      </w:tr>
      <w:tr>
        <w:trPr>
          <w:trHeight w:val="176"/>
        </w:trPr>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00" w:type="dxa"/>
            <w:vAlign w:val="bottom"/>
            <w:gridSpan w:val="2"/>
            <w:shd w:val="clear" w:color="auto" w:fill="CCEEFF"/>
          </w:tcPr>
          <w:p>
            <w:pPr>
              <w:ind w:left="100"/>
              <w:spacing w:after="0"/>
              <w:rPr>
                <w:sz w:val="20"/>
                <w:szCs w:val="20"/>
                <w:color w:val="auto"/>
              </w:rPr>
            </w:pPr>
            <w:r>
              <w:rPr>
                <w:rFonts w:ascii="Arial" w:cs="Arial" w:eastAsia="Arial" w:hAnsi="Arial"/>
                <w:sz w:val="13"/>
                <w:szCs w:val="13"/>
                <w:b w:val="1"/>
                <w:bCs w:val="1"/>
                <w:color w:val="auto"/>
              </w:rPr>
              <w:t>Area</w:t>
            </w: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r>
      <w:tr>
        <w:trPr>
          <w:trHeight w:val="270"/>
        </w:trPr>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300" w:type="dxa"/>
            <w:vAlign w:val="bottom"/>
          </w:tcPr>
          <w:p>
            <w:pPr>
              <w:spacing w:after="0"/>
              <w:rPr>
                <w:sz w:val="23"/>
                <w:szCs w:val="23"/>
                <w:color w:val="auto"/>
              </w:rPr>
            </w:pPr>
          </w:p>
        </w:tc>
      </w:tr>
      <w:tr>
        <w:trPr>
          <w:trHeight w:val="149"/>
        </w:trPr>
        <w:tc>
          <w:tcPr>
            <w:tcW w:w="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ind w:left="60"/>
              <w:spacing w:after="0"/>
              <w:rPr>
                <w:sz w:val="20"/>
                <w:szCs w:val="20"/>
                <w:color w:val="auto"/>
              </w:rPr>
            </w:pPr>
            <w:r>
              <w:rPr>
                <w:rFonts w:ascii="Arial" w:cs="Arial" w:eastAsia="Arial" w:hAnsi="Arial"/>
                <w:sz w:val="13"/>
                <w:szCs w:val="13"/>
                <w:b w:val="1"/>
                <w:bCs w:val="1"/>
                <w:color w:val="auto"/>
              </w:rPr>
              <w:t>California</w:t>
            </w: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r>
      <w:tr>
        <w:trPr>
          <w:trHeight w:val="102"/>
        </w:trPr>
        <w:tc>
          <w:tcPr>
            <w:tcW w:w="2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32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86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CCEEFF"/>
            </w:tcBorders>
            <w:shd w:val="clear" w:color="auto" w:fill="CCEEFF"/>
          </w:tcPr>
          <w:p>
            <w:pPr>
              <w:spacing w:after="0"/>
              <w:rPr>
                <w:sz w:val="8"/>
                <w:szCs w:val="8"/>
                <w:color w:val="auto"/>
              </w:rPr>
            </w:pPr>
          </w:p>
        </w:tc>
        <w:tc>
          <w:tcPr>
            <w:tcW w:w="900" w:type="dxa"/>
            <w:vAlign w:val="bottom"/>
            <w:tcBorders>
              <w:top w:val="single" w:sz="8" w:color="CCEEFF"/>
            </w:tcBorders>
            <w:shd w:val="clear" w:color="auto" w:fill="CCEEFF"/>
          </w:tcPr>
          <w:p>
            <w:pPr>
              <w:spacing w:after="0"/>
              <w:rPr>
                <w:sz w:val="8"/>
                <w:szCs w:val="8"/>
                <w:color w:val="auto"/>
              </w:rPr>
            </w:pPr>
          </w:p>
        </w:tc>
        <w:tc>
          <w:tcPr>
            <w:tcW w:w="2300" w:type="dxa"/>
            <w:vAlign w:val="bottom"/>
            <w:tcBorders>
              <w:top w:val="single" w:sz="8" w:color="CCEEFF"/>
            </w:tcBorders>
            <w:shd w:val="clear" w:color="auto" w:fill="CCEEFF"/>
          </w:tcPr>
          <w:p>
            <w:pPr>
              <w:spacing w:after="0"/>
              <w:rPr>
                <w:sz w:val="8"/>
                <w:szCs w:val="8"/>
                <w:color w:val="auto"/>
              </w:rPr>
            </w:pPr>
          </w:p>
        </w:tc>
      </w:tr>
      <w:tr>
        <w:trPr>
          <w:trHeight w:val="148"/>
        </w:trPr>
        <w:tc>
          <w:tcPr>
            <w:tcW w:w="1300" w:type="dxa"/>
            <w:vAlign w:val="bottom"/>
            <w:gridSpan w:val="3"/>
          </w:tcPr>
          <w:p>
            <w:pPr>
              <w:ind w:left="20"/>
              <w:spacing w:after="0" w:line="148" w:lineRule="exact"/>
              <w:rPr>
                <w:sz w:val="20"/>
                <w:szCs w:val="20"/>
                <w:color w:val="auto"/>
              </w:rPr>
            </w:pPr>
            <w:r>
              <w:rPr>
                <w:rFonts w:ascii="Arial" w:cs="Arial" w:eastAsia="Arial" w:hAnsi="Arial"/>
                <w:sz w:val="13"/>
                <w:szCs w:val="13"/>
                <w:color w:val="auto"/>
              </w:rPr>
              <w:t>Azalea</w:t>
            </w:r>
          </w:p>
        </w:tc>
        <w:tc>
          <w:tcPr>
            <w:tcW w:w="3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(3)</w:t>
            </w:r>
          </w:p>
        </w:tc>
        <w:tc>
          <w:tcPr>
            <w:tcW w:w="2000" w:type="dxa"/>
            <w:vAlign w:val="bottom"/>
            <w:gridSpan w:val="2"/>
          </w:tcPr>
          <w:p>
            <w:pPr>
              <w:ind w:left="100"/>
              <w:spacing w:after="0" w:line="148" w:lineRule="exact"/>
              <w:rPr>
                <w:sz w:val="20"/>
                <w:szCs w:val="20"/>
                <w:color w:val="auto"/>
              </w:rPr>
            </w:pPr>
            <w:r>
              <w:rPr>
                <w:rFonts w:ascii="Arial" w:cs="Arial" w:eastAsia="Arial" w:hAnsi="Arial"/>
                <w:sz w:val="13"/>
                <w:szCs w:val="13"/>
                <w:color w:val="auto"/>
                <w:w w:val="91"/>
              </w:rPr>
              <w:t>Los Angeles-Long Beach-Anaheim,</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107,422</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40,000</w:t>
            </w: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22</w:t>
            </w:r>
          </w:p>
        </w:tc>
        <w:tc>
          <w:tcPr>
            <w:tcW w:w="120" w:type="dxa"/>
            <w:vAlign w:val="bottom"/>
          </w:tcPr>
          <w:p>
            <w:pPr>
              <w:spacing w:after="0"/>
              <w:rPr>
                <w:sz w:val="12"/>
                <w:szCs w:val="12"/>
                <w:color w:val="auto"/>
              </w:rPr>
            </w:pP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222,000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300" w:type="dxa"/>
            <w:vAlign w:val="bottom"/>
          </w:tcPr>
          <w:p>
            <w:pPr>
              <w:ind w:left="80"/>
              <w:spacing w:after="0" w:line="148" w:lineRule="exact"/>
              <w:rPr>
                <w:sz w:val="20"/>
                <w:szCs w:val="20"/>
                <w:color w:val="auto"/>
              </w:rPr>
            </w:pPr>
            <w:r>
              <w:rPr>
                <w:rFonts w:ascii="Arial" w:cs="Arial" w:eastAsia="Arial" w:hAnsi="Arial"/>
                <w:sz w:val="13"/>
                <w:szCs w:val="13"/>
                <w:color w:val="auto"/>
                <w:w w:val="97"/>
              </w:rPr>
              <w:t>Marshalls / Ross Dress for Less / Ulta /</w:t>
            </w:r>
          </w:p>
        </w:tc>
      </w:tr>
      <w:tr>
        <w:trPr>
          <w:trHeight w:val="168"/>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0" w:type="dxa"/>
            <w:vAlign w:val="bottom"/>
            <w:gridSpan w:val="2"/>
          </w:tcPr>
          <w:p>
            <w:pPr>
              <w:ind w:left="100"/>
              <w:spacing w:after="0"/>
              <w:rPr>
                <w:sz w:val="20"/>
                <w:szCs w:val="20"/>
                <w:color w:val="auto"/>
              </w:rPr>
            </w:pPr>
            <w:r>
              <w:rPr>
                <w:rFonts w:ascii="Arial" w:cs="Arial" w:eastAsia="Arial" w:hAnsi="Arial"/>
                <w:sz w:val="13"/>
                <w:szCs w:val="13"/>
                <w:color w:val="auto"/>
              </w:rPr>
              <w:t>CA</w:t>
            </w: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300" w:type="dxa"/>
            <w:vAlign w:val="bottom"/>
          </w:tcPr>
          <w:p>
            <w:pPr>
              <w:ind w:left="80"/>
              <w:spacing w:after="0"/>
              <w:rPr>
                <w:sz w:val="20"/>
                <w:szCs w:val="20"/>
                <w:color w:val="auto"/>
              </w:rPr>
            </w:pPr>
            <w:r>
              <w:rPr>
                <w:rFonts w:ascii="Arial" w:cs="Arial" w:eastAsia="Arial" w:hAnsi="Arial"/>
                <w:sz w:val="13"/>
                <w:szCs w:val="13"/>
                <w:color w:val="auto"/>
              </w:rPr>
              <w:t>CVS</w:t>
            </w:r>
          </w:p>
        </w:tc>
      </w:tr>
      <w:tr>
        <w:trPr>
          <w:trHeight w:val="156"/>
        </w:trPr>
        <w:tc>
          <w:tcPr>
            <w:tcW w:w="130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Bell Gardens</w:t>
            </w:r>
          </w:p>
        </w:tc>
        <w:tc>
          <w:tcPr>
            <w:tcW w:w="3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w:t>
            </w:r>
          </w:p>
        </w:tc>
        <w:tc>
          <w:tcPr>
            <w:tcW w:w="20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w w:val="91"/>
              </w:rPr>
              <w:t>Los Angeles-Long Beach-Anaheim,</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100,485</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13,245</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29</w:t>
            </w: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330,000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67,000</w:t>
            </w: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Food 4 Less</w:t>
            </w:r>
          </w:p>
        </w:tc>
        <w:tc>
          <w:tcPr>
            <w:tcW w:w="2300" w:type="dxa"/>
            <w:vAlign w:val="bottom"/>
            <w:shd w:val="clear" w:color="auto" w:fill="CCEEFF"/>
          </w:tcPr>
          <w:p>
            <w:pPr>
              <w:ind w:left="80"/>
              <w:spacing w:after="0"/>
              <w:rPr>
                <w:sz w:val="20"/>
                <w:szCs w:val="20"/>
                <w:color w:val="auto"/>
              </w:rPr>
            </w:pPr>
            <w:r>
              <w:rPr>
                <w:rFonts w:ascii="Arial" w:cs="Arial" w:eastAsia="Arial" w:hAnsi="Arial"/>
                <w:sz w:val="13"/>
                <w:szCs w:val="13"/>
                <w:color w:val="auto"/>
                <w:w w:val="96"/>
              </w:rPr>
              <w:t>Marshalls / Ross Dress for Less / Petco</w:t>
            </w:r>
          </w:p>
        </w:tc>
      </w:tr>
      <w:tr>
        <w:trPr>
          <w:trHeight w:val="176"/>
        </w:trPr>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CA</w:t>
            </w: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r>
      <w:tr>
        <w:trPr>
          <w:trHeight w:val="148"/>
        </w:trPr>
        <w:tc>
          <w:tcPr>
            <w:tcW w:w="1300" w:type="dxa"/>
            <w:vAlign w:val="bottom"/>
            <w:gridSpan w:val="3"/>
          </w:tcPr>
          <w:p>
            <w:pPr>
              <w:ind w:left="20"/>
              <w:spacing w:after="0" w:line="148" w:lineRule="exact"/>
              <w:rPr>
                <w:sz w:val="20"/>
                <w:szCs w:val="20"/>
                <w:color w:val="auto"/>
              </w:rPr>
            </w:pPr>
            <w:r>
              <w:rPr>
                <w:rFonts w:ascii="Arial" w:cs="Arial" w:eastAsia="Arial" w:hAnsi="Arial"/>
                <w:sz w:val="13"/>
                <w:szCs w:val="13"/>
                <w:color w:val="auto"/>
              </w:rPr>
              <w:t>Colorado Blvd</w:t>
            </w:r>
          </w:p>
        </w:tc>
        <w:tc>
          <w:tcPr>
            <w:tcW w:w="320" w:type="dxa"/>
            <w:vAlign w:val="bottom"/>
          </w:tcPr>
          <w:p>
            <w:pPr>
              <w:spacing w:after="0"/>
              <w:rPr>
                <w:sz w:val="12"/>
                <w:szCs w:val="12"/>
                <w:color w:val="auto"/>
              </w:rPr>
            </w:pPr>
          </w:p>
        </w:tc>
        <w:tc>
          <w:tcPr>
            <w:tcW w:w="2000" w:type="dxa"/>
            <w:vAlign w:val="bottom"/>
            <w:gridSpan w:val="2"/>
          </w:tcPr>
          <w:p>
            <w:pPr>
              <w:ind w:left="100"/>
              <w:spacing w:after="0" w:line="148" w:lineRule="exact"/>
              <w:rPr>
                <w:sz w:val="20"/>
                <w:szCs w:val="20"/>
                <w:color w:val="auto"/>
              </w:rPr>
            </w:pPr>
            <w:r>
              <w:rPr>
                <w:rFonts w:ascii="Arial" w:cs="Arial" w:eastAsia="Arial" w:hAnsi="Arial"/>
                <w:sz w:val="13"/>
                <w:szCs w:val="13"/>
                <w:color w:val="auto"/>
                <w:w w:val="91"/>
              </w:rPr>
              <w:t>Los Angeles-Long Beach-Anaheim,</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19,517</w:t>
            </w:r>
          </w:p>
        </w:tc>
        <w:tc>
          <w:tcPr>
            <w:tcW w:w="660" w:type="dxa"/>
            <w:vAlign w:val="bottom"/>
          </w:tcPr>
          <w:p>
            <w:pPr>
              <w:spacing w:after="0"/>
              <w:rPr>
                <w:sz w:val="12"/>
                <w:szCs w:val="12"/>
                <w:color w:val="auto"/>
              </w:rPr>
            </w:pP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w:t>
            </w:r>
          </w:p>
        </w:tc>
        <w:tc>
          <w:tcPr>
            <w:tcW w:w="120" w:type="dxa"/>
            <w:vAlign w:val="bottom"/>
          </w:tcPr>
          <w:p>
            <w:pPr>
              <w:spacing w:after="0"/>
              <w:rPr>
                <w:sz w:val="12"/>
                <w:szCs w:val="12"/>
                <w:color w:val="auto"/>
              </w:rPr>
            </w:pP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69,000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300" w:type="dxa"/>
            <w:vAlign w:val="bottom"/>
          </w:tcPr>
          <w:p>
            <w:pPr>
              <w:ind w:left="80"/>
              <w:spacing w:after="0" w:line="148" w:lineRule="exact"/>
              <w:rPr>
                <w:sz w:val="20"/>
                <w:szCs w:val="20"/>
                <w:color w:val="auto"/>
              </w:rPr>
            </w:pPr>
            <w:r>
              <w:rPr>
                <w:rFonts w:ascii="Arial" w:cs="Arial" w:eastAsia="Arial" w:hAnsi="Arial"/>
                <w:sz w:val="13"/>
                <w:szCs w:val="13"/>
                <w:color w:val="auto"/>
              </w:rPr>
              <w:t>Pottery Barn / Banana Republic</w:t>
            </w:r>
          </w:p>
        </w:tc>
      </w:tr>
      <w:tr>
        <w:trPr>
          <w:trHeight w:val="168"/>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0" w:type="dxa"/>
            <w:vAlign w:val="bottom"/>
            <w:gridSpan w:val="2"/>
          </w:tcPr>
          <w:p>
            <w:pPr>
              <w:ind w:left="100"/>
              <w:spacing w:after="0"/>
              <w:rPr>
                <w:sz w:val="20"/>
                <w:szCs w:val="20"/>
                <w:color w:val="auto"/>
              </w:rPr>
            </w:pPr>
            <w:r>
              <w:rPr>
                <w:rFonts w:ascii="Arial" w:cs="Arial" w:eastAsia="Arial" w:hAnsi="Arial"/>
                <w:sz w:val="13"/>
                <w:szCs w:val="13"/>
                <w:color w:val="auto"/>
              </w:rPr>
              <w:t>CA</w:t>
            </w: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156"/>
        </w:trPr>
        <w:tc>
          <w:tcPr>
            <w:tcW w:w="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spacing w:after="0"/>
              <w:rPr>
                <w:sz w:val="20"/>
                <w:szCs w:val="20"/>
                <w:color w:val="auto"/>
              </w:rPr>
            </w:pPr>
            <w:r>
              <w:rPr>
                <w:rFonts w:ascii="Arial" w:cs="Arial" w:eastAsia="Arial" w:hAnsi="Arial"/>
                <w:sz w:val="13"/>
                <w:szCs w:val="13"/>
                <w:color w:val="auto"/>
                <w:shd w:val="clear" w:color="auto" w:fill="CCEEFF"/>
              </w:rPr>
              <w:t>Crow Canyon</w:t>
            </w:r>
          </w:p>
        </w:tc>
        <w:tc>
          <w:tcPr>
            <w:tcW w:w="320" w:type="dxa"/>
            <w:vAlign w:val="bottom"/>
            <w:shd w:val="clear" w:color="auto" w:fill="CCEEFF"/>
          </w:tcPr>
          <w:p>
            <w:pPr>
              <w:spacing w:after="0"/>
              <w:rPr>
                <w:sz w:val="13"/>
                <w:szCs w:val="13"/>
                <w:color w:val="auto"/>
              </w:rPr>
            </w:pPr>
          </w:p>
        </w:tc>
        <w:tc>
          <w:tcPr>
            <w:tcW w:w="20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shd w:val="clear" w:color="auto" w:fill="CCEEFF"/>
              </w:rPr>
              <w:t>San Ramon, CA</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90,371</w:t>
            </w:r>
          </w:p>
        </w:tc>
        <w:tc>
          <w:tcPr>
            <w:tcW w:w="66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w:t>
            </w: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241,000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32,000</w:t>
            </w: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Sprouts</w:t>
            </w:r>
          </w:p>
        </w:tc>
        <w:tc>
          <w:tcPr>
            <w:tcW w:w="2300" w:type="dxa"/>
            <w:vAlign w:val="bottom"/>
            <w:shd w:val="clear" w:color="auto" w:fill="CCEEFF"/>
          </w:tcPr>
          <w:p>
            <w:pPr>
              <w:ind w:left="80"/>
              <w:spacing w:after="0"/>
              <w:rPr>
                <w:sz w:val="20"/>
                <w:szCs w:val="20"/>
                <w:color w:val="auto"/>
              </w:rPr>
            </w:pPr>
            <w:r>
              <w:rPr>
                <w:rFonts w:ascii="Arial" w:cs="Arial" w:eastAsia="Arial" w:hAnsi="Arial"/>
                <w:sz w:val="13"/>
                <w:szCs w:val="13"/>
                <w:color w:val="auto"/>
                <w:shd w:val="clear" w:color="auto" w:fill="CCEEFF"/>
              </w:rPr>
              <w:t>Orchard Supply Hardware / Rite Aid /</w:t>
            </w:r>
          </w:p>
        </w:tc>
      </w:tr>
      <w:tr>
        <w:trPr>
          <w:trHeight w:val="156"/>
        </w:trPr>
        <w:tc>
          <w:tcPr>
            <w:tcW w:w="2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shd w:val="clear" w:color="auto" w:fill="CCEEFF"/>
              </w:rPr>
              <w:t>Commons</w:t>
            </w:r>
          </w:p>
        </w:tc>
        <w:tc>
          <w:tcPr>
            <w:tcW w:w="66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86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c>
          <w:tcPr>
            <w:tcW w:w="23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shd w:val="clear" w:color="auto" w:fill="CCEEFF"/>
              </w:rPr>
              <w:t>Total Wine &amp; More</w:t>
            </w:r>
          </w:p>
        </w:tc>
      </w:tr>
      <w:tr>
        <w:trPr>
          <w:trHeight w:val="148"/>
        </w:trPr>
        <w:tc>
          <w:tcPr>
            <w:tcW w:w="1300" w:type="dxa"/>
            <w:vAlign w:val="bottom"/>
            <w:gridSpan w:val="3"/>
          </w:tcPr>
          <w:p>
            <w:pPr>
              <w:ind w:left="20"/>
              <w:spacing w:after="0" w:line="148" w:lineRule="exact"/>
              <w:rPr>
                <w:sz w:val="20"/>
                <w:szCs w:val="20"/>
                <w:color w:val="auto"/>
              </w:rPr>
            </w:pPr>
            <w:r>
              <w:rPr>
                <w:rFonts w:ascii="Arial" w:cs="Arial" w:eastAsia="Arial" w:hAnsi="Arial"/>
                <w:sz w:val="13"/>
                <w:szCs w:val="13"/>
                <w:color w:val="auto"/>
              </w:rPr>
              <w:t>East Bay Bridge</w:t>
            </w:r>
          </w:p>
        </w:tc>
        <w:tc>
          <w:tcPr>
            <w:tcW w:w="320" w:type="dxa"/>
            <w:vAlign w:val="bottom"/>
          </w:tcPr>
          <w:p>
            <w:pPr>
              <w:spacing w:after="0"/>
              <w:rPr>
                <w:sz w:val="12"/>
                <w:szCs w:val="12"/>
                <w:color w:val="auto"/>
              </w:rPr>
            </w:pPr>
          </w:p>
        </w:tc>
        <w:tc>
          <w:tcPr>
            <w:tcW w:w="2000" w:type="dxa"/>
            <w:vAlign w:val="bottom"/>
            <w:gridSpan w:val="2"/>
          </w:tcPr>
          <w:p>
            <w:pPr>
              <w:ind w:left="100"/>
              <w:spacing w:after="0" w:line="148" w:lineRule="exact"/>
              <w:rPr>
                <w:sz w:val="20"/>
                <w:szCs w:val="20"/>
                <w:color w:val="auto"/>
              </w:rPr>
            </w:pPr>
            <w:r>
              <w:rPr>
                <w:rFonts w:ascii="Arial" w:cs="Arial" w:eastAsia="Arial" w:hAnsi="Arial"/>
                <w:sz w:val="13"/>
                <w:szCs w:val="13"/>
                <w:color w:val="auto"/>
                <w:w w:val="97"/>
              </w:rPr>
              <w:t>San Francisco-Oakland-Fremont,</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178,870</w:t>
            </w:r>
          </w:p>
        </w:tc>
        <w:tc>
          <w:tcPr>
            <w:tcW w:w="660" w:type="dxa"/>
            <w:vAlign w:val="bottom"/>
          </w:tcPr>
          <w:p>
            <w:pPr>
              <w:spacing w:after="0"/>
              <w:rPr>
                <w:sz w:val="12"/>
                <w:szCs w:val="12"/>
                <w:color w:val="auto"/>
              </w:rPr>
            </w:pP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32</w:t>
            </w:r>
          </w:p>
        </w:tc>
        <w:tc>
          <w:tcPr>
            <w:tcW w:w="120" w:type="dxa"/>
            <w:vAlign w:val="bottom"/>
          </w:tcPr>
          <w:p>
            <w:pPr>
              <w:spacing w:after="0"/>
              <w:rPr>
                <w:sz w:val="12"/>
                <w:szCs w:val="12"/>
                <w:color w:val="auto"/>
              </w:rPr>
            </w:pP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439,000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tcPr>
          <w:p>
            <w:pPr>
              <w:ind w:left="80"/>
              <w:spacing w:after="0" w:line="148" w:lineRule="exact"/>
              <w:rPr>
                <w:sz w:val="20"/>
                <w:szCs w:val="20"/>
                <w:color w:val="auto"/>
              </w:rPr>
            </w:pPr>
            <w:r>
              <w:rPr>
                <w:rFonts w:ascii="Arial" w:cs="Arial" w:eastAsia="Arial" w:hAnsi="Arial"/>
                <w:sz w:val="13"/>
                <w:szCs w:val="13"/>
                <w:color w:val="auto"/>
              </w:rPr>
              <w:t>Pak-N-Save</w:t>
            </w:r>
          </w:p>
        </w:tc>
        <w:tc>
          <w:tcPr>
            <w:tcW w:w="2300" w:type="dxa"/>
            <w:vAlign w:val="bottom"/>
          </w:tcPr>
          <w:p>
            <w:pPr>
              <w:ind w:left="80"/>
              <w:spacing w:after="0" w:line="148" w:lineRule="exact"/>
              <w:rPr>
                <w:sz w:val="20"/>
                <w:szCs w:val="20"/>
                <w:color w:val="auto"/>
              </w:rPr>
            </w:pPr>
            <w:r>
              <w:rPr>
                <w:rFonts w:ascii="Arial" w:cs="Arial" w:eastAsia="Arial" w:hAnsi="Arial"/>
                <w:sz w:val="13"/>
                <w:szCs w:val="13"/>
                <w:color w:val="auto"/>
                <w:w w:val="97"/>
              </w:rPr>
              <w:t>Home Depot / Target / Nordstrom Rack</w:t>
            </w:r>
          </w:p>
        </w:tc>
      </w:tr>
      <w:tr>
        <w:trPr>
          <w:trHeight w:val="160"/>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0" w:type="dxa"/>
            <w:vAlign w:val="bottom"/>
            <w:gridSpan w:val="2"/>
          </w:tcPr>
          <w:p>
            <w:pPr>
              <w:ind w:left="100"/>
              <w:spacing w:after="0"/>
              <w:rPr>
                <w:sz w:val="20"/>
                <w:szCs w:val="20"/>
                <w:color w:val="auto"/>
              </w:rPr>
            </w:pPr>
            <w:r>
              <w:rPr>
                <w:rFonts w:ascii="Arial" w:cs="Arial" w:eastAsia="Arial" w:hAnsi="Arial"/>
                <w:sz w:val="13"/>
                <w:szCs w:val="13"/>
                <w:color w:val="auto"/>
              </w:rPr>
              <w:t>CA</w:t>
            </w: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300" w:type="dxa"/>
            <w:vAlign w:val="bottom"/>
          </w:tcPr>
          <w:p>
            <w:pPr>
              <w:spacing w:after="0"/>
              <w:rPr>
                <w:sz w:val="13"/>
                <w:szCs w:val="13"/>
                <w:color w:val="auto"/>
              </w:rPr>
            </w:pPr>
          </w:p>
        </w:tc>
      </w:tr>
    </w:tbl>
    <w:p>
      <w:pPr>
        <w:spacing w:after="0" w:line="200" w:lineRule="exact"/>
        <w:rPr>
          <w:sz w:val="20"/>
          <w:szCs w:val="20"/>
          <w:color w:val="auto"/>
        </w:rPr>
      </w:pPr>
    </w:p>
    <w:p>
      <w:pPr>
        <w:sectPr>
          <w:pgSz w:w="11900" w:h="16838" w:orient="portrait"/>
          <w:cols w:equalWidth="0" w:num="1">
            <w:col w:w="11280"/>
          </w:cols>
          <w:pgMar w:left="320" w:top="747" w:right="299" w:bottom="1440" w:gutter="0" w:footer="0" w:header="0"/>
        </w:sectPr>
      </w:pPr>
    </w:p>
    <w:p>
      <w:pPr>
        <w:spacing w:after="0" w:line="4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280"/>
          </w:cols>
          <w:pgMar w:left="320" w:top="747" w:right="299" w:bottom="1440" w:gutter="0" w:footer="0" w:header="0"/>
          <w:type w:val="continuous"/>
        </w:sectPr>
      </w:pPr>
    </w:p>
    <w:bookmarkStart w:id="27" w:name="page28"/>
    <w:bookmarkEnd w:id="27"/>
    <w:p>
      <w:pPr>
        <w:ind w:left="2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Real Estate Status Report</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September 30, 2017</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8"/>
              </w:rPr>
              <w:t>Mortgage</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80" w:type="dxa"/>
            <w:vAlign w:val="bottom"/>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and/or</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8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Capital</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8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Lease</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w:t>
            </w:r>
          </w:p>
        </w:tc>
        <w:tc>
          <w:tcPr>
            <w:tcW w:w="680" w:type="dxa"/>
            <w:vAlign w:val="bottom"/>
          </w:tcPr>
          <w:p>
            <w:pPr>
              <w:spacing w:after="0"/>
              <w:rPr>
                <w:sz w:val="11"/>
                <w:szCs w:val="11"/>
                <w:color w:val="auto"/>
              </w:rPr>
            </w:pPr>
          </w:p>
        </w:tc>
        <w:tc>
          <w:tcPr>
            <w:tcW w:w="580" w:type="dxa"/>
            <w:vAlign w:val="bottom"/>
          </w:tcPr>
          <w:p>
            <w:pPr>
              <w:ind w:left="40"/>
              <w:spacing w:after="0" w:line="135" w:lineRule="exact"/>
              <w:rPr>
                <w:sz w:val="20"/>
                <w:szCs w:val="20"/>
                <w:color w:val="auto"/>
              </w:rPr>
            </w:pPr>
            <w:r>
              <w:rPr>
                <w:rFonts w:ascii="Arial" w:cs="Arial" w:eastAsia="Arial" w:hAnsi="Arial"/>
                <w:sz w:val="13"/>
                <w:szCs w:val="13"/>
                <w:b w:val="1"/>
                <w:bCs w:val="1"/>
                <w:color w:val="auto"/>
              </w:rPr>
              <w:t>Grocery</w:t>
            </w:r>
          </w:p>
        </w:tc>
        <w:tc>
          <w:tcPr>
            <w:tcW w:w="920" w:type="dxa"/>
            <w:vAlign w:val="bottom"/>
          </w:tcPr>
          <w:p>
            <w:pPr>
              <w:spacing w:after="0"/>
              <w:rPr>
                <w:sz w:val="11"/>
                <w:szCs w:val="11"/>
                <w:color w:val="auto"/>
              </w:rPr>
            </w:pPr>
          </w:p>
        </w:tc>
        <w:tc>
          <w:tcPr>
            <w:tcW w:w="228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Real Estate</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Obligation</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89"/>
              </w:rPr>
              <w:t>Leased</w:t>
            </w:r>
          </w:p>
        </w:tc>
        <w:tc>
          <w:tcPr>
            <w:tcW w:w="6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Residential</w:t>
            </w:r>
          </w:p>
        </w:tc>
        <w:tc>
          <w:tcPr>
            <w:tcW w:w="58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92"/>
              </w:rPr>
              <w:t>Anchor</w:t>
            </w:r>
          </w:p>
        </w:tc>
        <w:tc>
          <w:tcPr>
            <w:tcW w:w="92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Grocery</w:t>
            </w:r>
          </w:p>
        </w:tc>
        <w:tc>
          <w:tcPr>
            <w:tcW w:w="2280" w:type="dxa"/>
            <w:vAlign w:val="bottom"/>
          </w:tcPr>
          <w:p>
            <w:pPr>
              <w:spacing w:after="0"/>
              <w:rPr>
                <w:sz w:val="11"/>
                <w:szCs w:val="11"/>
                <w:color w:val="auto"/>
              </w:rPr>
            </w:pPr>
          </w:p>
        </w:tc>
      </w:tr>
      <w:tr>
        <w:trPr>
          <w:trHeight w:val="174"/>
        </w:trPr>
        <w:tc>
          <w:tcPr>
            <w:tcW w:w="1240" w:type="dxa"/>
            <w:vAlign w:val="bottom"/>
            <w:tcBorders>
              <w:bottom w:val="single" w:sz="8" w:color="auto"/>
            </w:tcBorders>
            <w:gridSpan w:val="4"/>
          </w:tcPr>
          <w:p>
            <w:pPr>
              <w:ind w:left="20"/>
              <w:spacing w:after="0"/>
              <w:rPr>
                <w:sz w:val="20"/>
                <w:szCs w:val="20"/>
                <w:color w:val="auto"/>
              </w:rPr>
            </w:pPr>
            <w:r>
              <w:rPr>
                <w:rFonts w:ascii="Arial" w:cs="Arial" w:eastAsia="Arial" w:hAnsi="Arial"/>
                <w:sz w:val="13"/>
                <w:szCs w:val="13"/>
                <w:b w:val="1"/>
                <w:bCs w:val="1"/>
                <w:color w:val="auto"/>
              </w:rPr>
              <w:t>Property Name</w:t>
            </w:r>
          </w:p>
        </w:tc>
        <w:tc>
          <w:tcPr>
            <w:tcW w:w="4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MSA Description</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at Cost</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(1)</w:t>
            </w:r>
          </w:p>
        </w:tc>
        <w:tc>
          <w:tcPr>
            <w:tcW w:w="60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Acreage</w:t>
            </w:r>
          </w:p>
        </w:tc>
        <w:tc>
          <w:tcPr>
            <w:tcW w:w="76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GLA (2)</w:t>
            </w:r>
          </w:p>
        </w:tc>
        <w:tc>
          <w:tcPr>
            <w:tcW w:w="4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(2)</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Units</w:t>
            </w:r>
          </w:p>
        </w:tc>
        <w:tc>
          <w:tcPr>
            <w:tcW w:w="58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94"/>
              </w:rPr>
              <w:t>GLA</w:t>
            </w:r>
          </w:p>
        </w:tc>
        <w:tc>
          <w:tcPr>
            <w:tcW w:w="92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Anchor</w:t>
            </w:r>
          </w:p>
        </w:tc>
        <w:tc>
          <w:tcPr>
            <w:tcW w:w="228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Other Retail Tenants</w:t>
            </w:r>
          </w:p>
        </w:tc>
      </w:tr>
      <w:tr>
        <w:trPr>
          <w:trHeight w:val="13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80" w:type="dxa"/>
            <w:vAlign w:val="bottom"/>
          </w:tcPr>
          <w:p>
            <w:pPr>
              <w:spacing w:after="0"/>
              <w:rPr>
                <w:sz w:val="12"/>
                <w:szCs w:val="12"/>
                <w:color w:val="auto"/>
              </w:rPr>
            </w:pPr>
          </w:p>
        </w:tc>
      </w:tr>
      <w:tr>
        <w:trPr>
          <w:trHeight w:val="136"/>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700" w:type="dxa"/>
            <w:vAlign w:val="bottom"/>
          </w:tcPr>
          <w:p>
            <w:pPr>
              <w:jc w:val="center"/>
              <w:spacing w:after="0"/>
              <w:rPr>
                <w:sz w:val="20"/>
                <w:szCs w:val="20"/>
                <w:color w:val="auto"/>
              </w:rPr>
            </w:pPr>
            <w:r>
              <w:rPr>
                <w:rFonts w:ascii="Arial" w:cs="Arial" w:eastAsia="Arial" w:hAnsi="Arial"/>
                <w:sz w:val="11"/>
                <w:szCs w:val="11"/>
                <w:color w:val="auto"/>
                <w:w w:val="88"/>
              </w:rPr>
              <w:t>(in thousands)</w:t>
            </w:r>
          </w:p>
        </w:tc>
        <w:tc>
          <w:tcPr>
            <w:tcW w:w="660" w:type="dxa"/>
            <w:vAlign w:val="bottom"/>
          </w:tcPr>
          <w:p>
            <w:pPr>
              <w:jc w:val="center"/>
              <w:spacing w:after="0"/>
              <w:rPr>
                <w:sz w:val="20"/>
                <w:szCs w:val="20"/>
                <w:color w:val="auto"/>
              </w:rPr>
            </w:pPr>
            <w:r>
              <w:rPr>
                <w:rFonts w:ascii="Arial" w:cs="Arial" w:eastAsia="Arial" w:hAnsi="Arial"/>
                <w:sz w:val="11"/>
                <w:szCs w:val="11"/>
                <w:color w:val="auto"/>
                <w:w w:val="88"/>
              </w:rPr>
              <w:t>thousands)</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80" w:type="dxa"/>
            <w:vAlign w:val="bottom"/>
          </w:tcPr>
          <w:p>
            <w:pPr>
              <w:spacing w:after="0"/>
              <w:rPr>
                <w:sz w:val="11"/>
                <w:szCs w:val="11"/>
                <w:color w:val="auto"/>
              </w:rPr>
            </w:pPr>
          </w:p>
        </w:tc>
      </w:tr>
      <w:tr>
        <w:trPr>
          <w:trHeight w:val="22"/>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48"/>
        </w:trPr>
        <w:tc>
          <w:tcPr>
            <w:tcW w:w="1240" w:type="dxa"/>
            <w:vAlign w:val="bottom"/>
            <w:gridSpan w:val="4"/>
            <w:shd w:val="clear" w:color="auto" w:fill="CCEEFF"/>
          </w:tcPr>
          <w:p>
            <w:pPr>
              <w:ind w:left="20"/>
              <w:spacing w:after="0" w:line="148" w:lineRule="exact"/>
              <w:rPr>
                <w:sz w:val="20"/>
                <w:szCs w:val="20"/>
                <w:color w:val="auto"/>
              </w:rPr>
            </w:pPr>
            <w:r>
              <w:rPr>
                <w:rFonts w:ascii="Arial" w:cs="Arial" w:eastAsia="Arial" w:hAnsi="Arial"/>
                <w:sz w:val="13"/>
                <w:szCs w:val="13"/>
                <w:color w:val="auto"/>
                <w:w w:val="91"/>
              </w:rPr>
              <w:t>Escondido Promenade</w:t>
            </w:r>
          </w:p>
        </w:tc>
        <w:tc>
          <w:tcPr>
            <w:tcW w:w="44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rPr>
              <w:t>(3)</w:t>
            </w:r>
          </w:p>
        </w:tc>
        <w:tc>
          <w:tcPr>
            <w:tcW w:w="194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San Diego, CA</w:t>
            </w:r>
          </w:p>
        </w:tc>
        <w:tc>
          <w:tcPr>
            <w:tcW w:w="70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48,887</w:t>
            </w:r>
          </w:p>
        </w:tc>
        <w:tc>
          <w:tcPr>
            <w:tcW w:w="66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18</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299,000</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99%</w:t>
            </w: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8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w w:val="96"/>
              </w:rPr>
              <w:t>TJ Maxx / Dick’s Sporting Goods / Ross</w:t>
            </w:r>
          </w:p>
        </w:tc>
      </w:tr>
      <w:tr>
        <w:trPr>
          <w:trHeight w:val="176"/>
        </w:trPr>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80" w:type="dxa"/>
            <w:vAlign w:val="bottom"/>
            <w:shd w:val="clear" w:color="auto" w:fill="CCEEFF"/>
          </w:tcPr>
          <w:p>
            <w:pPr>
              <w:ind w:left="60"/>
              <w:spacing w:after="0"/>
              <w:rPr>
                <w:sz w:val="20"/>
                <w:szCs w:val="20"/>
                <w:color w:val="auto"/>
              </w:rPr>
            </w:pPr>
            <w:r>
              <w:rPr>
                <w:rFonts w:ascii="Arial" w:cs="Arial" w:eastAsia="Arial" w:hAnsi="Arial"/>
                <w:sz w:val="13"/>
                <w:szCs w:val="13"/>
                <w:color w:val="auto"/>
              </w:rPr>
              <w:t>Dress For Less / Toys R Us</w:t>
            </w:r>
          </w:p>
        </w:tc>
      </w:tr>
      <w:tr>
        <w:trPr>
          <w:trHeight w:val="148"/>
        </w:trPr>
        <w:tc>
          <w:tcPr>
            <w:tcW w:w="1240" w:type="dxa"/>
            <w:vAlign w:val="bottom"/>
            <w:gridSpan w:val="4"/>
          </w:tcPr>
          <w:p>
            <w:pPr>
              <w:ind w:left="20"/>
              <w:spacing w:after="0" w:line="148" w:lineRule="exact"/>
              <w:rPr>
                <w:sz w:val="20"/>
                <w:szCs w:val="20"/>
                <w:color w:val="auto"/>
              </w:rPr>
            </w:pPr>
            <w:r>
              <w:rPr>
                <w:rFonts w:ascii="Arial" w:cs="Arial" w:eastAsia="Arial" w:hAnsi="Arial"/>
                <w:sz w:val="13"/>
                <w:szCs w:val="13"/>
                <w:color w:val="auto"/>
              </w:rPr>
              <w:t>Fourth Street</w:t>
            </w:r>
          </w:p>
        </w:tc>
        <w:tc>
          <w:tcPr>
            <w:tcW w:w="440" w:type="dxa"/>
            <w:vAlign w:val="bottom"/>
          </w:tcPr>
          <w:p>
            <w:pPr>
              <w:jc w:val="center"/>
              <w:spacing w:after="0" w:line="148" w:lineRule="exact"/>
              <w:rPr>
                <w:sz w:val="20"/>
                <w:szCs w:val="20"/>
                <w:color w:val="auto"/>
              </w:rPr>
            </w:pPr>
            <w:r>
              <w:rPr>
                <w:rFonts w:ascii="Arial" w:cs="Arial" w:eastAsia="Arial" w:hAnsi="Arial"/>
                <w:sz w:val="13"/>
                <w:szCs w:val="13"/>
                <w:color w:val="auto"/>
              </w:rPr>
              <w:t>(3)</w:t>
            </w:r>
          </w:p>
        </w:tc>
        <w:tc>
          <w:tcPr>
            <w:tcW w:w="1940" w:type="dxa"/>
            <w:vAlign w:val="bottom"/>
          </w:tcPr>
          <w:p>
            <w:pPr>
              <w:ind w:left="40"/>
              <w:spacing w:after="0" w:line="148" w:lineRule="exact"/>
              <w:rPr>
                <w:sz w:val="20"/>
                <w:szCs w:val="20"/>
                <w:color w:val="auto"/>
              </w:rPr>
            </w:pPr>
            <w:r>
              <w:rPr>
                <w:rFonts w:ascii="Arial" w:cs="Arial" w:eastAsia="Arial" w:hAnsi="Arial"/>
                <w:sz w:val="13"/>
                <w:szCs w:val="13"/>
                <w:color w:val="auto"/>
                <w:w w:val="94"/>
              </w:rPr>
              <w:t>San Francisco-Oakland-San Jose,</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23,838</w:t>
            </w:r>
          </w:p>
        </w:tc>
        <w:tc>
          <w:tcPr>
            <w:tcW w:w="660" w:type="dxa"/>
            <w:vAlign w:val="bottom"/>
          </w:tcPr>
          <w:p>
            <w:pPr>
              <w:spacing w:after="0"/>
              <w:rPr>
                <w:sz w:val="12"/>
                <w:szCs w:val="12"/>
                <w:color w:val="auto"/>
              </w:rPr>
            </w:pP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3</w:t>
            </w:r>
          </w:p>
        </w:tc>
        <w:tc>
          <w:tcPr>
            <w:tcW w:w="120" w:type="dxa"/>
            <w:vAlign w:val="bottom"/>
          </w:tcPr>
          <w:p>
            <w:pPr>
              <w:spacing w:after="0"/>
              <w:rPr>
                <w:sz w:val="12"/>
                <w:szCs w:val="12"/>
                <w:color w:val="auto"/>
              </w:rPr>
            </w:pP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71,000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55%</w:t>
            </w: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80" w:type="dxa"/>
            <w:vAlign w:val="bottom"/>
          </w:tcPr>
          <w:p>
            <w:pPr>
              <w:ind w:left="60"/>
              <w:spacing w:after="0" w:line="148" w:lineRule="exact"/>
              <w:rPr>
                <w:sz w:val="20"/>
                <w:szCs w:val="20"/>
                <w:color w:val="auto"/>
              </w:rPr>
            </w:pPr>
            <w:r>
              <w:rPr>
                <w:rFonts w:ascii="Arial" w:cs="Arial" w:eastAsia="Arial" w:hAnsi="Arial"/>
                <w:sz w:val="13"/>
                <w:szCs w:val="13"/>
                <w:color w:val="auto"/>
              </w:rPr>
              <w:t>CB2 / Ingram Book Group</w:t>
            </w:r>
          </w:p>
        </w:tc>
      </w:tr>
      <w:tr>
        <w:trPr>
          <w:trHeight w:val="168"/>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40" w:type="dxa"/>
            <w:vAlign w:val="bottom"/>
          </w:tcPr>
          <w:p>
            <w:pPr>
              <w:ind w:left="40"/>
              <w:spacing w:after="0"/>
              <w:rPr>
                <w:sz w:val="20"/>
                <w:szCs w:val="20"/>
                <w:color w:val="auto"/>
              </w:rPr>
            </w:pPr>
            <w:r>
              <w:rPr>
                <w:rFonts w:ascii="Arial" w:cs="Arial" w:eastAsia="Arial" w:hAnsi="Arial"/>
                <w:sz w:val="13"/>
                <w:szCs w:val="13"/>
                <w:color w:val="auto"/>
              </w:rPr>
              <w:t>CA</w:t>
            </w: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56"/>
        </w:trPr>
        <w:tc>
          <w:tcPr>
            <w:tcW w:w="1240" w:type="dxa"/>
            <w:vAlign w:val="bottom"/>
            <w:gridSpan w:val="4"/>
            <w:shd w:val="clear" w:color="auto" w:fill="CCEEFF"/>
          </w:tcPr>
          <w:p>
            <w:pPr>
              <w:ind w:left="20"/>
              <w:spacing w:after="0"/>
              <w:rPr>
                <w:sz w:val="20"/>
                <w:szCs w:val="20"/>
                <w:color w:val="auto"/>
              </w:rPr>
            </w:pPr>
            <w:r>
              <w:rPr>
                <w:rFonts w:ascii="Arial" w:cs="Arial" w:eastAsia="Arial" w:hAnsi="Arial"/>
                <w:sz w:val="13"/>
                <w:szCs w:val="13"/>
                <w:color w:val="auto"/>
                <w:w w:val="93"/>
              </w:rPr>
              <w:t>Hastings Ranch Plaza</w:t>
            </w:r>
          </w:p>
        </w:tc>
        <w:tc>
          <w:tcPr>
            <w:tcW w:w="440" w:type="dxa"/>
            <w:vAlign w:val="bottom"/>
            <w:shd w:val="clear" w:color="auto" w:fill="CCEEFF"/>
          </w:tcPr>
          <w:p>
            <w:pPr>
              <w:spacing w:after="0"/>
              <w:rPr>
                <w:sz w:val="13"/>
                <w:szCs w:val="13"/>
                <w:color w:val="auto"/>
              </w:rPr>
            </w:pPr>
          </w:p>
        </w:tc>
        <w:tc>
          <w:tcPr>
            <w:tcW w:w="1940" w:type="dxa"/>
            <w:vAlign w:val="bottom"/>
            <w:shd w:val="clear" w:color="auto" w:fill="CCEEFF"/>
          </w:tcPr>
          <w:p>
            <w:pPr>
              <w:ind w:left="40"/>
              <w:spacing w:after="0"/>
              <w:rPr>
                <w:sz w:val="20"/>
                <w:szCs w:val="20"/>
                <w:color w:val="auto"/>
              </w:rPr>
            </w:pPr>
            <w:r>
              <w:rPr>
                <w:rFonts w:ascii="Arial" w:cs="Arial" w:eastAsia="Arial" w:hAnsi="Arial"/>
                <w:sz w:val="13"/>
                <w:szCs w:val="13"/>
                <w:color w:val="auto"/>
                <w:w w:val="91"/>
              </w:rPr>
              <w:t>Los Angeles-Long Beach-Anaheim,</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22,472</w:t>
            </w:r>
          </w:p>
        </w:tc>
        <w:tc>
          <w:tcPr>
            <w:tcW w:w="66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w:t>
            </w: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273,000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80" w:type="dxa"/>
            <w:vAlign w:val="bottom"/>
            <w:shd w:val="clear" w:color="auto" w:fill="CCEEFF"/>
          </w:tcPr>
          <w:p>
            <w:pPr>
              <w:ind w:left="60"/>
              <w:spacing w:after="0"/>
              <w:rPr>
                <w:sz w:val="20"/>
                <w:szCs w:val="20"/>
                <w:color w:val="auto"/>
              </w:rPr>
            </w:pPr>
            <w:r>
              <w:rPr>
                <w:rFonts w:ascii="Arial" w:cs="Arial" w:eastAsia="Arial" w:hAnsi="Arial"/>
                <w:sz w:val="13"/>
                <w:szCs w:val="13"/>
                <w:color w:val="auto"/>
                <w:w w:val="99"/>
              </w:rPr>
              <w:t>Marshalls / HomeGoods / CVS / Sears</w:t>
            </w:r>
          </w:p>
        </w:tc>
      </w:tr>
      <w:tr>
        <w:trPr>
          <w:trHeight w:val="176"/>
        </w:trPr>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940" w:type="dxa"/>
            <w:vAlign w:val="bottom"/>
            <w:shd w:val="clear" w:color="auto" w:fill="CCEEFF"/>
          </w:tcPr>
          <w:p>
            <w:pPr>
              <w:ind w:left="40"/>
              <w:spacing w:after="0"/>
              <w:rPr>
                <w:sz w:val="20"/>
                <w:szCs w:val="20"/>
                <w:color w:val="auto"/>
              </w:rPr>
            </w:pPr>
            <w:r>
              <w:rPr>
                <w:rFonts w:ascii="Arial" w:cs="Arial" w:eastAsia="Arial" w:hAnsi="Arial"/>
                <w:sz w:val="13"/>
                <w:szCs w:val="13"/>
                <w:color w:val="auto"/>
              </w:rPr>
              <w:t>CA</w:t>
            </w: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r>
      <w:tr>
        <w:trPr>
          <w:trHeight w:val="148"/>
        </w:trPr>
        <w:tc>
          <w:tcPr>
            <w:tcW w:w="1240" w:type="dxa"/>
            <w:vAlign w:val="bottom"/>
            <w:gridSpan w:val="4"/>
          </w:tcPr>
          <w:p>
            <w:pPr>
              <w:ind w:left="20"/>
              <w:spacing w:after="0" w:line="148" w:lineRule="exact"/>
              <w:rPr>
                <w:sz w:val="20"/>
                <w:szCs w:val="20"/>
                <w:color w:val="auto"/>
              </w:rPr>
            </w:pPr>
            <w:r>
              <w:rPr>
                <w:rFonts w:ascii="Arial" w:cs="Arial" w:eastAsia="Arial" w:hAnsi="Arial"/>
                <w:sz w:val="13"/>
                <w:szCs w:val="13"/>
                <w:color w:val="auto"/>
              </w:rPr>
              <w:t>Hermosa Avenue</w:t>
            </w:r>
          </w:p>
        </w:tc>
        <w:tc>
          <w:tcPr>
            <w:tcW w:w="440" w:type="dxa"/>
            <w:vAlign w:val="bottom"/>
          </w:tcPr>
          <w:p>
            <w:pPr>
              <w:spacing w:after="0"/>
              <w:rPr>
                <w:sz w:val="12"/>
                <w:szCs w:val="12"/>
                <w:color w:val="auto"/>
              </w:rPr>
            </w:pPr>
          </w:p>
        </w:tc>
        <w:tc>
          <w:tcPr>
            <w:tcW w:w="1940" w:type="dxa"/>
            <w:vAlign w:val="bottom"/>
          </w:tcPr>
          <w:p>
            <w:pPr>
              <w:ind w:left="40"/>
              <w:spacing w:after="0" w:line="148" w:lineRule="exact"/>
              <w:rPr>
                <w:sz w:val="20"/>
                <w:szCs w:val="20"/>
                <w:color w:val="auto"/>
              </w:rPr>
            </w:pPr>
            <w:r>
              <w:rPr>
                <w:rFonts w:ascii="Arial" w:cs="Arial" w:eastAsia="Arial" w:hAnsi="Arial"/>
                <w:sz w:val="13"/>
                <w:szCs w:val="13"/>
                <w:color w:val="auto"/>
                <w:w w:val="91"/>
              </w:rPr>
              <w:t>Los Angeles-Long Beach-Anaheim,</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6,030</w:t>
            </w:r>
          </w:p>
        </w:tc>
        <w:tc>
          <w:tcPr>
            <w:tcW w:w="660" w:type="dxa"/>
            <w:vAlign w:val="bottom"/>
          </w:tcPr>
          <w:p>
            <w:pPr>
              <w:spacing w:after="0"/>
              <w:rPr>
                <w:sz w:val="12"/>
                <w:szCs w:val="12"/>
                <w:color w:val="auto"/>
              </w:rPr>
            </w:pP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&lt;1</w:t>
            </w:r>
          </w:p>
        </w:tc>
        <w:tc>
          <w:tcPr>
            <w:tcW w:w="120" w:type="dxa"/>
            <w:vAlign w:val="bottom"/>
          </w:tcPr>
          <w:p>
            <w:pPr>
              <w:spacing w:after="0"/>
              <w:rPr>
                <w:sz w:val="12"/>
                <w:szCs w:val="12"/>
                <w:color w:val="auto"/>
              </w:rPr>
            </w:pP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23,000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81%</w:t>
            </w: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80" w:type="dxa"/>
            <w:vAlign w:val="bottom"/>
          </w:tcPr>
          <w:p>
            <w:pPr>
              <w:spacing w:after="0"/>
              <w:rPr>
                <w:sz w:val="12"/>
                <w:szCs w:val="12"/>
                <w:color w:val="auto"/>
              </w:rPr>
            </w:pPr>
          </w:p>
        </w:tc>
      </w:tr>
      <w:tr>
        <w:trPr>
          <w:trHeight w:val="168"/>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40" w:type="dxa"/>
            <w:vAlign w:val="bottom"/>
          </w:tcPr>
          <w:p>
            <w:pPr>
              <w:ind w:left="40"/>
              <w:spacing w:after="0"/>
              <w:rPr>
                <w:sz w:val="20"/>
                <w:szCs w:val="20"/>
                <w:color w:val="auto"/>
              </w:rPr>
            </w:pPr>
            <w:r>
              <w:rPr>
                <w:rFonts w:ascii="Arial" w:cs="Arial" w:eastAsia="Arial" w:hAnsi="Arial"/>
                <w:sz w:val="13"/>
                <w:szCs w:val="13"/>
                <w:color w:val="auto"/>
              </w:rPr>
              <w:t>CA</w:t>
            </w: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56"/>
        </w:trPr>
        <w:tc>
          <w:tcPr>
            <w:tcW w:w="1240" w:type="dxa"/>
            <w:vAlign w:val="bottom"/>
            <w:gridSpan w:val="4"/>
            <w:shd w:val="clear" w:color="auto" w:fill="CCEEFF"/>
          </w:tcPr>
          <w:p>
            <w:pPr>
              <w:ind w:left="20"/>
              <w:spacing w:after="0"/>
              <w:rPr>
                <w:sz w:val="20"/>
                <w:szCs w:val="20"/>
                <w:color w:val="auto"/>
              </w:rPr>
            </w:pPr>
            <w:r>
              <w:rPr>
                <w:rFonts w:ascii="Arial" w:cs="Arial" w:eastAsia="Arial" w:hAnsi="Arial"/>
                <w:sz w:val="13"/>
                <w:szCs w:val="13"/>
                <w:color w:val="auto"/>
              </w:rPr>
              <w:t>Hollywood Blvd</w:t>
            </w:r>
          </w:p>
        </w:tc>
        <w:tc>
          <w:tcPr>
            <w:tcW w:w="440" w:type="dxa"/>
            <w:vAlign w:val="bottom"/>
            <w:shd w:val="clear" w:color="auto" w:fill="CCEEFF"/>
          </w:tcPr>
          <w:p>
            <w:pPr>
              <w:spacing w:after="0"/>
              <w:rPr>
                <w:sz w:val="13"/>
                <w:szCs w:val="13"/>
                <w:color w:val="auto"/>
              </w:rPr>
            </w:pPr>
          </w:p>
        </w:tc>
        <w:tc>
          <w:tcPr>
            <w:tcW w:w="1940" w:type="dxa"/>
            <w:vAlign w:val="bottom"/>
            <w:shd w:val="clear" w:color="auto" w:fill="CCEEFF"/>
          </w:tcPr>
          <w:p>
            <w:pPr>
              <w:ind w:left="40"/>
              <w:spacing w:after="0"/>
              <w:rPr>
                <w:sz w:val="20"/>
                <w:szCs w:val="20"/>
                <w:color w:val="auto"/>
              </w:rPr>
            </w:pPr>
            <w:r>
              <w:rPr>
                <w:rFonts w:ascii="Arial" w:cs="Arial" w:eastAsia="Arial" w:hAnsi="Arial"/>
                <w:sz w:val="13"/>
                <w:szCs w:val="13"/>
                <w:color w:val="auto"/>
                <w:w w:val="91"/>
              </w:rPr>
              <w:t>Los Angeles-Long Beach-Anaheim,</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46,761</w:t>
            </w:r>
          </w:p>
        </w:tc>
        <w:tc>
          <w:tcPr>
            <w:tcW w:w="66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180,000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80" w:type="dxa"/>
            <w:vAlign w:val="bottom"/>
            <w:shd w:val="clear" w:color="auto" w:fill="CCEEFF"/>
          </w:tcPr>
          <w:p>
            <w:pPr>
              <w:ind w:left="60"/>
              <w:spacing w:after="0"/>
              <w:rPr>
                <w:sz w:val="20"/>
                <w:szCs w:val="20"/>
                <w:color w:val="auto"/>
              </w:rPr>
            </w:pPr>
            <w:r>
              <w:rPr>
                <w:rFonts w:ascii="Arial" w:cs="Arial" w:eastAsia="Arial" w:hAnsi="Arial"/>
                <w:sz w:val="13"/>
                <w:szCs w:val="13"/>
                <w:color w:val="auto"/>
              </w:rPr>
              <w:t>Marshalls / DSW / L.A. Fitness / La La</w:t>
            </w:r>
          </w:p>
        </w:tc>
      </w:tr>
      <w:tr>
        <w:trPr>
          <w:trHeight w:val="176"/>
        </w:trPr>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940" w:type="dxa"/>
            <w:vAlign w:val="bottom"/>
            <w:shd w:val="clear" w:color="auto" w:fill="CCEEFF"/>
          </w:tcPr>
          <w:p>
            <w:pPr>
              <w:ind w:left="40"/>
              <w:spacing w:after="0"/>
              <w:rPr>
                <w:sz w:val="20"/>
                <w:szCs w:val="20"/>
                <w:color w:val="auto"/>
              </w:rPr>
            </w:pPr>
            <w:r>
              <w:rPr>
                <w:rFonts w:ascii="Arial" w:cs="Arial" w:eastAsia="Arial" w:hAnsi="Arial"/>
                <w:sz w:val="13"/>
                <w:szCs w:val="13"/>
                <w:color w:val="auto"/>
              </w:rPr>
              <w:t>CA</w:t>
            </w: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80" w:type="dxa"/>
            <w:vAlign w:val="bottom"/>
            <w:shd w:val="clear" w:color="auto" w:fill="CCEEFF"/>
          </w:tcPr>
          <w:p>
            <w:pPr>
              <w:ind w:left="60"/>
              <w:spacing w:after="0"/>
              <w:rPr>
                <w:sz w:val="20"/>
                <w:szCs w:val="20"/>
                <w:color w:val="auto"/>
              </w:rPr>
            </w:pPr>
            <w:r>
              <w:rPr>
                <w:rFonts w:ascii="Arial" w:cs="Arial" w:eastAsia="Arial" w:hAnsi="Arial"/>
                <w:sz w:val="13"/>
                <w:szCs w:val="13"/>
                <w:color w:val="auto"/>
              </w:rPr>
              <w:t>Land</w:t>
            </w:r>
          </w:p>
        </w:tc>
      </w:tr>
      <w:tr>
        <w:trPr>
          <w:trHeight w:val="148"/>
        </w:trPr>
        <w:tc>
          <w:tcPr>
            <w:tcW w:w="1240" w:type="dxa"/>
            <w:vAlign w:val="bottom"/>
            <w:gridSpan w:val="4"/>
          </w:tcPr>
          <w:p>
            <w:pPr>
              <w:ind w:left="20"/>
              <w:spacing w:after="0" w:line="148" w:lineRule="exact"/>
              <w:rPr>
                <w:sz w:val="20"/>
                <w:szCs w:val="20"/>
                <w:color w:val="auto"/>
              </w:rPr>
            </w:pPr>
            <w:r>
              <w:rPr>
                <w:rFonts w:ascii="Arial" w:cs="Arial" w:eastAsia="Arial" w:hAnsi="Arial"/>
                <w:sz w:val="13"/>
                <w:szCs w:val="13"/>
                <w:color w:val="auto"/>
              </w:rPr>
              <w:t>Kings Court</w:t>
            </w:r>
          </w:p>
        </w:tc>
        <w:tc>
          <w:tcPr>
            <w:tcW w:w="440" w:type="dxa"/>
            <w:vAlign w:val="bottom"/>
          </w:tcPr>
          <w:p>
            <w:pPr>
              <w:jc w:val="center"/>
              <w:spacing w:after="0" w:line="148" w:lineRule="exact"/>
              <w:rPr>
                <w:sz w:val="20"/>
                <w:szCs w:val="20"/>
                <w:color w:val="auto"/>
              </w:rPr>
            </w:pPr>
            <w:r>
              <w:rPr>
                <w:rFonts w:ascii="Arial" w:cs="Arial" w:eastAsia="Arial" w:hAnsi="Arial"/>
                <w:sz w:val="13"/>
                <w:szCs w:val="13"/>
                <w:color w:val="auto"/>
              </w:rPr>
              <w:t>(5)</w:t>
            </w:r>
          </w:p>
        </w:tc>
        <w:tc>
          <w:tcPr>
            <w:tcW w:w="1940" w:type="dxa"/>
            <w:vAlign w:val="bottom"/>
          </w:tcPr>
          <w:p>
            <w:pPr>
              <w:ind w:left="40"/>
              <w:spacing w:after="0" w:line="148" w:lineRule="exact"/>
              <w:rPr>
                <w:sz w:val="20"/>
                <w:szCs w:val="20"/>
                <w:color w:val="auto"/>
              </w:rPr>
            </w:pPr>
            <w:r>
              <w:rPr>
                <w:rFonts w:ascii="Arial" w:cs="Arial" w:eastAsia="Arial" w:hAnsi="Arial"/>
                <w:sz w:val="13"/>
                <w:szCs w:val="13"/>
                <w:color w:val="auto"/>
              </w:rPr>
              <w:t>San Jose, CA</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11,667</w:t>
            </w:r>
          </w:p>
        </w:tc>
        <w:tc>
          <w:tcPr>
            <w:tcW w:w="660" w:type="dxa"/>
            <w:vAlign w:val="bottom"/>
          </w:tcPr>
          <w:p>
            <w:pPr>
              <w:spacing w:after="0"/>
              <w:rPr>
                <w:sz w:val="12"/>
                <w:szCs w:val="12"/>
                <w:color w:val="auto"/>
              </w:rPr>
            </w:pP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8</w:t>
            </w:r>
          </w:p>
        </w:tc>
        <w:tc>
          <w:tcPr>
            <w:tcW w:w="120" w:type="dxa"/>
            <w:vAlign w:val="bottom"/>
          </w:tcPr>
          <w:p>
            <w:pPr>
              <w:spacing w:after="0"/>
              <w:rPr>
                <w:sz w:val="12"/>
                <w:szCs w:val="12"/>
                <w:color w:val="auto"/>
              </w:rPr>
            </w:pP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79,000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8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31,000</w:t>
            </w:r>
          </w:p>
        </w:tc>
        <w:tc>
          <w:tcPr>
            <w:tcW w:w="920" w:type="dxa"/>
            <w:vAlign w:val="bottom"/>
          </w:tcPr>
          <w:p>
            <w:pPr>
              <w:ind w:left="80"/>
              <w:spacing w:after="0" w:line="148" w:lineRule="exact"/>
              <w:rPr>
                <w:sz w:val="20"/>
                <w:szCs w:val="20"/>
                <w:color w:val="auto"/>
              </w:rPr>
            </w:pPr>
            <w:r>
              <w:rPr>
                <w:rFonts w:ascii="Arial" w:cs="Arial" w:eastAsia="Arial" w:hAnsi="Arial"/>
                <w:sz w:val="13"/>
                <w:szCs w:val="13"/>
                <w:color w:val="auto"/>
                <w:w w:val="90"/>
              </w:rPr>
              <w:t>Lunardi's Super</w:t>
            </w:r>
          </w:p>
        </w:tc>
        <w:tc>
          <w:tcPr>
            <w:tcW w:w="2280" w:type="dxa"/>
            <w:vAlign w:val="bottom"/>
          </w:tcPr>
          <w:p>
            <w:pPr>
              <w:ind w:left="60"/>
              <w:spacing w:after="0" w:line="148" w:lineRule="exact"/>
              <w:rPr>
                <w:sz w:val="20"/>
                <w:szCs w:val="20"/>
                <w:color w:val="auto"/>
              </w:rPr>
            </w:pPr>
            <w:r>
              <w:rPr>
                <w:rFonts w:ascii="Arial" w:cs="Arial" w:eastAsia="Arial" w:hAnsi="Arial"/>
                <w:sz w:val="13"/>
                <w:szCs w:val="13"/>
                <w:color w:val="auto"/>
              </w:rPr>
              <w:t>CVS</w:t>
            </w:r>
          </w:p>
        </w:tc>
      </w:tr>
      <w:tr>
        <w:trPr>
          <w:trHeight w:val="168"/>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ind w:left="80"/>
              <w:spacing w:after="0"/>
              <w:rPr>
                <w:sz w:val="20"/>
                <w:szCs w:val="20"/>
                <w:color w:val="auto"/>
              </w:rPr>
            </w:pPr>
            <w:r>
              <w:rPr>
                <w:rFonts w:ascii="Arial" w:cs="Arial" w:eastAsia="Arial" w:hAnsi="Arial"/>
                <w:sz w:val="13"/>
                <w:szCs w:val="13"/>
                <w:color w:val="auto"/>
              </w:rPr>
              <w:t>Market</w:t>
            </w:r>
          </w:p>
        </w:tc>
        <w:tc>
          <w:tcPr>
            <w:tcW w:w="2280" w:type="dxa"/>
            <w:vAlign w:val="bottom"/>
          </w:tcPr>
          <w:p>
            <w:pPr>
              <w:spacing w:after="0"/>
              <w:rPr>
                <w:sz w:val="14"/>
                <w:szCs w:val="14"/>
                <w:color w:val="auto"/>
              </w:rPr>
            </w:pPr>
          </w:p>
        </w:tc>
      </w:tr>
      <w:tr>
        <w:trPr>
          <w:trHeight w:val="181"/>
        </w:trPr>
        <w:tc>
          <w:tcPr>
            <w:tcW w:w="1240" w:type="dxa"/>
            <w:vAlign w:val="bottom"/>
            <w:gridSpan w:val="4"/>
            <w:shd w:val="clear" w:color="auto" w:fill="CCEEFF"/>
          </w:tcPr>
          <w:p>
            <w:pPr>
              <w:ind w:left="20"/>
              <w:spacing w:after="0"/>
              <w:rPr>
                <w:sz w:val="20"/>
                <w:szCs w:val="20"/>
                <w:color w:val="auto"/>
              </w:rPr>
            </w:pPr>
            <w:r>
              <w:rPr>
                <w:rFonts w:ascii="Arial" w:cs="Arial" w:eastAsia="Arial" w:hAnsi="Arial"/>
                <w:sz w:val="13"/>
                <w:szCs w:val="13"/>
                <w:color w:val="auto"/>
              </w:rPr>
              <w:t>Old Town Center</w:t>
            </w:r>
          </w:p>
        </w:tc>
        <w:tc>
          <w:tcPr>
            <w:tcW w:w="440" w:type="dxa"/>
            <w:vAlign w:val="bottom"/>
            <w:shd w:val="clear" w:color="auto" w:fill="CCEEFF"/>
          </w:tcPr>
          <w:p>
            <w:pPr>
              <w:spacing w:after="0"/>
              <w:rPr>
                <w:sz w:val="15"/>
                <w:szCs w:val="15"/>
                <w:color w:val="auto"/>
              </w:rPr>
            </w:pPr>
          </w:p>
        </w:tc>
        <w:tc>
          <w:tcPr>
            <w:tcW w:w="1940" w:type="dxa"/>
            <w:vAlign w:val="bottom"/>
            <w:shd w:val="clear" w:color="auto" w:fill="CCEEFF"/>
          </w:tcPr>
          <w:p>
            <w:pPr>
              <w:ind w:left="40"/>
              <w:spacing w:after="0"/>
              <w:rPr>
                <w:sz w:val="20"/>
                <w:szCs w:val="20"/>
                <w:color w:val="auto"/>
              </w:rPr>
            </w:pPr>
            <w:r>
              <w:rPr>
                <w:rFonts w:ascii="Arial" w:cs="Arial" w:eastAsia="Arial" w:hAnsi="Arial"/>
                <w:sz w:val="13"/>
                <w:szCs w:val="13"/>
                <w:color w:val="auto"/>
              </w:rPr>
              <w:t>San Jose, CA</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37,169</w:t>
            </w: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98,000</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80" w:type="dxa"/>
            <w:vAlign w:val="bottom"/>
            <w:shd w:val="clear" w:color="auto" w:fill="CCEEFF"/>
          </w:tcPr>
          <w:p>
            <w:pPr>
              <w:ind w:left="60"/>
              <w:spacing w:after="0"/>
              <w:rPr>
                <w:sz w:val="20"/>
                <w:szCs w:val="20"/>
                <w:color w:val="auto"/>
              </w:rPr>
            </w:pPr>
            <w:r>
              <w:rPr>
                <w:rFonts w:ascii="Arial" w:cs="Arial" w:eastAsia="Arial" w:hAnsi="Arial"/>
                <w:sz w:val="13"/>
                <w:szCs w:val="13"/>
                <w:color w:val="auto"/>
                <w:w w:val="97"/>
              </w:rPr>
              <w:t>Anthropologie / Banana Republic / Gap</w:t>
            </w:r>
          </w:p>
        </w:tc>
      </w:tr>
      <w:tr>
        <w:trPr>
          <w:trHeight w:val="97"/>
        </w:trPr>
        <w:tc>
          <w:tcPr>
            <w:tcW w:w="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94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2280" w:type="dxa"/>
            <w:vAlign w:val="bottom"/>
            <w:shd w:val="clear" w:color="auto" w:fill="CCEEFF"/>
          </w:tcPr>
          <w:p>
            <w:pPr>
              <w:spacing w:after="0"/>
              <w:rPr>
                <w:sz w:val="8"/>
                <w:szCs w:val="8"/>
                <w:color w:val="auto"/>
              </w:rPr>
            </w:pPr>
          </w:p>
        </w:tc>
      </w:tr>
      <w:tr>
        <w:trPr>
          <w:trHeight w:val="148"/>
        </w:trPr>
        <w:tc>
          <w:tcPr>
            <w:tcW w:w="1240" w:type="dxa"/>
            <w:vAlign w:val="bottom"/>
            <w:gridSpan w:val="4"/>
          </w:tcPr>
          <w:p>
            <w:pPr>
              <w:ind w:left="20"/>
              <w:spacing w:after="0" w:line="148" w:lineRule="exact"/>
              <w:rPr>
                <w:sz w:val="20"/>
                <w:szCs w:val="20"/>
                <w:color w:val="auto"/>
              </w:rPr>
            </w:pPr>
            <w:r>
              <w:rPr>
                <w:rFonts w:ascii="Arial" w:cs="Arial" w:eastAsia="Arial" w:hAnsi="Arial"/>
                <w:sz w:val="13"/>
                <w:szCs w:val="13"/>
                <w:color w:val="auto"/>
              </w:rPr>
              <w:t>Olivo at Mission Hills</w:t>
            </w:r>
          </w:p>
        </w:tc>
        <w:tc>
          <w:tcPr>
            <w:tcW w:w="440" w:type="dxa"/>
            <w:vAlign w:val="bottom"/>
          </w:tcPr>
          <w:p>
            <w:pPr>
              <w:jc w:val="center"/>
              <w:spacing w:after="0" w:line="148" w:lineRule="exact"/>
              <w:rPr>
                <w:sz w:val="20"/>
                <w:szCs w:val="20"/>
                <w:color w:val="auto"/>
              </w:rPr>
            </w:pPr>
            <w:r>
              <w:rPr>
                <w:rFonts w:ascii="Arial" w:cs="Arial" w:eastAsia="Arial" w:hAnsi="Arial"/>
                <w:sz w:val="13"/>
                <w:szCs w:val="13"/>
                <w:color w:val="auto"/>
                <w:w w:val="90"/>
              </w:rPr>
              <w:t>(3) (8)</w:t>
            </w:r>
          </w:p>
        </w:tc>
        <w:tc>
          <w:tcPr>
            <w:tcW w:w="1940" w:type="dxa"/>
            <w:vAlign w:val="bottom"/>
          </w:tcPr>
          <w:p>
            <w:pPr>
              <w:ind w:left="40"/>
              <w:spacing w:after="0" w:line="148" w:lineRule="exact"/>
              <w:rPr>
                <w:sz w:val="20"/>
                <w:szCs w:val="20"/>
                <w:color w:val="auto"/>
              </w:rPr>
            </w:pPr>
            <w:r>
              <w:rPr>
                <w:rFonts w:ascii="Arial" w:cs="Arial" w:eastAsia="Arial" w:hAnsi="Arial"/>
                <w:sz w:val="13"/>
                <w:szCs w:val="13"/>
                <w:color w:val="auto"/>
                <w:w w:val="91"/>
              </w:rPr>
              <w:t>Los Angeles-Long Beach-Anaheim,</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66,802</w:t>
            </w:r>
          </w:p>
        </w:tc>
        <w:tc>
          <w:tcPr>
            <w:tcW w:w="660" w:type="dxa"/>
            <w:vAlign w:val="bottom"/>
          </w:tcPr>
          <w:p>
            <w:pPr>
              <w:spacing w:after="0"/>
              <w:rPr>
                <w:sz w:val="12"/>
                <w:szCs w:val="12"/>
                <w:color w:val="auto"/>
              </w:rPr>
            </w:pP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12</w:t>
            </w:r>
          </w:p>
        </w:tc>
        <w:tc>
          <w:tcPr>
            <w:tcW w:w="120" w:type="dxa"/>
            <w:vAlign w:val="bottom"/>
          </w:tcPr>
          <w:p>
            <w:pPr>
              <w:spacing w:after="0"/>
              <w:rPr>
                <w:sz w:val="12"/>
                <w:szCs w:val="12"/>
                <w:color w:val="auto"/>
              </w:rPr>
            </w:pP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20,000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80" w:type="dxa"/>
            <w:vAlign w:val="bottom"/>
          </w:tcPr>
          <w:p>
            <w:pPr>
              <w:ind w:left="60"/>
              <w:spacing w:after="0" w:line="148" w:lineRule="exact"/>
              <w:rPr>
                <w:sz w:val="20"/>
                <w:szCs w:val="20"/>
                <w:color w:val="auto"/>
              </w:rPr>
            </w:pPr>
            <w:r>
              <w:rPr>
                <w:rFonts w:ascii="Arial" w:cs="Arial" w:eastAsia="Arial" w:hAnsi="Arial"/>
                <w:sz w:val="13"/>
                <w:szCs w:val="13"/>
                <w:color w:val="auto"/>
              </w:rPr>
              <w:t>Fallas Stores</w:t>
            </w:r>
          </w:p>
        </w:tc>
      </w:tr>
      <w:tr>
        <w:trPr>
          <w:trHeight w:val="168"/>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40" w:type="dxa"/>
            <w:vAlign w:val="bottom"/>
          </w:tcPr>
          <w:p>
            <w:pPr>
              <w:ind w:left="40"/>
              <w:spacing w:after="0"/>
              <w:rPr>
                <w:sz w:val="20"/>
                <w:szCs w:val="20"/>
                <w:color w:val="auto"/>
              </w:rPr>
            </w:pPr>
            <w:r>
              <w:rPr>
                <w:rFonts w:ascii="Arial" w:cs="Arial" w:eastAsia="Arial" w:hAnsi="Arial"/>
                <w:sz w:val="13"/>
                <w:szCs w:val="13"/>
                <w:color w:val="auto"/>
              </w:rPr>
              <w:t>CA</w:t>
            </w: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56"/>
        </w:trPr>
        <w:tc>
          <w:tcPr>
            <w:tcW w:w="1240" w:type="dxa"/>
            <w:vAlign w:val="bottom"/>
            <w:gridSpan w:val="4"/>
            <w:shd w:val="clear" w:color="auto" w:fill="CCEEFF"/>
          </w:tcPr>
          <w:p>
            <w:pPr>
              <w:ind w:left="20"/>
              <w:spacing w:after="0"/>
              <w:rPr>
                <w:sz w:val="20"/>
                <w:szCs w:val="20"/>
                <w:color w:val="auto"/>
              </w:rPr>
            </w:pPr>
            <w:r>
              <w:rPr>
                <w:rFonts w:ascii="Arial" w:cs="Arial" w:eastAsia="Arial" w:hAnsi="Arial"/>
                <w:sz w:val="13"/>
                <w:szCs w:val="13"/>
                <w:color w:val="auto"/>
              </w:rPr>
              <w:t>Plaza Del Sol</w:t>
            </w:r>
          </w:p>
        </w:tc>
        <w:tc>
          <w:tcPr>
            <w:tcW w:w="44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(3)</w:t>
            </w:r>
          </w:p>
        </w:tc>
        <w:tc>
          <w:tcPr>
            <w:tcW w:w="1940" w:type="dxa"/>
            <w:vAlign w:val="bottom"/>
            <w:shd w:val="clear" w:color="auto" w:fill="CCEEFF"/>
          </w:tcPr>
          <w:p>
            <w:pPr>
              <w:ind w:left="40"/>
              <w:spacing w:after="0"/>
              <w:rPr>
                <w:sz w:val="20"/>
                <w:szCs w:val="20"/>
                <w:color w:val="auto"/>
              </w:rPr>
            </w:pPr>
            <w:r>
              <w:rPr>
                <w:rFonts w:ascii="Arial" w:cs="Arial" w:eastAsia="Arial" w:hAnsi="Arial"/>
                <w:sz w:val="13"/>
                <w:szCs w:val="13"/>
                <w:color w:val="auto"/>
                <w:w w:val="91"/>
              </w:rPr>
              <w:t>Los Angeles-Long Beach-Anaheim,</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17,936</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8,621</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48,000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80" w:type="dxa"/>
            <w:vAlign w:val="bottom"/>
            <w:shd w:val="clear" w:color="auto" w:fill="CCEEFF"/>
          </w:tcPr>
          <w:p>
            <w:pPr>
              <w:ind w:left="60"/>
              <w:spacing w:after="0"/>
              <w:rPr>
                <w:sz w:val="20"/>
                <w:szCs w:val="20"/>
                <w:color w:val="auto"/>
              </w:rPr>
            </w:pPr>
            <w:r>
              <w:rPr>
                <w:rFonts w:ascii="Arial" w:cs="Arial" w:eastAsia="Arial" w:hAnsi="Arial"/>
                <w:sz w:val="13"/>
                <w:szCs w:val="13"/>
                <w:color w:val="auto"/>
              </w:rPr>
              <w:t>Marshalls</w:t>
            </w:r>
          </w:p>
        </w:tc>
      </w:tr>
      <w:tr>
        <w:trPr>
          <w:trHeight w:val="176"/>
        </w:trPr>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940" w:type="dxa"/>
            <w:vAlign w:val="bottom"/>
            <w:shd w:val="clear" w:color="auto" w:fill="CCEEFF"/>
          </w:tcPr>
          <w:p>
            <w:pPr>
              <w:ind w:left="40"/>
              <w:spacing w:after="0"/>
              <w:rPr>
                <w:sz w:val="20"/>
                <w:szCs w:val="20"/>
                <w:color w:val="auto"/>
              </w:rPr>
            </w:pPr>
            <w:r>
              <w:rPr>
                <w:rFonts w:ascii="Arial" w:cs="Arial" w:eastAsia="Arial" w:hAnsi="Arial"/>
                <w:sz w:val="13"/>
                <w:szCs w:val="13"/>
                <w:color w:val="auto"/>
              </w:rPr>
              <w:t>CA</w:t>
            </w: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r>
      <w:tr>
        <w:trPr>
          <w:trHeight w:val="148"/>
        </w:trPr>
        <w:tc>
          <w:tcPr>
            <w:tcW w:w="1240" w:type="dxa"/>
            <w:vAlign w:val="bottom"/>
            <w:gridSpan w:val="4"/>
          </w:tcPr>
          <w:p>
            <w:pPr>
              <w:ind w:left="20"/>
              <w:spacing w:after="0" w:line="148" w:lineRule="exact"/>
              <w:rPr>
                <w:sz w:val="20"/>
                <w:szCs w:val="20"/>
                <w:color w:val="auto"/>
              </w:rPr>
            </w:pPr>
            <w:r>
              <w:rPr>
                <w:rFonts w:ascii="Arial" w:cs="Arial" w:eastAsia="Arial" w:hAnsi="Arial"/>
                <w:sz w:val="13"/>
                <w:szCs w:val="13"/>
                <w:color w:val="auto"/>
              </w:rPr>
              <w:t>Plaza Pacoima</w:t>
            </w:r>
          </w:p>
        </w:tc>
        <w:tc>
          <w:tcPr>
            <w:tcW w:w="440" w:type="dxa"/>
            <w:vAlign w:val="bottom"/>
          </w:tcPr>
          <w:p>
            <w:pPr>
              <w:jc w:val="center"/>
              <w:spacing w:after="0" w:line="148" w:lineRule="exact"/>
              <w:rPr>
                <w:sz w:val="20"/>
                <w:szCs w:val="20"/>
                <w:color w:val="auto"/>
              </w:rPr>
            </w:pPr>
            <w:r>
              <w:rPr>
                <w:rFonts w:ascii="Arial" w:cs="Arial" w:eastAsia="Arial" w:hAnsi="Arial"/>
                <w:sz w:val="13"/>
                <w:szCs w:val="13"/>
                <w:color w:val="auto"/>
              </w:rPr>
              <w:t>(3)</w:t>
            </w:r>
          </w:p>
        </w:tc>
        <w:tc>
          <w:tcPr>
            <w:tcW w:w="1940" w:type="dxa"/>
            <w:vAlign w:val="bottom"/>
          </w:tcPr>
          <w:p>
            <w:pPr>
              <w:ind w:left="40"/>
              <w:spacing w:after="0" w:line="148" w:lineRule="exact"/>
              <w:rPr>
                <w:sz w:val="20"/>
                <w:szCs w:val="20"/>
                <w:color w:val="auto"/>
              </w:rPr>
            </w:pPr>
            <w:r>
              <w:rPr>
                <w:rFonts w:ascii="Arial" w:cs="Arial" w:eastAsia="Arial" w:hAnsi="Arial"/>
                <w:sz w:val="13"/>
                <w:szCs w:val="13"/>
                <w:color w:val="auto"/>
                <w:w w:val="91"/>
              </w:rPr>
              <w:t>Los Angeles-Long Beach-Anaheim,</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50,362</w:t>
            </w:r>
          </w:p>
        </w:tc>
        <w:tc>
          <w:tcPr>
            <w:tcW w:w="660" w:type="dxa"/>
            <w:vAlign w:val="bottom"/>
          </w:tcPr>
          <w:p>
            <w:pPr>
              <w:spacing w:after="0"/>
              <w:rPr>
                <w:sz w:val="12"/>
                <w:szCs w:val="12"/>
                <w:color w:val="auto"/>
              </w:rPr>
            </w:pP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18</w:t>
            </w:r>
          </w:p>
        </w:tc>
        <w:tc>
          <w:tcPr>
            <w:tcW w:w="120" w:type="dxa"/>
            <w:vAlign w:val="bottom"/>
          </w:tcPr>
          <w:p>
            <w:pPr>
              <w:spacing w:after="0"/>
              <w:rPr>
                <w:sz w:val="12"/>
                <w:szCs w:val="12"/>
                <w:color w:val="auto"/>
              </w:rPr>
            </w:pP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204,000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80" w:type="dxa"/>
            <w:vAlign w:val="bottom"/>
          </w:tcPr>
          <w:p>
            <w:pPr>
              <w:ind w:left="60"/>
              <w:spacing w:after="0" w:line="148" w:lineRule="exact"/>
              <w:rPr>
                <w:sz w:val="20"/>
                <w:szCs w:val="20"/>
                <w:color w:val="auto"/>
              </w:rPr>
            </w:pPr>
            <w:r>
              <w:rPr>
                <w:rFonts w:ascii="Arial" w:cs="Arial" w:eastAsia="Arial" w:hAnsi="Arial"/>
                <w:sz w:val="13"/>
                <w:szCs w:val="13"/>
                <w:color w:val="auto"/>
              </w:rPr>
              <w:t>Costco / Best Buy</w:t>
            </w:r>
          </w:p>
        </w:tc>
      </w:tr>
      <w:tr>
        <w:trPr>
          <w:trHeight w:val="168"/>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40" w:type="dxa"/>
            <w:vAlign w:val="bottom"/>
          </w:tcPr>
          <w:p>
            <w:pPr>
              <w:ind w:left="40"/>
              <w:spacing w:after="0"/>
              <w:rPr>
                <w:sz w:val="20"/>
                <w:szCs w:val="20"/>
                <w:color w:val="auto"/>
              </w:rPr>
            </w:pPr>
            <w:r>
              <w:rPr>
                <w:rFonts w:ascii="Arial" w:cs="Arial" w:eastAsia="Arial" w:hAnsi="Arial"/>
                <w:sz w:val="13"/>
                <w:szCs w:val="13"/>
                <w:color w:val="auto"/>
              </w:rPr>
              <w:t>CA</w:t>
            </w: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56"/>
        </w:trPr>
        <w:tc>
          <w:tcPr>
            <w:tcW w:w="1240" w:type="dxa"/>
            <w:vAlign w:val="bottom"/>
            <w:gridSpan w:val="4"/>
            <w:shd w:val="clear" w:color="auto" w:fill="CCEEFF"/>
          </w:tcPr>
          <w:p>
            <w:pPr>
              <w:ind w:left="20"/>
              <w:spacing w:after="0"/>
              <w:rPr>
                <w:sz w:val="20"/>
                <w:szCs w:val="20"/>
                <w:color w:val="auto"/>
              </w:rPr>
            </w:pPr>
            <w:r>
              <w:rPr>
                <w:rFonts w:ascii="Arial" w:cs="Arial" w:eastAsia="Arial" w:hAnsi="Arial"/>
                <w:sz w:val="13"/>
                <w:szCs w:val="13"/>
                <w:color w:val="auto"/>
                <w:w w:val="87"/>
              </w:rPr>
              <w:t>Plaza El Segundo / The</w:t>
            </w:r>
          </w:p>
        </w:tc>
        <w:tc>
          <w:tcPr>
            <w:tcW w:w="44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(3)</w:t>
            </w:r>
          </w:p>
        </w:tc>
        <w:tc>
          <w:tcPr>
            <w:tcW w:w="1940" w:type="dxa"/>
            <w:vAlign w:val="bottom"/>
            <w:shd w:val="clear" w:color="auto" w:fill="CCEEFF"/>
          </w:tcPr>
          <w:p>
            <w:pPr>
              <w:ind w:left="40"/>
              <w:spacing w:after="0"/>
              <w:rPr>
                <w:sz w:val="20"/>
                <w:szCs w:val="20"/>
                <w:color w:val="auto"/>
              </w:rPr>
            </w:pPr>
            <w:r>
              <w:rPr>
                <w:rFonts w:ascii="Arial" w:cs="Arial" w:eastAsia="Arial" w:hAnsi="Arial"/>
                <w:sz w:val="13"/>
                <w:szCs w:val="13"/>
                <w:color w:val="auto"/>
                <w:w w:val="91"/>
              </w:rPr>
              <w:t>Los Angeles-Long Beach-Anaheim,</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280,533</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125,000</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50</w:t>
            </w: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495,000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66,000</w:t>
            </w:r>
          </w:p>
        </w:tc>
        <w:tc>
          <w:tcPr>
            <w:tcW w:w="920" w:type="dxa"/>
            <w:vAlign w:val="bottom"/>
            <w:shd w:val="clear" w:color="auto" w:fill="CCEEFF"/>
          </w:tcPr>
          <w:p>
            <w:pPr>
              <w:ind w:left="80"/>
              <w:spacing w:after="0"/>
              <w:rPr>
                <w:sz w:val="20"/>
                <w:szCs w:val="20"/>
                <w:color w:val="auto"/>
              </w:rPr>
            </w:pPr>
            <w:r>
              <w:rPr>
                <w:rFonts w:ascii="Arial" w:cs="Arial" w:eastAsia="Arial" w:hAnsi="Arial"/>
                <w:sz w:val="13"/>
                <w:szCs w:val="13"/>
                <w:color w:val="auto"/>
              </w:rPr>
              <w:t>Whole Foods</w:t>
            </w:r>
          </w:p>
        </w:tc>
        <w:tc>
          <w:tcPr>
            <w:tcW w:w="2280" w:type="dxa"/>
            <w:vAlign w:val="bottom"/>
            <w:shd w:val="clear" w:color="auto" w:fill="CCEEFF"/>
          </w:tcPr>
          <w:p>
            <w:pPr>
              <w:ind w:left="60"/>
              <w:spacing w:after="0"/>
              <w:rPr>
                <w:sz w:val="20"/>
                <w:szCs w:val="20"/>
                <w:color w:val="auto"/>
              </w:rPr>
            </w:pPr>
            <w:r>
              <w:rPr>
                <w:rFonts w:ascii="Arial" w:cs="Arial" w:eastAsia="Arial" w:hAnsi="Arial"/>
                <w:sz w:val="13"/>
                <w:szCs w:val="13"/>
                <w:color w:val="auto"/>
              </w:rPr>
              <w:t>Anthropologie / HomeGoods / Dick's</w:t>
            </w:r>
          </w:p>
        </w:tc>
      </w:tr>
      <w:tr>
        <w:trPr>
          <w:trHeight w:val="176"/>
        </w:trPr>
        <w:tc>
          <w:tcPr>
            <w:tcW w:w="1240" w:type="dxa"/>
            <w:vAlign w:val="bottom"/>
            <w:gridSpan w:val="4"/>
            <w:shd w:val="clear" w:color="auto" w:fill="CCEEFF"/>
          </w:tcPr>
          <w:p>
            <w:pPr>
              <w:ind w:left="20"/>
              <w:spacing w:after="0"/>
              <w:rPr>
                <w:sz w:val="20"/>
                <w:szCs w:val="20"/>
                <w:color w:val="auto"/>
              </w:rPr>
            </w:pPr>
            <w:r>
              <w:rPr>
                <w:rFonts w:ascii="Arial" w:cs="Arial" w:eastAsia="Arial" w:hAnsi="Arial"/>
                <w:sz w:val="13"/>
                <w:szCs w:val="13"/>
                <w:color w:val="auto"/>
              </w:rPr>
              <w:t>Point</w:t>
            </w:r>
          </w:p>
        </w:tc>
        <w:tc>
          <w:tcPr>
            <w:tcW w:w="440" w:type="dxa"/>
            <w:vAlign w:val="bottom"/>
            <w:shd w:val="clear" w:color="auto" w:fill="CCEEFF"/>
          </w:tcPr>
          <w:p>
            <w:pPr>
              <w:spacing w:after="0"/>
              <w:rPr>
                <w:sz w:val="15"/>
                <w:szCs w:val="15"/>
                <w:color w:val="auto"/>
              </w:rPr>
            </w:pPr>
          </w:p>
        </w:tc>
        <w:tc>
          <w:tcPr>
            <w:tcW w:w="1940" w:type="dxa"/>
            <w:vAlign w:val="bottom"/>
            <w:shd w:val="clear" w:color="auto" w:fill="CCEEFF"/>
          </w:tcPr>
          <w:p>
            <w:pPr>
              <w:ind w:left="40"/>
              <w:spacing w:after="0"/>
              <w:rPr>
                <w:sz w:val="20"/>
                <w:szCs w:val="20"/>
                <w:color w:val="auto"/>
              </w:rPr>
            </w:pPr>
            <w:r>
              <w:rPr>
                <w:rFonts w:ascii="Arial" w:cs="Arial" w:eastAsia="Arial" w:hAnsi="Arial"/>
                <w:sz w:val="13"/>
                <w:szCs w:val="13"/>
                <w:color w:val="auto"/>
              </w:rPr>
              <w:t>CA</w:t>
            </w: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80" w:type="dxa"/>
            <w:vAlign w:val="bottom"/>
            <w:shd w:val="clear" w:color="auto" w:fill="CCEEFF"/>
          </w:tcPr>
          <w:p>
            <w:pPr>
              <w:ind w:left="60"/>
              <w:spacing w:after="0"/>
              <w:rPr>
                <w:sz w:val="20"/>
                <w:szCs w:val="20"/>
                <w:color w:val="auto"/>
              </w:rPr>
            </w:pPr>
            <w:r>
              <w:rPr>
                <w:rFonts w:ascii="Arial" w:cs="Arial" w:eastAsia="Arial" w:hAnsi="Arial"/>
                <w:sz w:val="13"/>
                <w:szCs w:val="13"/>
                <w:color w:val="auto"/>
              </w:rPr>
              <w:t>Sporting Goods / Multiple Restaurants</w:t>
            </w:r>
          </w:p>
        </w:tc>
      </w:tr>
      <w:tr>
        <w:trPr>
          <w:trHeight w:val="148"/>
        </w:trPr>
        <w:tc>
          <w:tcPr>
            <w:tcW w:w="1240" w:type="dxa"/>
            <w:vAlign w:val="bottom"/>
            <w:gridSpan w:val="4"/>
          </w:tcPr>
          <w:p>
            <w:pPr>
              <w:ind w:left="20"/>
              <w:spacing w:after="0" w:line="148" w:lineRule="exact"/>
              <w:rPr>
                <w:sz w:val="20"/>
                <w:szCs w:val="20"/>
                <w:color w:val="auto"/>
              </w:rPr>
            </w:pPr>
            <w:r>
              <w:rPr>
                <w:rFonts w:ascii="Arial" w:cs="Arial" w:eastAsia="Arial" w:hAnsi="Arial"/>
                <w:sz w:val="13"/>
                <w:szCs w:val="13"/>
                <w:color w:val="auto"/>
              </w:rPr>
              <w:t>Santana Row</w:t>
            </w:r>
          </w:p>
        </w:tc>
        <w:tc>
          <w:tcPr>
            <w:tcW w:w="440" w:type="dxa"/>
            <w:vAlign w:val="bottom"/>
          </w:tcPr>
          <w:p>
            <w:pPr>
              <w:spacing w:after="0"/>
              <w:rPr>
                <w:sz w:val="12"/>
                <w:szCs w:val="12"/>
                <w:color w:val="auto"/>
              </w:rPr>
            </w:pPr>
          </w:p>
        </w:tc>
        <w:tc>
          <w:tcPr>
            <w:tcW w:w="1940" w:type="dxa"/>
            <w:vAlign w:val="bottom"/>
          </w:tcPr>
          <w:p>
            <w:pPr>
              <w:ind w:left="40"/>
              <w:spacing w:after="0" w:line="148" w:lineRule="exact"/>
              <w:rPr>
                <w:sz w:val="20"/>
                <w:szCs w:val="20"/>
                <w:color w:val="auto"/>
              </w:rPr>
            </w:pPr>
            <w:r>
              <w:rPr>
                <w:rFonts w:ascii="Arial" w:cs="Arial" w:eastAsia="Arial" w:hAnsi="Arial"/>
                <w:sz w:val="13"/>
                <w:szCs w:val="13"/>
                <w:color w:val="auto"/>
              </w:rPr>
              <w:t>San Jose, CA</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842,293</w:t>
            </w:r>
          </w:p>
        </w:tc>
        <w:tc>
          <w:tcPr>
            <w:tcW w:w="660" w:type="dxa"/>
            <w:vAlign w:val="bottom"/>
          </w:tcPr>
          <w:p>
            <w:pPr>
              <w:spacing w:after="0"/>
              <w:rPr>
                <w:sz w:val="12"/>
                <w:szCs w:val="12"/>
                <w:color w:val="auto"/>
              </w:rPr>
            </w:pP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45</w:t>
            </w:r>
          </w:p>
        </w:tc>
        <w:tc>
          <w:tcPr>
            <w:tcW w:w="120" w:type="dxa"/>
            <w:vAlign w:val="bottom"/>
          </w:tcPr>
          <w:p>
            <w:pPr>
              <w:spacing w:after="0"/>
              <w:rPr>
                <w:sz w:val="12"/>
                <w:szCs w:val="12"/>
                <w:color w:val="auto"/>
              </w:rPr>
            </w:pP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885,000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98%</w:t>
            </w:r>
          </w:p>
        </w:tc>
        <w:tc>
          <w:tcPr>
            <w:tcW w:w="680" w:type="dxa"/>
            <w:vAlign w:val="bottom"/>
          </w:tcPr>
          <w:p>
            <w:pPr>
              <w:jc w:val="right"/>
              <w:ind w:right="77"/>
              <w:spacing w:after="0" w:line="148" w:lineRule="exact"/>
              <w:rPr>
                <w:sz w:val="20"/>
                <w:szCs w:val="20"/>
                <w:color w:val="auto"/>
              </w:rPr>
            </w:pPr>
            <w:r>
              <w:rPr>
                <w:rFonts w:ascii="Arial" w:cs="Arial" w:eastAsia="Arial" w:hAnsi="Arial"/>
                <w:sz w:val="13"/>
                <w:szCs w:val="13"/>
                <w:color w:val="auto"/>
              </w:rPr>
              <w:t>662</w:t>
            </w:r>
          </w:p>
        </w:tc>
        <w:tc>
          <w:tcPr>
            <w:tcW w:w="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80" w:type="dxa"/>
            <w:vAlign w:val="bottom"/>
          </w:tcPr>
          <w:p>
            <w:pPr>
              <w:ind w:left="60"/>
              <w:spacing w:after="0" w:line="148" w:lineRule="exact"/>
              <w:rPr>
                <w:sz w:val="20"/>
                <w:szCs w:val="20"/>
                <w:color w:val="auto"/>
              </w:rPr>
            </w:pPr>
            <w:r>
              <w:rPr>
                <w:rFonts w:ascii="Arial" w:cs="Arial" w:eastAsia="Arial" w:hAnsi="Arial"/>
                <w:sz w:val="13"/>
                <w:szCs w:val="13"/>
                <w:color w:val="auto"/>
                <w:w w:val="95"/>
              </w:rPr>
              <w:t>Crate &amp; Barrel / H&amp;M / Container Store /</w:t>
            </w:r>
          </w:p>
        </w:tc>
      </w:tr>
      <w:tr>
        <w:trPr>
          <w:trHeight w:val="168"/>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80" w:type="dxa"/>
            <w:vAlign w:val="bottom"/>
          </w:tcPr>
          <w:p>
            <w:pPr>
              <w:ind w:left="60"/>
              <w:spacing w:after="0"/>
              <w:rPr>
                <w:sz w:val="20"/>
                <w:szCs w:val="20"/>
                <w:color w:val="auto"/>
              </w:rPr>
            </w:pPr>
            <w:r>
              <w:rPr>
                <w:rFonts w:ascii="Arial" w:cs="Arial" w:eastAsia="Arial" w:hAnsi="Arial"/>
                <w:sz w:val="13"/>
                <w:szCs w:val="13"/>
                <w:color w:val="auto"/>
              </w:rPr>
              <w:t>Multiple Restaurants</w:t>
            </w:r>
          </w:p>
        </w:tc>
      </w:tr>
      <w:tr>
        <w:trPr>
          <w:trHeight w:val="156"/>
        </w:trPr>
        <w:tc>
          <w:tcPr>
            <w:tcW w:w="1240" w:type="dxa"/>
            <w:vAlign w:val="bottom"/>
            <w:gridSpan w:val="4"/>
            <w:shd w:val="clear" w:color="auto" w:fill="CCEEFF"/>
          </w:tcPr>
          <w:p>
            <w:pPr>
              <w:ind w:left="20"/>
              <w:spacing w:after="0"/>
              <w:rPr>
                <w:sz w:val="20"/>
                <w:szCs w:val="20"/>
                <w:color w:val="auto"/>
              </w:rPr>
            </w:pPr>
            <w:r>
              <w:rPr>
                <w:rFonts w:ascii="Arial" w:cs="Arial" w:eastAsia="Arial" w:hAnsi="Arial"/>
                <w:sz w:val="13"/>
                <w:szCs w:val="13"/>
                <w:color w:val="auto"/>
              </w:rPr>
              <w:t>San Antonio Center</w:t>
            </w:r>
          </w:p>
        </w:tc>
        <w:tc>
          <w:tcPr>
            <w:tcW w:w="44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(5)</w:t>
            </w:r>
          </w:p>
        </w:tc>
        <w:tc>
          <w:tcPr>
            <w:tcW w:w="1940" w:type="dxa"/>
            <w:vAlign w:val="bottom"/>
            <w:shd w:val="clear" w:color="auto" w:fill="CCEEFF"/>
          </w:tcPr>
          <w:p>
            <w:pPr>
              <w:ind w:left="40"/>
              <w:spacing w:after="0"/>
              <w:rPr>
                <w:sz w:val="20"/>
                <w:szCs w:val="20"/>
                <w:color w:val="auto"/>
              </w:rPr>
            </w:pPr>
            <w:r>
              <w:rPr>
                <w:rFonts w:ascii="Arial" w:cs="Arial" w:eastAsia="Arial" w:hAnsi="Arial"/>
                <w:sz w:val="13"/>
                <w:szCs w:val="13"/>
                <w:color w:val="auto"/>
                <w:w w:val="94"/>
              </w:rPr>
              <w:t>San Francisco-Oakland-San Jose,</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73,592</w:t>
            </w:r>
          </w:p>
        </w:tc>
        <w:tc>
          <w:tcPr>
            <w:tcW w:w="66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33</w:t>
            </w: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376,000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11,000</w:t>
            </w:r>
          </w:p>
        </w:tc>
        <w:tc>
          <w:tcPr>
            <w:tcW w:w="920" w:type="dxa"/>
            <w:vAlign w:val="bottom"/>
            <w:shd w:val="clear" w:color="auto" w:fill="CCEEFF"/>
          </w:tcPr>
          <w:p>
            <w:pPr>
              <w:ind w:left="80"/>
              <w:spacing w:after="0"/>
              <w:rPr>
                <w:sz w:val="20"/>
                <w:szCs w:val="20"/>
                <w:color w:val="auto"/>
              </w:rPr>
            </w:pPr>
            <w:r>
              <w:rPr>
                <w:rFonts w:ascii="Arial" w:cs="Arial" w:eastAsia="Arial" w:hAnsi="Arial"/>
                <w:sz w:val="13"/>
                <w:szCs w:val="13"/>
                <w:color w:val="auto"/>
              </w:rPr>
              <w:t>Trader Joe's</w:t>
            </w:r>
          </w:p>
        </w:tc>
        <w:tc>
          <w:tcPr>
            <w:tcW w:w="2280" w:type="dxa"/>
            <w:vAlign w:val="bottom"/>
            <w:shd w:val="clear" w:color="auto" w:fill="CCEEFF"/>
          </w:tcPr>
          <w:p>
            <w:pPr>
              <w:ind w:left="60"/>
              <w:spacing w:after="0"/>
              <w:rPr>
                <w:sz w:val="20"/>
                <w:szCs w:val="20"/>
                <w:color w:val="auto"/>
              </w:rPr>
            </w:pPr>
            <w:r>
              <w:rPr>
                <w:rFonts w:ascii="Arial" w:cs="Arial" w:eastAsia="Arial" w:hAnsi="Arial"/>
                <w:sz w:val="13"/>
                <w:szCs w:val="13"/>
                <w:color w:val="auto"/>
              </w:rPr>
              <w:t>Wal-mart / Kohl's / 24 Hour Fitness</w:t>
            </w:r>
          </w:p>
        </w:tc>
      </w:tr>
      <w:tr>
        <w:trPr>
          <w:trHeight w:val="176"/>
        </w:trPr>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940" w:type="dxa"/>
            <w:vAlign w:val="bottom"/>
            <w:shd w:val="clear" w:color="auto" w:fill="CCEEFF"/>
          </w:tcPr>
          <w:p>
            <w:pPr>
              <w:ind w:left="40"/>
              <w:spacing w:after="0"/>
              <w:rPr>
                <w:sz w:val="20"/>
                <w:szCs w:val="20"/>
                <w:color w:val="auto"/>
              </w:rPr>
            </w:pPr>
            <w:r>
              <w:rPr>
                <w:rFonts w:ascii="Arial" w:cs="Arial" w:eastAsia="Arial" w:hAnsi="Arial"/>
                <w:sz w:val="13"/>
                <w:szCs w:val="13"/>
                <w:color w:val="auto"/>
              </w:rPr>
              <w:t>CA</w:t>
            </w: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r>
      <w:tr>
        <w:trPr>
          <w:trHeight w:val="148"/>
        </w:trPr>
        <w:tc>
          <w:tcPr>
            <w:tcW w:w="1240" w:type="dxa"/>
            <w:vAlign w:val="bottom"/>
            <w:gridSpan w:val="4"/>
          </w:tcPr>
          <w:p>
            <w:pPr>
              <w:ind w:left="20"/>
              <w:spacing w:after="0" w:line="148" w:lineRule="exact"/>
              <w:rPr>
                <w:sz w:val="20"/>
                <w:szCs w:val="20"/>
                <w:color w:val="auto"/>
              </w:rPr>
            </w:pPr>
            <w:r>
              <w:rPr>
                <w:rFonts w:ascii="Arial" w:cs="Arial" w:eastAsia="Arial" w:hAnsi="Arial"/>
                <w:sz w:val="13"/>
                <w:szCs w:val="13"/>
                <w:color w:val="auto"/>
                <w:w w:val="95"/>
              </w:rPr>
              <w:t>Sylmar Towne Center</w:t>
            </w:r>
          </w:p>
        </w:tc>
        <w:tc>
          <w:tcPr>
            <w:tcW w:w="440" w:type="dxa"/>
            <w:vAlign w:val="bottom"/>
          </w:tcPr>
          <w:p>
            <w:pPr>
              <w:jc w:val="center"/>
              <w:spacing w:after="0" w:line="148" w:lineRule="exact"/>
              <w:rPr>
                <w:sz w:val="20"/>
                <w:szCs w:val="20"/>
                <w:color w:val="auto"/>
              </w:rPr>
            </w:pPr>
            <w:r>
              <w:rPr>
                <w:rFonts w:ascii="Arial" w:cs="Arial" w:eastAsia="Arial" w:hAnsi="Arial"/>
                <w:sz w:val="13"/>
                <w:szCs w:val="13"/>
                <w:color w:val="auto"/>
              </w:rPr>
              <w:t>(3)</w:t>
            </w:r>
          </w:p>
        </w:tc>
        <w:tc>
          <w:tcPr>
            <w:tcW w:w="1940" w:type="dxa"/>
            <w:vAlign w:val="bottom"/>
          </w:tcPr>
          <w:p>
            <w:pPr>
              <w:ind w:left="40"/>
              <w:spacing w:after="0" w:line="148" w:lineRule="exact"/>
              <w:rPr>
                <w:sz w:val="20"/>
                <w:szCs w:val="20"/>
                <w:color w:val="auto"/>
              </w:rPr>
            </w:pPr>
            <w:r>
              <w:rPr>
                <w:rFonts w:ascii="Arial" w:cs="Arial" w:eastAsia="Arial" w:hAnsi="Arial"/>
                <w:sz w:val="13"/>
                <w:szCs w:val="13"/>
                <w:color w:val="auto"/>
                <w:w w:val="91"/>
              </w:rPr>
              <w:t>Los Angeles-Long Beach-Anaheim,</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43,205</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17,448</w:t>
            </w: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12</w:t>
            </w:r>
          </w:p>
        </w:tc>
        <w:tc>
          <w:tcPr>
            <w:tcW w:w="120" w:type="dxa"/>
            <w:vAlign w:val="bottom"/>
          </w:tcPr>
          <w:p>
            <w:pPr>
              <w:spacing w:after="0"/>
              <w:rPr>
                <w:sz w:val="12"/>
                <w:szCs w:val="12"/>
                <w:color w:val="auto"/>
              </w:rPr>
            </w:pP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148,000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94%</w:t>
            </w:r>
          </w:p>
        </w:tc>
        <w:tc>
          <w:tcPr>
            <w:tcW w:w="68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43,000</w:t>
            </w:r>
          </w:p>
        </w:tc>
        <w:tc>
          <w:tcPr>
            <w:tcW w:w="920" w:type="dxa"/>
            <w:vAlign w:val="bottom"/>
          </w:tcPr>
          <w:p>
            <w:pPr>
              <w:ind w:left="80"/>
              <w:spacing w:after="0" w:line="148" w:lineRule="exact"/>
              <w:rPr>
                <w:sz w:val="20"/>
                <w:szCs w:val="20"/>
                <w:color w:val="auto"/>
              </w:rPr>
            </w:pPr>
            <w:r>
              <w:rPr>
                <w:rFonts w:ascii="Arial" w:cs="Arial" w:eastAsia="Arial" w:hAnsi="Arial"/>
                <w:sz w:val="13"/>
                <w:szCs w:val="13"/>
                <w:color w:val="auto"/>
              </w:rPr>
              <w:t>Food 4 Less</w:t>
            </w:r>
          </w:p>
        </w:tc>
        <w:tc>
          <w:tcPr>
            <w:tcW w:w="2280" w:type="dxa"/>
            <w:vAlign w:val="bottom"/>
          </w:tcPr>
          <w:p>
            <w:pPr>
              <w:ind w:left="60"/>
              <w:spacing w:after="0" w:line="148" w:lineRule="exact"/>
              <w:rPr>
                <w:sz w:val="20"/>
                <w:szCs w:val="20"/>
                <w:color w:val="auto"/>
              </w:rPr>
            </w:pPr>
            <w:r>
              <w:rPr>
                <w:rFonts w:ascii="Arial" w:cs="Arial" w:eastAsia="Arial" w:hAnsi="Arial"/>
                <w:sz w:val="13"/>
                <w:szCs w:val="13"/>
                <w:color w:val="auto"/>
              </w:rPr>
              <w:t>CVS</w:t>
            </w:r>
          </w:p>
        </w:tc>
      </w:tr>
      <w:tr>
        <w:trPr>
          <w:trHeight w:val="168"/>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40" w:type="dxa"/>
            <w:vAlign w:val="bottom"/>
          </w:tcPr>
          <w:p>
            <w:pPr>
              <w:ind w:left="40"/>
              <w:spacing w:after="0"/>
              <w:rPr>
                <w:sz w:val="20"/>
                <w:szCs w:val="20"/>
                <w:color w:val="auto"/>
              </w:rPr>
            </w:pPr>
            <w:r>
              <w:rPr>
                <w:rFonts w:ascii="Arial" w:cs="Arial" w:eastAsia="Arial" w:hAnsi="Arial"/>
                <w:sz w:val="13"/>
                <w:szCs w:val="13"/>
                <w:color w:val="auto"/>
              </w:rPr>
              <w:t>CA</w:t>
            </w: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56"/>
        </w:trPr>
        <w:tc>
          <w:tcPr>
            <w:tcW w:w="1240" w:type="dxa"/>
            <w:vAlign w:val="bottom"/>
            <w:gridSpan w:val="4"/>
            <w:shd w:val="clear" w:color="auto" w:fill="CCEEFF"/>
          </w:tcPr>
          <w:p>
            <w:pPr>
              <w:ind w:left="20"/>
              <w:spacing w:after="0"/>
              <w:rPr>
                <w:sz w:val="20"/>
                <w:szCs w:val="20"/>
                <w:color w:val="auto"/>
              </w:rPr>
            </w:pPr>
            <w:r>
              <w:rPr>
                <w:rFonts w:ascii="Arial" w:cs="Arial" w:eastAsia="Arial" w:hAnsi="Arial"/>
                <w:sz w:val="13"/>
                <w:szCs w:val="13"/>
                <w:color w:val="auto"/>
              </w:rPr>
              <w:t>Third Street</w:t>
            </w:r>
          </w:p>
        </w:tc>
        <w:tc>
          <w:tcPr>
            <w:tcW w:w="440" w:type="dxa"/>
            <w:vAlign w:val="bottom"/>
            <w:shd w:val="clear" w:color="auto" w:fill="CCEEFF"/>
          </w:tcPr>
          <w:p>
            <w:pPr>
              <w:spacing w:after="0"/>
              <w:rPr>
                <w:sz w:val="13"/>
                <w:szCs w:val="13"/>
                <w:color w:val="auto"/>
              </w:rPr>
            </w:pPr>
          </w:p>
        </w:tc>
        <w:tc>
          <w:tcPr>
            <w:tcW w:w="1940" w:type="dxa"/>
            <w:vAlign w:val="bottom"/>
            <w:shd w:val="clear" w:color="auto" w:fill="CCEEFF"/>
          </w:tcPr>
          <w:p>
            <w:pPr>
              <w:ind w:left="40"/>
              <w:spacing w:after="0"/>
              <w:rPr>
                <w:sz w:val="20"/>
                <w:szCs w:val="20"/>
                <w:color w:val="auto"/>
              </w:rPr>
            </w:pPr>
            <w:r>
              <w:rPr>
                <w:rFonts w:ascii="Arial" w:cs="Arial" w:eastAsia="Arial" w:hAnsi="Arial"/>
                <w:sz w:val="13"/>
                <w:szCs w:val="13"/>
                <w:color w:val="auto"/>
                <w:w w:val="91"/>
              </w:rPr>
              <w:t>Los Angeles-Long Beach-Anaheim,</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78,296</w:t>
            </w:r>
          </w:p>
        </w:tc>
        <w:tc>
          <w:tcPr>
            <w:tcW w:w="66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209,000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80" w:type="dxa"/>
            <w:vAlign w:val="bottom"/>
            <w:shd w:val="clear" w:color="auto" w:fill="CCEEFF"/>
          </w:tcPr>
          <w:p>
            <w:pPr>
              <w:ind w:left="60"/>
              <w:spacing w:after="0"/>
              <w:rPr>
                <w:sz w:val="20"/>
                <w:szCs w:val="20"/>
                <w:color w:val="auto"/>
              </w:rPr>
            </w:pPr>
            <w:r>
              <w:rPr>
                <w:rFonts w:ascii="Arial" w:cs="Arial" w:eastAsia="Arial" w:hAnsi="Arial"/>
                <w:sz w:val="13"/>
                <w:szCs w:val="13"/>
                <w:color w:val="auto"/>
                <w:w w:val="97"/>
              </w:rPr>
              <w:t>Banana Republic / Old Navy / J. Crew /</w:t>
            </w:r>
          </w:p>
        </w:tc>
      </w:tr>
      <w:tr>
        <w:trPr>
          <w:trHeight w:val="176"/>
        </w:trPr>
        <w:tc>
          <w:tcPr>
            <w:tcW w:w="1240" w:type="dxa"/>
            <w:vAlign w:val="bottom"/>
            <w:gridSpan w:val="4"/>
            <w:shd w:val="clear" w:color="auto" w:fill="CCEEFF"/>
          </w:tcPr>
          <w:p>
            <w:pPr>
              <w:ind w:left="20"/>
              <w:spacing w:after="0"/>
              <w:rPr>
                <w:sz w:val="20"/>
                <w:szCs w:val="20"/>
                <w:color w:val="auto"/>
              </w:rPr>
            </w:pPr>
            <w:r>
              <w:rPr>
                <w:rFonts w:ascii="Arial" w:cs="Arial" w:eastAsia="Arial" w:hAnsi="Arial"/>
                <w:sz w:val="13"/>
                <w:szCs w:val="13"/>
                <w:color w:val="auto"/>
              </w:rPr>
              <w:t>Promenade</w:t>
            </w:r>
          </w:p>
        </w:tc>
        <w:tc>
          <w:tcPr>
            <w:tcW w:w="440" w:type="dxa"/>
            <w:vAlign w:val="bottom"/>
            <w:shd w:val="clear" w:color="auto" w:fill="CCEEFF"/>
          </w:tcPr>
          <w:p>
            <w:pPr>
              <w:spacing w:after="0"/>
              <w:rPr>
                <w:sz w:val="15"/>
                <w:szCs w:val="15"/>
                <w:color w:val="auto"/>
              </w:rPr>
            </w:pPr>
          </w:p>
        </w:tc>
        <w:tc>
          <w:tcPr>
            <w:tcW w:w="1940" w:type="dxa"/>
            <w:vAlign w:val="bottom"/>
            <w:shd w:val="clear" w:color="auto" w:fill="CCEEFF"/>
          </w:tcPr>
          <w:p>
            <w:pPr>
              <w:ind w:left="40"/>
              <w:spacing w:after="0"/>
              <w:rPr>
                <w:sz w:val="20"/>
                <w:szCs w:val="20"/>
                <w:color w:val="auto"/>
              </w:rPr>
            </w:pPr>
            <w:r>
              <w:rPr>
                <w:rFonts w:ascii="Arial" w:cs="Arial" w:eastAsia="Arial" w:hAnsi="Arial"/>
                <w:sz w:val="13"/>
                <w:szCs w:val="13"/>
                <w:color w:val="auto"/>
              </w:rPr>
              <w:t>CA</w:t>
            </w: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80" w:type="dxa"/>
            <w:vAlign w:val="bottom"/>
            <w:shd w:val="clear" w:color="auto" w:fill="CCEEFF"/>
          </w:tcPr>
          <w:p>
            <w:pPr>
              <w:ind w:left="60"/>
              <w:spacing w:after="0"/>
              <w:rPr>
                <w:sz w:val="20"/>
                <w:szCs w:val="20"/>
                <w:color w:val="auto"/>
              </w:rPr>
            </w:pPr>
            <w:r>
              <w:rPr>
                <w:rFonts w:ascii="Arial" w:cs="Arial" w:eastAsia="Arial" w:hAnsi="Arial"/>
                <w:sz w:val="13"/>
                <w:szCs w:val="13"/>
                <w:color w:val="auto"/>
              </w:rPr>
              <w:t>Abercrombie &amp; Fitch</w:t>
            </w:r>
          </w:p>
        </w:tc>
      </w:tr>
      <w:tr>
        <w:trPr>
          <w:trHeight w:val="148"/>
        </w:trPr>
        <w:tc>
          <w:tcPr>
            <w:tcW w:w="1240" w:type="dxa"/>
            <w:vAlign w:val="bottom"/>
            <w:gridSpan w:val="4"/>
          </w:tcPr>
          <w:p>
            <w:pPr>
              <w:ind w:left="20"/>
              <w:spacing w:after="0" w:line="148" w:lineRule="exact"/>
              <w:rPr>
                <w:sz w:val="20"/>
                <w:szCs w:val="20"/>
                <w:color w:val="auto"/>
              </w:rPr>
            </w:pPr>
            <w:r>
              <w:rPr>
                <w:rFonts w:ascii="Arial" w:cs="Arial" w:eastAsia="Arial" w:hAnsi="Arial"/>
                <w:sz w:val="13"/>
                <w:szCs w:val="13"/>
                <w:color w:val="auto"/>
              </w:rPr>
              <w:t>Westgate Center</w:t>
            </w:r>
          </w:p>
        </w:tc>
        <w:tc>
          <w:tcPr>
            <w:tcW w:w="440" w:type="dxa"/>
            <w:vAlign w:val="bottom"/>
          </w:tcPr>
          <w:p>
            <w:pPr>
              <w:spacing w:after="0"/>
              <w:rPr>
                <w:sz w:val="12"/>
                <w:szCs w:val="12"/>
                <w:color w:val="auto"/>
              </w:rPr>
            </w:pPr>
          </w:p>
        </w:tc>
        <w:tc>
          <w:tcPr>
            <w:tcW w:w="1940" w:type="dxa"/>
            <w:vAlign w:val="bottom"/>
          </w:tcPr>
          <w:p>
            <w:pPr>
              <w:ind w:left="40"/>
              <w:spacing w:after="0" w:line="148" w:lineRule="exact"/>
              <w:rPr>
                <w:sz w:val="20"/>
                <w:szCs w:val="20"/>
                <w:color w:val="auto"/>
              </w:rPr>
            </w:pPr>
            <w:r>
              <w:rPr>
                <w:rFonts w:ascii="Arial" w:cs="Arial" w:eastAsia="Arial" w:hAnsi="Arial"/>
                <w:sz w:val="13"/>
                <w:szCs w:val="13"/>
                <w:color w:val="auto"/>
              </w:rPr>
              <w:t>San Jose, CA</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152,784</w:t>
            </w:r>
          </w:p>
        </w:tc>
        <w:tc>
          <w:tcPr>
            <w:tcW w:w="660" w:type="dxa"/>
            <w:vAlign w:val="bottom"/>
          </w:tcPr>
          <w:p>
            <w:pPr>
              <w:spacing w:after="0"/>
              <w:rPr>
                <w:sz w:val="12"/>
                <w:szCs w:val="12"/>
                <w:color w:val="auto"/>
              </w:rPr>
            </w:pP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44</w:t>
            </w:r>
          </w:p>
        </w:tc>
        <w:tc>
          <w:tcPr>
            <w:tcW w:w="120" w:type="dxa"/>
            <w:vAlign w:val="bottom"/>
          </w:tcPr>
          <w:p>
            <w:pPr>
              <w:spacing w:after="0"/>
              <w:rPr>
                <w:sz w:val="12"/>
                <w:szCs w:val="12"/>
                <w:color w:val="auto"/>
              </w:rPr>
            </w:pP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647,000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99%</w:t>
            </w:r>
          </w:p>
        </w:tc>
        <w:tc>
          <w:tcPr>
            <w:tcW w:w="68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38,000</w:t>
            </w:r>
          </w:p>
        </w:tc>
        <w:tc>
          <w:tcPr>
            <w:tcW w:w="920" w:type="dxa"/>
            <w:vAlign w:val="bottom"/>
          </w:tcPr>
          <w:p>
            <w:pPr>
              <w:ind w:left="80"/>
              <w:spacing w:after="0" w:line="148" w:lineRule="exact"/>
              <w:rPr>
                <w:sz w:val="20"/>
                <w:szCs w:val="20"/>
                <w:color w:val="auto"/>
              </w:rPr>
            </w:pPr>
            <w:r>
              <w:rPr>
                <w:rFonts w:ascii="Arial" w:cs="Arial" w:eastAsia="Arial" w:hAnsi="Arial"/>
                <w:sz w:val="13"/>
                <w:szCs w:val="13"/>
                <w:color w:val="auto"/>
              </w:rPr>
              <w:t>Walmart</w:t>
            </w:r>
          </w:p>
        </w:tc>
        <w:tc>
          <w:tcPr>
            <w:tcW w:w="2280" w:type="dxa"/>
            <w:vAlign w:val="bottom"/>
          </w:tcPr>
          <w:p>
            <w:pPr>
              <w:ind w:left="60"/>
              <w:spacing w:after="0" w:line="148" w:lineRule="exact"/>
              <w:rPr>
                <w:sz w:val="20"/>
                <w:szCs w:val="20"/>
                <w:color w:val="auto"/>
              </w:rPr>
            </w:pPr>
            <w:r>
              <w:rPr>
                <w:rFonts w:ascii="Arial" w:cs="Arial" w:eastAsia="Arial" w:hAnsi="Arial"/>
                <w:sz w:val="13"/>
                <w:szCs w:val="13"/>
                <w:color w:val="auto"/>
                <w:w w:val="94"/>
              </w:rPr>
              <w:t>Target / Nordstrom Rack / Nike Factory /</w:t>
            </w:r>
          </w:p>
        </w:tc>
      </w:tr>
      <w:tr>
        <w:trPr>
          <w:trHeight w:val="135"/>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tcPr>
          <w:p>
            <w:pPr>
              <w:ind w:left="80"/>
              <w:spacing w:after="0" w:line="135" w:lineRule="exact"/>
              <w:rPr>
                <w:sz w:val="20"/>
                <w:szCs w:val="20"/>
                <w:color w:val="auto"/>
              </w:rPr>
            </w:pPr>
            <w:r>
              <w:rPr>
                <w:rFonts w:ascii="Arial" w:cs="Arial" w:eastAsia="Arial" w:hAnsi="Arial"/>
                <w:sz w:val="13"/>
                <w:szCs w:val="13"/>
                <w:color w:val="auto"/>
              </w:rPr>
              <w:t>Neighborhood</w:t>
            </w:r>
          </w:p>
        </w:tc>
        <w:tc>
          <w:tcPr>
            <w:tcW w:w="2280" w:type="dxa"/>
            <w:vAlign w:val="bottom"/>
          </w:tcPr>
          <w:p>
            <w:pPr>
              <w:ind w:left="60"/>
              <w:spacing w:after="0" w:line="135" w:lineRule="exact"/>
              <w:rPr>
                <w:sz w:val="20"/>
                <w:szCs w:val="20"/>
                <w:color w:val="auto"/>
              </w:rPr>
            </w:pPr>
            <w:r>
              <w:rPr>
                <w:rFonts w:ascii="Arial" w:cs="Arial" w:eastAsia="Arial" w:hAnsi="Arial"/>
                <w:sz w:val="13"/>
                <w:szCs w:val="13"/>
                <w:color w:val="auto"/>
              </w:rPr>
              <w:t>Burlington</w:t>
            </w:r>
          </w:p>
        </w:tc>
      </w:tr>
      <w:tr>
        <w:trPr>
          <w:trHeight w:val="170"/>
        </w:trPr>
        <w:tc>
          <w:tcPr>
            <w:tcW w:w="2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194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ind w:left="80"/>
              <w:spacing w:after="0"/>
              <w:rPr>
                <w:sz w:val="20"/>
                <w:szCs w:val="20"/>
                <w:color w:val="auto"/>
              </w:rPr>
            </w:pPr>
            <w:r>
              <w:rPr>
                <w:rFonts w:ascii="Arial" w:cs="Arial" w:eastAsia="Arial" w:hAnsi="Arial"/>
                <w:sz w:val="13"/>
                <w:szCs w:val="13"/>
                <w:color w:val="auto"/>
              </w:rPr>
              <w:t>Market</w:t>
            </w:r>
          </w:p>
        </w:tc>
        <w:tc>
          <w:tcPr>
            <w:tcW w:w="2280" w:type="dxa"/>
            <w:vAlign w:val="bottom"/>
            <w:tcBorders>
              <w:bottom w:val="single" w:sz="8" w:color="CCEEFF"/>
            </w:tcBorders>
          </w:tcPr>
          <w:p>
            <w:pPr>
              <w:spacing w:after="0"/>
              <w:rPr>
                <w:sz w:val="14"/>
                <w:szCs w:val="14"/>
                <w:color w:val="auto"/>
              </w:rPr>
            </w:pPr>
          </w:p>
        </w:tc>
      </w:tr>
      <w:tr>
        <w:trPr>
          <w:trHeight w:val="173"/>
        </w:trPr>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94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Total California</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96"/>
              </w:rPr>
              <w:t>2,299,292</w:t>
            </w: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381</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9"/>
              </w:rPr>
              <w:t>5,356,000</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r>
      <w:tr>
        <w:trPr>
          <w:trHeight w:val="84"/>
        </w:trPr>
        <w:tc>
          <w:tcPr>
            <w:tcW w:w="2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94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2280" w:type="dxa"/>
            <w:vAlign w:val="bottom"/>
            <w:shd w:val="clear" w:color="auto" w:fill="CCEEFF"/>
          </w:tcPr>
          <w:p>
            <w:pPr>
              <w:spacing w:after="0"/>
              <w:rPr>
                <w:sz w:val="7"/>
                <w:szCs w:val="7"/>
                <w:color w:val="auto"/>
              </w:rPr>
            </w:pPr>
          </w:p>
        </w:tc>
      </w:tr>
      <w:tr>
        <w:trPr>
          <w:trHeight w:val="270"/>
        </w:trPr>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280" w:type="dxa"/>
            <w:vAlign w:val="bottom"/>
          </w:tcPr>
          <w:p>
            <w:pPr>
              <w:spacing w:after="0"/>
              <w:rPr>
                <w:sz w:val="23"/>
                <w:szCs w:val="23"/>
                <w:color w:val="auto"/>
              </w:rPr>
            </w:pPr>
          </w:p>
        </w:tc>
      </w:tr>
      <w:tr>
        <w:trPr>
          <w:trHeight w:val="149"/>
        </w:trPr>
        <w:tc>
          <w:tcPr>
            <w:tcW w:w="20" w:type="dxa"/>
            <w:vAlign w:val="bottom"/>
            <w:shd w:val="clear" w:color="auto" w:fill="CCEEFF"/>
          </w:tcPr>
          <w:p>
            <w:pPr>
              <w:spacing w:after="0"/>
              <w:rPr>
                <w:sz w:val="12"/>
                <w:szCs w:val="12"/>
                <w:color w:val="auto"/>
              </w:rPr>
            </w:pPr>
          </w:p>
        </w:tc>
        <w:tc>
          <w:tcPr>
            <w:tcW w:w="1220" w:type="dxa"/>
            <w:vAlign w:val="bottom"/>
            <w:gridSpan w:val="3"/>
            <w:shd w:val="clear" w:color="auto" w:fill="CCEEFF"/>
          </w:tcPr>
          <w:p>
            <w:pPr>
              <w:ind w:left="60"/>
              <w:spacing w:after="0"/>
              <w:rPr>
                <w:sz w:val="20"/>
                <w:szCs w:val="20"/>
                <w:color w:val="auto"/>
              </w:rPr>
            </w:pPr>
            <w:r>
              <w:rPr>
                <w:rFonts w:ascii="Arial" w:cs="Arial" w:eastAsia="Arial" w:hAnsi="Arial"/>
                <w:sz w:val="13"/>
                <w:szCs w:val="13"/>
                <w:b w:val="1"/>
                <w:bCs w:val="1"/>
                <w:color w:val="auto"/>
              </w:rPr>
              <w:t>NY Metro/New</w:t>
            </w:r>
          </w:p>
        </w:tc>
        <w:tc>
          <w:tcPr>
            <w:tcW w:w="44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r>
      <w:tr>
        <w:trPr>
          <w:trHeight w:val="136"/>
        </w:trPr>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340" w:type="dxa"/>
            <w:vAlign w:val="bottom"/>
            <w:tcBorders>
              <w:top w:val="single" w:sz="8" w:color="auto"/>
              <w:bottom w:val="single" w:sz="8" w:color="auto"/>
            </w:tcBorders>
            <w:shd w:val="clear" w:color="auto" w:fill="CCEEFF"/>
          </w:tcPr>
          <w:p>
            <w:pPr>
              <w:spacing w:after="0" w:line="115" w:lineRule="exact"/>
              <w:rPr>
                <w:sz w:val="20"/>
                <w:szCs w:val="20"/>
                <w:color w:val="auto"/>
              </w:rPr>
            </w:pPr>
            <w:r>
              <w:rPr>
                <w:rFonts w:ascii="Arial" w:cs="Arial" w:eastAsia="Arial" w:hAnsi="Arial"/>
                <w:sz w:val="13"/>
                <w:szCs w:val="13"/>
                <w:b w:val="1"/>
                <w:bCs w:val="1"/>
                <w:color w:val="auto"/>
                <w:w w:val="77"/>
              </w:rPr>
              <w:t>Jersey</w:t>
            </w:r>
          </w:p>
        </w:tc>
        <w:tc>
          <w:tcPr>
            <w:tcW w:w="540" w:type="dxa"/>
            <w:vAlign w:val="bottom"/>
            <w:tcBorders>
              <w:top w:val="single" w:sz="8" w:color="auto"/>
              <w:bottom w:val="single" w:sz="8" w:color="CCEEFF"/>
            </w:tcBorders>
            <w:shd w:val="clear" w:color="auto" w:fill="CCEEFF"/>
          </w:tcPr>
          <w:p>
            <w:pPr>
              <w:spacing w:after="0"/>
              <w:rPr>
                <w:sz w:val="11"/>
                <w:szCs w:val="11"/>
                <w:color w:val="auto"/>
              </w:rPr>
            </w:pPr>
          </w:p>
        </w:tc>
        <w:tc>
          <w:tcPr>
            <w:tcW w:w="340" w:type="dxa"/>
            <w:vAlign w:val="bottom"/>
            <w:tcBorders>
              <w:top w:val="single" w:sz="8" w:color="CCEEFF"/>
              <w:bottom w:val="single" w:sz="8" w:color="CCEEFF"/>
            </w:tcBorders>
            <w:shd w:val="clear" w:color="auto" w:fill="CCEEFF"/>
          </w:tcPr>
          <w:p>
            <w:pPr>
              <w:spacing w:after="0"/>
              <w:rPr>
                <w:sz w:val="11"/>
                <w:szCs w:val="11"/>
                <w:color w:val="auto"/>
              </w:rPr>
            </w:pPr>
          </w:p>
        </w:tc>
        <w:tc>
          <w:tcPr>
            <w:tcW w:w="440" w:type="dxa"/>
            <w:vAlign w:val="bottom"/>
            <w:tcBorders>
              <w:top w:val="single" w:sz="8" w:color="CCEEFF"/>
              <w:bottom w:val="single" w:sz="8" w:color="CCEEFF"/>
            </w:tcBorders>
            <w:shd w:val="clear" w:color="auto" w:fill="CCEEFF"/>
          </w:tcPr>
          <w:p>
            <w:pPr>
              <w:spacing w:after="0"/>
              <w:rPr>
                <w:sz w:val="11"/>
                <w:szCs w:val="11"/>
                <w:color w:val="auto"/>
              </w:rPr>
            </w:pPr>
          </w:p>
        </w:tc>
        <w:tc>
          <w:tcPr>
            <w:tcW w:w="1940" w:type="dxa"/>
            <w:vAlign w:val="bottom"/>
            <w:tcBorders>
              <w:top w:val="single" w:sz="8" w:color="CCEEFF"/>
              <w:bottom w:val="single" w:sz="8" w:color="CCEEFF"/>
            </w:tcBorders>
            <w:shd w:val="clear" w:color="auto" w:fill="CCEEFF"/>
          </w:tcPr>
          <w:p>
            <w:pPr>
              <w:spacing w:after="0"/>
              <w:rPr>
                <w:sz w:val="11"/>
                <w:szCs w:val="11"/>
                <w:color w:val="auto"/>
              </w:rPr>
            </w:pPr>
          </w:p>
        </w:tc>
        <w:tc>
          <w:tcPr>
            <w:tcW w:w="700" w:type="dxa"/>
            <w:vAlign w:val="bottom"/>
            <w:tcBorders>
              <w:top w:val="single" w:sz="8" w:color="CCEEFF"/>
              <w:bottom w:val="single" w:sz="8" w:color="CCEEFF"/>
            </w:tcBorders>
            <w:shd w:val="clear" w:color="auto" w:fill="CCEEFF"/>
          </w:tcPr>
          <w:p>
            <w:pPr>
              <w:spacing w:after="0"/>
              <w:rPr>
                <w:sz w:val="11"/>
                <w:szCs w:val="11"/>
                <w:color w:val="auto"/>
              </w:rPr>
            </w:pPr>
          </w:p>
        </w:tc>
        <w:tc>
          <w:tcPr>
            <w:tcW w:w="660" w:type="dxa"/>
            <w:vAlign w:val="bottom"/>
            <w:tcBorders>
              <w:top w:val="single" w:sz="8" w:color="CCEEFF"/>
              <w:bottom w:val="single" w:sz="8" w:color="CCEEFF"/>
            </w:tcBorders>
            <w:shd w:val="clear" w:color="auto" w:fill="CCEEFF"/>
          </w:tcPr>
          <w:p>
            <w:pPr>
              <w:spacing w:after="0"/>
              <w:rPr>
                <w:sz w:val="11"/>
                <w:szCs w:val="11"/>
                <w:color w:val="auto"/>
              </w:rPr>
            </w:pPr>
          </w:p>
        </w:tc>
        <w:tc>
          <w:tcPr>
            <w:tcW w:w="48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6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480" w:type="dxa"/>
            <w:vAlign w:val="bottom"/>
            <w:tcBorders>
              <w:top w:val="single" w:sz="8" w:color="CCEEFF"/>
              <w:bottom w:val="single" w:sz="8" w:color="CCEEFF"/>
            </w:tcBorders>
            <w:shd w:val="clear" w:color="auto" w:fill="CCEEFF"/>
          </w:tcPr>
          <w:p>
            <w:pPr>
              <w:spacing w:after="0"/>
              <w:rPr>
                <w:sz w:val="11"/>
                <w:szCs w:val="11"/>
                <w:color w:val="auto"/>
              </w:rPr>
            </w:pPr>
          </w:p>
        </w:tc>
        <w:tc>
          <w:tcPr>
            <w:tcW w:w="680" w:type="dxa"/>
            <w:vAlign w:val="bottom"/>
            <w:tcBorders>
              <w:top w:val="single" w:sz="8" w:color="CCEEFF"/>
              <w:bottom w:val="single" w:sz="8" w:color="CCEEFF"/>
            </w:tcBorders>
            <w:shd w:val="clear" w:color="auto" w:fill="CCEEFF"/>
          </w:tcPr>
          <w:p>
            <w:pPr>
              <w:spacing w:after="0"/>
              <w:rPr>
                <w:sz w:val="11"/>
                <w:szCs w:val="11"/>
                <w:color w:val="auto"/>
              </w:rPr>
            </w:pPr>
          </w:p>
        </w:tc>
        <w:tc>
          <w:tcPr>
            <w:tcW w:w="580" w:type="dxa"/>
            <w:vAlign w:val="bottom"/>
            <w:tcBorders>
              <w:top w:val="single" w:sz="8" w:color="CCEEFF"/>
              <w:bottom w:val="single" w:sz="8" w:color="CCEEFF"/>
            </w:tcBorders>
            <w:shd w:val="clear" w:color="auto" w:fill="CCEEFF"/>
          </w:tcPr>
          <w:p>
            <w:pPr>
              <w:spacing w:after="0"/>
              <w:rPr>
                <w:sz w:val="11"/>
                <w:szCs w:val="11"/>
                <w:color w:val="auto"/>
              </w:rPr>
            </w:pPr>
          </w:p>
        </w:tc>
        <w:tc>
          <w:tcPr>
            <w:tcW w:w="920" w:type="dxa"/>
            <w:vAlign w:val="bottom"/>
            <w:tcBorders>
              <w:top w:val="single" w:sz="8" w:color="CCEEFF"/>
              <w:bottom w:val="single" w:sz="8" w:color="CCEEFF"/>
            </w:tcBorders>
            <w:shd w:val="clear" w:color="auto" w:fill="CCEEFF"/>
          </w:tcPr>
          <w:p>
            <w:pPr>
              <w:spacing w:after="0"/>
              <w:rPr>
                <w:sz w:val="11"/>
                <w:szCs w:val="11"/>
                <w:color w:val="auto"/>
              </w:rPr>
            </w:pPr>
          </w:p>
        </w:tc>
        <w:tc>
          <w:tcPr>
            <w:tcW w:w="2280" w:type="dxa"/>
            <w:vAlign w:val="bottom"/>
            <w:tcBorders>
              <w:top w:val="single" w:sz="8" w:color="CCEEFF"/>
              <w:bottom w:val="single" w:sz="8" w:color="CCEEFF"/>
            </w:tcBorders>
            <w:shd w:val="clear" w:color="auto" w:fill="CCEEFF"/>
          </w:tcPr>
          <w:p>
            <w:pPr>
              <w:spacing w:after="0"/>
              <w:rPr>
                <w:sz w:val="11"/>
                <w:szCs w:val="11"/>
                <w:color w:val="auto"/>
              </w:rPr>
            </w:pPr>
          </w:p>
        </w:tc>
      </w:tr>
      <w:tr>
        <w:trPr>
          <w:trHeight w:val="173"/>
        </w:trPr>
        <w:tc>
          <w:tcPr>
            <w:tcW w:w="1240" w:type="dxa"/>
            <w:vAlign w:val="bottom"/>
            <w:gridSpan w:val="4"/>
          </w:tcPr>
          <w:p>
            <w:pPr>
              <w:ind w:left="20"/>
              <w:spacing w:after="0"/>
              <w:rPr>
                <w:sz w:val="20"/>
                <w:szCs w:val="20"/>
                <w:color w:val="auto"/>
              </w:rPr>
            </w:pPr>
            <w:r>
              <w:rPr>
                <w:rFonts w:ascii="Arial" w:cs="Arial" w:eastAsia="Arial" w:hAnsi="Arial"/>
                <w:sz w:val="13"/>
                <w:szCs w:val="13"/>
                <w:color w:val="auto"/>
              </w:rPr>
              <w:t>Brick Plaza</w:t>
            </w:r>
          </w:p>
        </w:tc>
        <w:tc>
          <w:tcPr>
            <w:tcW w:w="440" w:type="dxa"/>
            <w:vAlign w:val="bottom"/>
          </w:tcPr>
          <w:p>
            <w:pPr>
              <w:spacing w:after="0"/>
              <w:rPr>
                <w:sz w:val="15"/>
                <w:szCs w:val="15"/>
                <w:color w:val="auto"/>
              </w:rPr>
            </w:pPr>
          </w:p>
        </w:tc>
        <w:tc>
          <w:tcPr>
            <w:tcW w:w="1940" w:type="dxa"/>
            <w:vAlign w:val="bottom"/>
          </w:tcPr>
          <w:p>
            <w:pPr>
              <w:ind w:left="40"/>
              <w:spacing w:after="0"/>
              <w:rPr>
                <w:sz w:val="20"/>
                <w:szCs w:val="20"/>
                <w:color w:val="auto"/>
              </w:rPr>
            </w:pPr>
            <w:r>
              <w:rPr>
                <w:rFonts w:ascii="Arial" w:cs="Arial" w:eastAsia="Arial" w:hAnsi="Arial"/>
                <w:sz w:val="13"/>
                <w:szCs w:val="13"/>
                <w:color w:val="auto"/>
              </w:rPr>
              <w:t>Monmouth-Ocean, NJ</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74,853</w:t>
            </w:r>
          </w:p>
        </w:tc>
        <w:tc>
          <w:tcPr>
            <w:tcW w:w="660" w:type="dxa"/>
            <w:vAlign w:val="bottom"/>
          </w:tcPr>
          <w:p>
            <w:pPr>
              <w:spacing w:after="0"/>
              <w:rPr>
                <w:sz w:val="15"/>
                <w:szCs w:val="15"/>
                <w:color w:val="auto"/>
              </w:rPr>
            </w:pP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46</w:t>
            </w:r>
          </w:p>
        </w:tc>
        <w:tc>
          <w:tcPr>
            <w:tcW w:w="120" w:type="dxa"/>
            <w:vAlign w:val="bottom"/>
          </w:tcPr>
          <w:p>
            <w:pPr>
              <w:spacing w:after="0"/>
              <w:rPr>
                <w:sz w:val="15"/>
                <w:szCs w:val="15"/>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422,000</w:t>
            </w: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69%</w:t>
            </w: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80" w:type="dxa"/>
            <w:vAlign w:val="bottom"/>
          </w:tcPr>
          <w:p>
            <w:pPr>
              <w:ind w:left="60"/>
              <w:spacing w:after="0"/>
              <w:rPr>
                <w:sz w:val="20"/>
                <w:szCs w:val="20"/>
                <w:color w:val="auto"/>
              </w:rPr>
            </w:pPr>
            <w:r>
              <w:rPr>
                <w:rFonts w:ascii="Arial" w:cs="Arial" w:eastAsia="Arial" w:hAnsi="Arial"/>
                <w:sz w:val="13"/>
                <w:szCs w:val="13"/>
                <w:color w:val="auto"/>
              </w:rPr>
              <w:t>AMC / Barnes &amp; Noble / Ulta / DSW</w:t>
            </w:r>
          </w:p>
        </w:tc>
      </w:tr>
      <w:tr>
        <w:trPr>
          <w:trHeight w:val="97"/>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80" w:type="dxa"/>
            <w:vAlign w:val="bottom"/>
          </w:tcPr>
          <w:p>
            <w:pPr>
              <w:spacing w:after="0"/>
              <w:rPr>
                <w:sz w:val="8"/>
                <w:szCs w:val="8"/>
                <w:color w:val="auto"/>
              </w:rPr>
            </w:pPr>
          </w:p>
        </w:tc>
      </w:tr>
      <w:tr>
        <w:trPr>
          <w:trHeight w:val="148"/>
        </w:trPr>
        <w:tc>
          <w:tcPr>
            <w:tcW w:w="1240" w:type="dxa"/>
            <w:vAlign w:val="bottom"/>
            <w:gridSpan w:val="4"/>
            <w:shd w:val="clear" w:color="auto" w:fill="CCEEFF"/>
          </w:tcPr>
          <w:p>
            <w:pPr>
              <w:ind w:left="20"/>
              <w:spacing w:after="0" w:line="148" w:lineRule="exact"/>
              <w:rPr>
                <w:sz w:val="20"/>
                <w:szCs w:val="20"/>
                <w:color w:val="auto"/>
              </w:rPr>
            </w:pPr>
            <w:r>
              <w:rPr>
                <w:rFonts w:ascii="Arial" w:cs="Arial" w:eastAsia="Arial" w:hAnsi="Arial"/>
                <w:sz w:val="13"/>
                <w:szCs w:val="13"/>
                <w:color w:val="auto"/>
              </w:rPr>
              <w:t>Brook 35</w:t>
            </w:r>
          </w:p>
        </w:tc>
        <w:tc>
          <w:tcPr>
            <w:tcW w:w="44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90"/>
              </w:rPr>
              <w:t>(3) (5)</w:t>
            </w:r>
          </w:p>
        </w:tc>
        <w:tc>
          <w:tcPr>
            <w:tcW w:w="194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New York-Northern New Jersey-</w:t>
            </w:r>
          </w:p>
        </w:tc>
        <w:tc>
          <w:tcPr>
            <w:tcW w:w="70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47,387</w:t>
            </w:r>
          </w:p>
        </w:tc>
        <w:tc>
          <w:tcPr>
            <w:tcW w:w="660" w:type="dxa"/>
            <w:vAlign w:val="bottom"/>
            <w:shd w:val="clear" w:color="auto" w:fill="CCEEFF"/>
          </w:tcPr>
          <w:p>
            <w:pPr>
              <w:jc w:val="right"/>
              <w:ind w:right="58"/>
              <w:spacing w:after="0" w:line="148" w:lineRule="exact"/>
              <w:rPr>
                <w:sz w:val="20"/>
                <w:szCs w:val="20"/>
                <w:color w:val="auto"/>
              </w:rPr>
            </w:pPr>
            <w:r>
              <w:rPr>
                <w:rFonts w:ascii="Arial" w:cs="Arial" w:eastAsia="Arial" w:hAnsi="Arial"/>
                <w:sz w:val="13"/>
                <w:szCs w:val="13"/>
                <w:color w:val="auto"/>
              </w:rPr>
              <w:t>11,500</w:t>
            </w:r>
          </w:p>
        </w:tc>
        <w:tc>
          <w:tcPr>
            <w:tcW w:w="48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11</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99,000</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100%</w:t>
            </w: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8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w w:val="89"/>
              </w:rPr>
              <w:t>Banana Republic / Gap / Coach / Williams-</w:t>
            </w:r>
          </w:p>
        </w:tc>
      </w:tr>
      <w:tr>
        <w:trPr>
          <w:trHeight w:val="176"/>
        </w:trPr>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940" w:type="dxa"/>
            <w:vAlign w:val="bottom"/>
            <w:shd w:val="clear" w:color="auto" w:fill="CCEEFF"/>
          </w:tcPr>
          <w:p>
            <w:pPr>
              <w:ind w:left="40"/>
              <w:spacing w:after="0"/>
              <w:rPr>
                <w:sz w:val="20"/>
                <w:szCs w:val="20"/>
                <w:color w:val="auto"/>
              </w:rPr>
            </w:pPr>
            <w:r>
              <w:rPr>
                <w:rFonts w:ascii="Arial" w:cs="Arial" w:eastAsia="Arial" w:hAnsi="Arial"/>
                <w:sz w:val="13"/>
                <w:szCs w:val="13"/>
                <w:color w:val="auto"/>
              </w:rPr>
              <w:t>Long Island, NY-NJ-PA</w:t>
            </w: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80" w:type="dxa"/>
            <w:vAlign w:val="bottom"/>
            <w:shd w:val="clear" w:color="auto" w:fill="CCEEFF"/>
          </w:tcPr>
          <w:p>
            <w:pPr>
              <w:ind w:left="60"/>
              <w:spacing w:after="0"/>
              <w:rPr>
                <w:sz w:val="20"/>
                <w:szCs w:val="20"/>
                <w:color w:val="auto"/>
              </w:rPr>
            </w:pPr>
            <w:r>
              <w:rPr>
                <w:rFonts w:ascii="Arial" w:cs="Arial" w:eastAsia="Arial" w:hAnsi="Arial"/>
                <w:sz w:val="13"/>
                <w:szCs w:val="13"/>
                <w:color w:val="auto"/>
              </w:rPr>
              <w:t>Sonoma</w:t>
            </w:r>
          </w:p>
        </w:tc>
      </w:tr>
      <w:tr>
        <w:trPr>
          <w:trHeight w:val="148"/>
        </w:trPr>
        <w:tc>
          <w:tcPr>
            <w:tcW w:w="1240" w:type="dxa"/>
            <w:vAlign w:val="bottom"/>
            <w:gridSpan w:val="4"/>
          </w:tcPr>
          <w:p>
            <w:pPr>
              <w:ind w:left="20"/>
              <w:spacing w:after="0" w:line="148" w:lineRule="exact"/>
              <w:rPr>
                <w:sz w:val="20"/>
                <w:szCs w:val="20"/>
                <w:color w:val="auto"/>
              </w:rPr>
            </w:pPr>
            <w:r>
              <w:rPr>
                <w:rFonts w:ascii="Arial" w:cs="Arial" w:eastAsia="Arial" w:hAnsi="Arial"/>
                <w:sz w:val="13"/>
                <w:szCs w:val="13"/>
                <w:color w:val="auto"/>
              </w:rPr>
              <w:t>Darien</w:t>
            </w:r>
          </w:p>
        </w:tc>
        <w:tc>
          <w:tcPr>
            <w:tcW w:w="440" w:type="dxa"/>
            <w:vAlign w:val="bottom"/>
          </w:tcPr>
          <w:p>
            <w:pPr>
              <w:spacing w:after="0"/>
              <w:rPr>
                <w:sz w:val="12"/>
                <w:szCs w:val="12"/>
                <w:color w:val="auto"/>
              </w:rPr>
            </w:pPr>
          </w:p>
        </w:tc>
        <w:tc>
          <w:tcPr>
            <w:tcW w:w="1940" w:type="dxa"/>
            <w:vAlign w:val="bottom"/>
          </w:tcPr>
          <w:p>
            <w:pPr>
              <w:ind w:left="40"/>
              <w:spacing w:after="0" w:line="148" w:lineRule="exact"/>
              <w:rPr>
                <w:sz w:val="20"/>
                <w:szCs w:val="20"/>
                <w:color w:val="auto"/>
              </w:rPr>
            </w:pPr>
            <w:r>
              <w:rPr>
                <w:rFonts w:ascii="Arial" w:cs="Arial" w:eastAsia="Arial" w:hAnsi="Arial"/>
                <w:sz w:val="13"/>
                <w:szCs w:val="13"/>
                <w:color w:val="auto"/>
                <w:w w:val="97"/>
              </w:rPr>
              <w:t>New Haven-Bridgeport-Stamford-</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49,872</w:t>
            </w:r>
          </w:p>
        </w:tc>
        <w:tc>
          <w:tcPr>
            <w:tcW w:w="660" w:type="dxa"/>
            <w:vAlign w:val="bottom"/>
          </w:tcPr>
          <w:p>
            <w:pPr>
              <w:spacing w:after="0"/>
              <w:rPr>
                <w:sz w:val="12"/>
                <w:szCs w:val="12"/>
                <w:color w:val="auto"/>
              </w:rPr>
            </w:pP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9</w:t>
            </w:r>
          </w:p>
        </w:tc>
        <w:tc>
          <w:tcPr>
            <w:tcW w:w="120" w:type="dxa"/>
            <w:vAlign w:val="bottom"/>
          </w:tcPr>
          <w:p>
            <w:pPr>
              <w:spacing w:after="0"/>
              <w:rPr>
                <w:sz w:val="12"/>
                <w:szCs w:val="12"/>
                <w:color w:val="auto"/>
              </w:rPr>
            </w:pP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95,000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96%</w:t>
            </w:r>
          </w:p>
        </w:tc>
        <w:tc>
          <w:tcPr>
            <w:tcW w:w="68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45,000</w:t>
            </w:r>
          </w:p>
        </w:tc>
        <w:tc>
          <w:tcPr>
            <w:tcW w:w="920" w:type="dxa"/>
            <w:vAlign w:val="bottom"/>
          </w:tcPr>
          <w:p>
            <w:pPr>
              <w:ind w:left="80"/>
              <w:spacing w:after="0" w:line="148" w:lineRule="exact"/>
              <w:rPr>
                <w:sz w:val="20"/>
                <w:szCs w:val="20"/>
                <w:color w:val="auto"/>
              </w:rPr>
            </w:pPr>
            <w:r>
              <w:rPr>
                <w:rFonts w:ascii="Arial" w:cs="Arial" w:eastAsia="Arial" w:hAnsi="Arial"/>
                <w:sz w:val="13"/>
                <w:szCs w:val="13"/>
                <w:color w:val="auto"/>
              </w:rPr>
              <w:t>Stop &amp; Shop</w:t>
            </w:r>
          </w:p>
        </w:tc>
        <w:tc>
          <w:tcPr>
            <w:tcW w:w="2280" w:type="dxa"/>
            <w:vAlign w:val="bottom"/>
          </w:tcPr>
          <w:p>
            <w:pPr>
              <w:ind w:left="60"/>
              <w:spacing w:after="0" w:line="148" w:lineRule="exact"/>
              <w:rPr>
                <w:sz w:val="20"/>
                <w:szCs w:val="20"/>
                <w:color w:val="auto"/>
              </w:rPr>
            </w:pPr>
            <w:r>
              <w:rPr>
                <w:rFonts w:ascii="Arial" w:cs="Arial" w:eastAsia="Arial" w:hAnsi="Arial"/>
                <w:sz w:val="13"/>
                <w:szCs w:val="13"/>
                <w:color w:val="auto"/>
              </w:rPr>
              <w:t>Equinox</w:t>
            </w:r>
          </w:p>
        </w:tc>
      </w:tr>
      <w:tr>
        <w:trPr>
          <w:trHeight w:val="168"/>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40" w:type="dxa"/>
            <w:vAlign w:val="bottom"/>
          </w:tcPr>
          <w:p>
            <w:pPr>
              <w:ind w:left="40"/>
              <w:spacing w:after="0"/>
              <w:rPr>
                <w:sz w:val="20"/>
                <w:szCs w:val="20"/>
                <w:color w:val="auto"/>
              </w:rPr>
            </w:pPr>
            <w:r>
              <w:rPr>
                <w:rFonts w:ascii="Arial" w:cs="Arial" w:eastAsia="Arial" w:hAnsi="Arial"/>
                <w:sz w:val="13"/>
                <w:szCs w:val="13"/>
                <w:color w:val="auto"/>
              </w:rPr>
              <w:t>Waterbury</w:t>
            </w: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81"/>
        </w:trPr>
        <w:tc>
          <w:tcPr>
            <w:tcW w:w="1240" w:type="dxa"/>
            <w:vAlign w:val="bottom"/>
            <w:gridSpan w:val="4"/>
            <w:shd w:val="clear" w:color="auto" w:fill="CCEEFF"/>
          </w:tcPr>
          <w:p>
            <w:pPr>
              <w:ind w:left="20"/>
              <w:spacing w:after="0"/>
              <w:rPr>
                <w:sz w:val="20"/>
                <w:szCs w:val="20"/>
                <w:color w:val="auto"/>
              </w:rPr>
            </w:pPr>
            <w:r>
              <w:rPr>
                <w:rFonts w:ascii="Arial" w:cs="Arial" w:eastAsia="Arial" w:hAnsi="Arial"/>
                <w:sz w:val="13"/>
                <w:szCs w:val="13"/>
                <w:color w:val="auto"/>
              </w:rPr>
              <w:t>Fresh Meadows</w:t>
            </w:r>
          </w:p>
        </w:tc>
        <w:tc>
          <w:tcPr>
            <w:tcW w:w="440" w:type="dxa"/>
            <w:vAlign w:val="bottom"/>
            <w:shd w:val="clear" w:color="auto" w:fill="CCEEFF"/>
          </w:tcPr>
          <w:p>
            <w:pPr>
              <w:spacing w:after="0"/>
              <w:rPr>
                <w:sz w:val="15"/>
                <w:szCs w:val="15"/>
                <w:color w:val="auto"/>
              </w:rPr>
            </w:pPr>
          </w:p>
        </w:tc>
        <w:tc>
          <w:tcPr>
            <w:tcW w:w="194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New York, NY</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88,067</w:t>
            </w: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17</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404,000</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15,000</w:t>
            </w:r>
          </w:p>
        </w:tc>
        <w:tc>
          <w:tcPr>
            <w:tcW w:w="920" w:type="dxa"/>
            <w:vAlign w:val="bottom"/>
            <w:shd w:val="clear" w:color="auto" w:fill="CCEEFF"/>
          </w:tcPr>
          <w:p>
            <w:pPr>
              <w:ind w:left="80"/>
              <w:spacing w:after="0"/>
              <w:rPr>
                <w:sz w:val="20"/>
                <w:szCs w:val="20"/>
                <w:color w:val="auto"/>
              </w:rPr>
            </w:pPr>
            <w:r>
              <w:rPr>
                <w:rFonts w:ascii="Arial" w:cs="Arial" w:eastAsia="Arial" w:hAnsi="Arial"/>
                <w:sz w:val="13"/>
                <w:szCs w:val="13"/>
                <w:color w:val="auto"/>
              </w:rPr>
              <w:t>Island of Gold</w:t>
            </w:r>
          </w:p>
        </w:tc>
        <w:tc>
          <w:tcPr>
            <w:tcW w:w="2280" w:type="dxa"/>
            <w:vAlign w:val="bottom"/>
            <w:shd w:val="clear" w:color="auto" w:fill="CCEEFF"/>
          </w:tcPr>
          <w:p>
            <w:pPr>
              <w:ind w:left="60"/>
              <w:spacing w:after="0"/>
              <w:rPr>
                <w:sz w:val="20"/>
                <w:szCs w:val="20"/>
                <w:color w:val="auto"/>
              </w:rPr>
            </w:pPr>
            <w:r>
              <w:rPr>
                <w:rFonts w:ascii="Arial" w:cs="Arial" w:eastAsia="Arial" w:hAnsi="Arial"/>
                <w:sz w:val="13"/>
                <w:szCs w:val="13"/>
                <w:color w:val="auto"/>
              </w:rPr>
              <w:t>AMC / Kohl's / Michaels</w:t>
            </w:r>
          </w:p>
        </w:tc>
      </w:tr>
      <w:tr>
        <w:trPr>
          <w:trHeight w:val="97"/>
        </w:trPr>
        <w:tc>
          <w:tcPr>
            <w:tcW w:w="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94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2280" w:type="dxa"/>
            <w:vAlign w:val="bottom"/>
            <w:shd w:val="clear" w:color="auto" w:fill="CCEEFF"/>
          </w:tcPr>
          <w:p>
            <w:pPr>
              <w:spacing w:after="0"/>
              <w:rPr>
                <w:sz w:val="8"/>
                <w:szCs w:val="8"/>
                <w:color w:val="auto"/>
              </w:rPr>
            </w:pPr>
          </w:p>
        </w:tc>
      </w:tr>
      <w:tr>
        <w:trPr>
          <w:trHeight w:val="148"/>
        </w:trPr>
        <w:tc>
          <w:tcPr>
            <w:tcW w:w="1240" w:type="dxa"/>
            <w:vAlign w:val="bottom"/>
            <w:gridSpan w:val="4"/>
          </w:tcPr>
          <w:p>
            <w:pPr>
              <w:ind w:left="20"/>
              <w:spacing w:after="0" w:line="148" w:lineRule="exact"/>
              <w:rPr>
                <w:sz w:val="20"/>
                <w:szCs w:val="20"/>
                <w:color w:val="auto"/>
              </w:rPr>
            </w:pPr>
            <w:r>
              <w:rPr>
                <w:rFonts w:ascii="Arial" w:cs="Arial" w:eastAsia="Arial" w:hAnsi="Arial"/>
                <w:sz w:val="13"/>
                <w:szCs w:val="13"/>
                <w:color w:val="auto"/>
              </w:rPr>
              <w:t>Greenlawn Plaza</w:t>
            </w:r>
          </w:p>
        </w:tc>
        <w:tc>
          <w:tcPr>
            <w:tcW w:w="440" w:type="dxa"/>
            <w:vAlign w:val="bottom"/>
          </w:tcPr>
          <w:p>
            <w:pPr>
              <w:spacing w:after="0"/>
              <w:rPr>
                <w:sz w:val="12"/>
                <w:szCs w:val="12"/>
                <w:color w:val="auto"/>
              </w:rPr>
            </w:pPr>
          </w:p>
        </w:tc>
        <w:tc>
          <w:tcPr>
            <w:tcW w:w="1940" w:type="dxa"/>
            <w:vAlign w:val="bottom"/>
          </w:tcPr>
          <w:p>
            <w:pPr>
              <w:ind w:left="40"/>
              <w:spacing w:after="0" w:line="148" w:lineRule="exact"/>
              <w:rPr>
                <w:sz w:val="20"/>
                <w:szCs w:val="20"/>
                <w:color w:val="auto"/>
              </w:rPr>
            </w:pPr>
            <w:r>
              <w:rPr>
                <w:rFonts w:ascii="Arial" w:cs="Arial" w:eastAsia="Arial" w:hAnsi="Arial"/>
                <w:sz w:val="13"/>
                <w:szCs w:val="13"/>
                <w:color w:val="auto"/>
              </w:rPr>
              <w:t>Nassau-Suffolk, NY</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31,702</w:t>
            </w:r>
          </w:p>
        </w:tc>
        <w:tc>
          <w:tcPr>
            <w:tcW w:w="660" w:type="dxa"/>
            <w:vAlign w:val="bottom"/>
          </w:tcPr>
          <w:p>
            <w:pPr>
              <w:spacing w:after="0"/>
              <w:rPr>
                <w:sz w:val="12"/>
                <w:szCs w:val="12"/>
                <w:color w:val="auto"/>
              </w:rPr>
            </w:pP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13</w:t>
            </w:r>
          </w:p>
        </w:tc>
        <w:tc>
          <w:tcPr>
            <w:tcW w:w="120" w:type="dxa"/>
            <w:vAlign w:val="bottom"/>
          </w:tcPr>
          <w:p>
            <w:pPr>
              <w:spacing w:after="0"/>
              <w:rPr>
                <w:sz w:val="12"/>
                <w:szCs w:val="12"/>
                <w:color w:val="auto"/>
              </w:rPr>
            </w:pP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106,000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96%</w:t>
            </w:r>
          </w:p>
        </w:tc>
        <w:tc>
          <w:tcPr>
            <w:tcW w:w="68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46,000</w:t>
            </w:r>
          </w:p>
        </w:tc>
        <w:tc>
          <w:tcPr>
            <w:tcW w:w="920" w:type="dxa"/>
            <w:vAlign w:val="bottom"/>
          </w:tcPr>
          <w:p>
            <w:pPr>
              <w:ind w:left="80"/>
              <w:spacing w:after="0" w:line="148" w:lineRule="exact"/>
              <w:rPr>
                <w:sz w:val="20"/>
                <w:szCs w:val="20"/>
                <w:color w:val="auto"/>
              </w:rPr>
            </w:pPr>
            <w:r>
              <w:rPr>
                <w:rFonts w:ascii="Arial" w:cs="Arial" w:eastAsia="Arial" w:hAnsi="Arial"/>
                <w:sz w:val="13"/>
                <w:szCs w:val="13"/>
                <w:color w:val="auto"/>
              </w:rPr>
              <w:t>Greenlawn</w:t>
            </w:r>
          </w:p>
        </w:tc>
        <w:tc>
          <w:tcPr>
            <w:tcW w:w="2280" w:type="dxa"/>
            <w:vAlign w:val="bottom"/>
          </w:tcPr>
          <w:p>
            <w:pPr>
              <w:ind w:left="60"/>
              <w:spacing w:after="0" w:line="148" w:lineRule="exact"/>
              <w:rPr>
                <w:sz w:val="20"/>
                <w:szCs w:val="20"/>
                <w:color w:val="auto"/>
              </w:rPr>
            </w:pPr>
            <w:r>
              <w:rPr>
                <w:rFonts w:ascii="Arial" w:cs="Arial" w:eastAsia="Arial" w:hAnsi="Arial"/>
                <w:sz w:val="13"/>
                <w:szCs w:val="13"/>
                <w:color w:val="auto"/>
              </w:rPr>
              <w:t>Tuesday Morning</w:t>
            </w:r>
          </w:p>
        </w:tc>
      </w:tr>
      <w:tr>
        <w:trPr>
          <w:trHeight w:val="168"/>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ind w:left="80"/>
              <w:spacing w:after="0"/>
              <w:rPr>
                <w:sz w:val="20"/>
                <w:szCs w:val="20"/>
                <w:color w:val="auto"/>
              </w:rPr>
            </w:pPr>
            <w:r>
              <w:rPr>
                <w:rFonts w:ascii="Arial" w:cs="Arial" w:eastAsia="Arial" w:hAnsi="Arial"/>
                <w:sz w:val="13"/>
                <w:szCs w:val="13"/>
                <w:color w:val="auto"/>
              </w:rPr>
              <w:t>Farms</w:t>
            </w:r>
          </w:p>
        </w:tc>
        <w:tc>
          <w:tcPr>
            <w:tcW w:w="2280" w:type="dxa"/>
            <w:vAlign w:val="bottom"/>
          </w:tcPr>
          <w:p>
            <w:pPr>
              <w:spacing w:after="0"/>
              <w:rPr>
                <w:sz w:val="14"/>
                <w:szCs w:val="14"/>
                <w:color w:val="auto"/>
              </w:rPr>
            </w:pPr>
          </w:p>
        </w:tc>
      </w:tr>
      <w:tr>
        <w:trPr>
          <w:trHeight w:val="156"/>
        </w:trPr>
        <w:tc>
          <w:tcPr>
            <w:tcW w:w="1240" w:type="dxa"/>
            <w:vAlign w:val="bottom"/>
            <w:gridSpan w:val="4"/>
            <w:shd w:val="clear" w:color="auto" w:fill="CCEEFF"/>
          </w:tcPr>
          <w:p>
            <w:pPr>
              <w:ind w:left="20"/>
              <w:spacing w:after="0"/>
              <w:rPr>
                <w:sz w:val="20"/>
                <w:szCs w:val="20"/>
                <w:color w:val="auto"/>
              </w:rPr>
            </w:pPr>
            <w:r>
              <w:rPr>
                <w:rFonts w:ascii="Arial" w:cs="Arial" w:eastAsia="Arial" w:hAnsi="Arial"/>
                <w:sz w:val="13"/>
                <w:szCs w:val="13"/>
                <w:color w:val="auto"/>
              </w:rPr>
              <w:t>Greenwich Avenue</w:t>
            </w:r>
          </w:p>
        </w:tc>
        <w:tc>
          <w:tcPr>
            <w:tcW w:w="440" w:type="dxa"/>
            <w:vAlign w:val="bottom"/>
            <w:shd w:val="clear" w:color="auto" w:fill="CCEEFF"/>
          </w:tcPr>
          <w:p>
            <w:pPr>
              <w:spacing w:after="0"/>
              <w:rPr>
                <w:sz w:val="13"/>
                <w:szCs w:val="13"/>
                <w:color w:val="auto"/>
              </w:rPr>
            </w:pPr>
          </w:p>
        </w:tc>
        <w:tc>
          <w:tcPr>
            <w:tcW w:w="1940" w:type="dxa"/>
            <w:vAlign w:val="bottom"/>
            <w:shd w:val="clear" w:color="auto" w:fill="CCEEFF"/>
          </w:tcPr>
          <w:p>
            <w:pPr>
              <w:ind w:left="40"/>
              <w:spacing w:after="0"/>
              <w:rPr>
                <w:sz w:val="20"/>
                <w:szCs w:val="20"/>
                <w:color w:val="auto"/>
              </w:rPr>
            </w:pPr>
            <w:r>
              <w:rPr>
                <w:rFonts w:ascii="Arial" w:cs="Arial" w:eastAsia="Arial" w:hAnsi="Arial"/>
                <w:sz w:val="13"/>
                <w:szCs w:val="13"/>
                <w:color w:val="auto"/>
                <w:w w:val="97"/>
              </w:rPr>
              <w:t>New Haven-Bridgeport-Stamford-</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14,127</w:t>
            </w:r>
          </w:p>
        </w:tc>
        <w:tc>
          <w:tcPr>
            <w:tcW w:w="66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36,000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80" w:type="dxa"/>
            <w:vAlign w:val="bottom"/>
            <w:shd w:val="clear" w:color="auto" w:fill="CCEEFF"/>
          </w:tcPr>
          <w:p>
            <w:pPr>
              <w:ind w:left="60"/>
              <w:spacing w:after="0"/>
              <w:rPr>
                <w:sz w:val="20"/>
                <w:szCs w:val="20"/>
                <w:color w:val="auto"/>
              </w:rPr>
            </w:pPr>
            <w:r>
              <w:rPr>
                <w:rFonts w:ascii="Arial" w:cs="Arial" w:eastAsia="Arial" w:hAnsi="Arial"/>
                <w:sz w:val="13"/>
                <w:szCs w:val="13"/>
                <w:color w:val="auto"/>
              </w:rPr>
              <w:t>Saks Fifth Avenue</w:t>
            </w:r>
          </w:p>
        </w:tc>
      </w:tr>
      <w:tr>
        <w:trPr>
          <w:trHeight w:val="176"/>
        </w:trPr>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9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Waterbury</w:t>
            </w: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r>
      <w:tr>
        <w:trPr>
          <w:trHeight w:val="173"/>
        </w:trPr>
        <w:tc>
          <w:tcPr>
            <w:tcW w:w="1240" w:type="dxa"/>
            <w:vAlign w:val="bottom"/>
            <w:gridSpan w:val="4"/>
          </w:tcPr>
          <w:p>
            <w:pPr>
              <w:ind w:left="20"/>
              <w:spacing w:after="0"/>
              <w:rPr>
                <w:sz w:val="20"/>
                <w:szCs w:val="20"/>
                <w:color w:val="auto"/>
              </w:rPr>
            </w:pPr>
            <w:r>
              <w:rPr>
                <w:rFonts w:ascii="Arial" w:cs="Arial" w:eastAsia="Arial" w:hAnsi="Arial"/>
                <w:sz w:val="13"/>
                <w:szCs w:val="13"/>
                <w:color w:val="auto"/>
              </w:rPr>
              <w:t>Hauppauge</w:t>
            </w:r>
          </w:p>
        </w:tc>
        <w:tc>
          <w:tcPr>
            <w:tcW w:w="440" w:type="dxa"/>
            <w:vAlign w:val="bottom"/>
          </w:tcPr>
          <w:p>
            <w:pPr>
              <w:spacing w:after="0"/>
              <w:rPr>
                <w:sz w:val="15"/>
                <w:szCs w:val="15"/>
                <w:color w:val="auto"/>
              </w:rPr>
            </w:pPr>
          </w:p>
        </w:tc>
        <w:tc>
          <w:tcPr>
            <w:tcW w:w="1940" w:type="dxa"/>
            <w:vAlign w:val="bottom"/>
          </w:tcPr>
          <w:p>
            <w:pPr>
              <w:ind w:left="40"/>
              <w:spacing w:after="0"/>
              <w:rPr>
                <w:sz w:val="20"/>
                <w:szCs w:val="20"/>
                <w:color w:val="auto"/>
              </w:rPr>
            </w:pPr>
            <w:r>
              <w:rPr>
                <w:rFonts w:ascii="Arial" w:cs="Arial" w:eastAsia="Arial" w:hAnsi="Arial"/>
                <w:sz w:val="13"/>
                <w:szCs w:val="13"/>
                <w:color w:val="auto"/>
              </w:rPr>
              <w:t>Nassau-Suffolk, NY</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29,067</w:t>
            </w:r>
          </w:p>
        </w:tc>
        <w:tc>
          <w:tcPr>
            <w:tcW w:w="660" w:type="dxa"/>
            <w:vAlign w:val="bottom"/>
          </w:tcPr>
          <w:p>
            <w:pPr>
              <w:spacing w:after="0"/>
              <w:rPr>
                <w:sz w:val="15"/>
                <w:szCs w:val="15"/>
                <w:color w:val="auto"/>
              </w:rPr>
            </w:pP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15</w:t>
            </w:r>
          </w:p>
        </w:tc>
        <w:tc>
          <w:tcPr>
            <w:tcW w:w="120" w:type="dxa"/>
            <w:vAlign w:val="bottom"/>
          </w:tcPr>
          <w:p>
            <w:pPr>
              <w:spacing w:after="0"/>
              <w:rPr>
                <w:sz w:val="15"/>
                <w:szCs w:val="15"/>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134,000</w:t>
            </w: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100%</w:t>
            </w:r>
          </w:p>
        </w:tc>
        <w:tc>
          <w:tcPr>
            <w:tcW w:w="680" w:type="dxa"/>
            <w:vAlign w:val="bottom"/>
          </w:tcPr>
          <w:p>
            <w:pPr>
              <w:spacing w:after="0"/>
              <w:rPr>
                <w:sz w:val="15"/>
                <w:szCs w:val="15"/>
                <w:color w:val="auto"/>
              </w:rPr>
            </w:pPr>
          </w:p>
        </w:tc>
        <w:tc>
          <w:tcPr>
            <w:tcW w:w="580" w:type="dxa"/>
            <w:vAlign w:val="bottom"/>
          </w:tcPr>
          <w:p>
            <w:pPr>
              <w:jc w:val="center"/>
              <w:ind w:right="17"/>
              <w:spacing w:after="0"/>
              <w:rPr>
                <w:sz w:val="20"/>
                <w:szCs w:val="20"/>
                <w:color w:val="auto"/>
              </w:rPr>
            </w:pPr>
            <w:r>
              <w:rPr>
                <w:rFonts w:ascii="Arial" w:cs="Arial" w:eastAsia="Arial" w:hAnsi="Arial"/>
                <w:sz w:val="13"/>
                <w:szCs w:val="13"/>
                <w:color w:val="auto"/>
                <w:w w:val="85"/>
              </w:rPr>
              <w:t>61,000</w:t>
            </w:r>
          </w:p>
        </w:tc>
        <w:tc>
          <w:tcPr>
            <w:tcW w:w="920" w:type="dxa"/>
            <w:vAlign w:val="bottom"/>
          </w:tcPr>
          <w:p>
            <w:pPr>
              <w:ind w:left="80"/>
              <w:spacing w:after="0"/>
              <w:rPr>
                <w:sz w:val="20"/>
                <w:szCs w:val="20"/>
                <w:color w:val="auto"/>
              </w:rPr>
            </w:pPr>
            <w:r>
              <w:rPr>
                <w:rFonts w:ascii="Arial" w:cs="Arial" w:eastAsia="Arial" w:hAnsi="Arial"/>
                <w:sz w:val="13"/>
                <w:szCs w:val="13"/>
                <w:color w:val="auto"/>
              </w:rPr>
              <w:t>Shop Rite</w:t>
            </w:r>
          </w:p>
        </w:tc>
        <w:tc>
          <w:tcPr>
            <w:tcW w:w="2280" w:type="dxa"/>
            <w:vAlign w:val="bottom"/>
          </w:tcPr>
          <w:p>
            <w:pPr>
              <w:ind w:left="60"/>
              <w:spacing w:after="0"/>
              <w:rPr>
                <w:sz w:val="20"/>
                <w:szCs w:val="20"/>
                <w:color w:val="auto"/>
              </w:rPr>
            </w:pPr>
            <w:r>
              <w:rPr>
                <w:rFonts w:ascii="Arial" w:cs="Arial" w:eastAsia="Arial" w:hAnsi="Arial"/>
                <w:sz w:val="13"/>
                <w:szCs w:val="13"/>
                <w:color w:val="auto"/>
              </w:rPr>
              <w:t>A.C. Moore</w:t>
            </w:r>
          </w:p>
        </w:tc>
      </w:tr>
      <w:tr>
        <w:trPr>
          <w:trHeight w:val="97"/>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80" w:type="dxa"/>
            <w:vAlign w:val="bottom"/>
          </w:tcPr>
          <w:p>
            <w:pPr>
              <w:spacing w:after="0"/>
              <w:rPr>
                <w:sz w:val="8"/>
                <w:szCs w:val="8"/>
                <w:color w:val="auto"/>
              </w:rPr>
            </w:pPr>
          </w:p>
        </w:tc>
      </w:tr>
      <w:tr>
        <w:trPr>
          <w:trHeight w:val="148"/>
        </w:trPr>
        <w:tc>
          <w:tcPr>
            <w:tcW w:w="1240" w:type="dxa"/>
            <w:vAlign w:val="bottom"/>
            <w:gridSpan w:val="4"/>
            <w:shd w:val="clear" w:color="auto" w:fill="CCEEFF"/>
          </w:tcPr>
          <w:p>
            <w:pPr>
              <w:ind w:left="20"/>
              <w:spacing w:after="0" w:line="148" w:lineRule="exact"/>
              <w:rPr>
                <w:sz w:val="20"/>
                <w:szCs w:val="20"/>
                <w:color w:val="auto"/>
              </w:rPr>
            </w:pPr>
            <w:r>
              <w:rPr>
                <w:rFonts w:ascii="Arial" w:cs="Arial" w:eastAsia="Arial" w:hAnsi="Arial"/>
                <w:sz w:val="13"/>
                <w:szCs w:val="13"/>
                <w:color w:val="auto"/>
              </w:rPr>
              <w:t>Huntington</w:t>
            </w:r>
          </w:p>
        </w:tc>
        <w:tc>
          <w:tcPr>
            <w:tcW w:w="440" w:type="dxa"/>
            <w:vAlign w:val="bottom"/>
            <w:shd w:val="clear" w:color="auto" w:fill="CCEEFF"/>
          </w:tcPr>
          <w:p>
            <w:pPr>
              <w:spacing w:after="0"/>
              <w:rPr>
                <w:sz w:val="12"/>
                <w:szCs w:val="12"/>
                <w:color w:val="auto"/>
              </w:rPr>
            </w:pPr>
          </w:p>
        </w:tc>
        <w:tc>
          <w:tcPr>
            <w:tcW w:w="194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Nassau-Suffolk, NY</w:t>
            </w:r>
          </w:p>
        </w:tc>
        <w:tc>
          <w:tcPr>
            <w:tcW w:w="70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47,080</w:t>
            </w:r>
          </w:p>
        </w:tc>
        <w:tc>
          <w:tcPr>
            <w:tcW w:w="66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21</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279,000</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99%</w:t>
            </w: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8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w w:val="96"/>
              </w:rPr>
              <w:t>Nordstrom Rack / Bed, Bath &amp; Beyond /</w:t>
            </w:r>
          </w:p>
        </w:tc>
      </w:tr>
      <w:tr>
        <w:trPr>
          <w:trHeight w:val="176"/>
        </w:trPr>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80" w:type="dxa"/>
            <w:vAlign w:val="bottom"/>
            <w:shd w:val="clear" w:color="auto" w:fill="CCEEFF"/>
          </w:tcPr>
          <w:p>
            <w:pPr>
              <w:ind w:left="60"/>
              <w:spacing w:after="0"/>
              <w:rPr>
                <w:sz w:val="20"/>
                <w:szCs w:val="20"/>
                <w:color w:val="auto"/>
              </w:rPr>
            </w:pPr>
            <w:r>
              <w:rPr>
                <w:rFonts w:ascii="Arial" w:cs="Arial" w:eastAsia="Arial" w:hAnsi="Arial"/>
                <w:sz w:val="13"/>
                <w:szCs w:val="13"/>
                <w:color w:val="auto"/>
              </w:rPr>
              <w:t>Buy Buy Baby / Michaels</w:t>
            </w:r>
          </w:p>
        </w:tc>
      </w:tr>
      <w:tr>
        <w:trPr>
          <w:trHeight w:val="173"/>
        </w:trPr>
        <w:tc>
          <w:tcPr>
            <w:tcW w:w="1240" w:type="dxa"/>
            <w:vAlign w:val="bottom"/>
            <w:gridSpan w:val="4"/>
          </w:tcPr>
          <w:p>
            <w:pPr>
              <w:ind w:left="20"/>
              <w:spacing w:after="0"/>
              <w:rPr>
                <w:sz w:val="20"/>
                <w:szCs w:val="20"/>
                <w:color w:val="auto"/>
              </w:rPr>
            </w:pPr>
            <w:r>
              <w:rPr>
                <w:rFonts w:ascii="Arial" w:cs="Arial" w:eastAsia="Arial" w:hAnsi="Arial"/>
                <w:sz w:val="13"/>
                <w:szCs w:val="13"/>
                <w:color w:val="auto"/>
              </w:rPr>
              <w:t>Huntington Square</w:t>
            </w:r>
          </w:p>
        </w:tc>
        <w:tc>
          <w:tcPr>
            <w:tcW w:w="440" w:type="dxa"/>
            <w:vAlign w:val="bottom"/>
          </w:tcPr>
          <w:p>
            <w:pPr>
              <w:spacing w:after="0"/>
              <w:rPr>
                <w:sz w:val="15"/>
                <w:szCs w:val="15"/>
                <w:color w:val="auto"/>
              </w:rPr>
            </w:pPr>
          </w:p>
        </w:tc>
        <w:tc>
          <w:tcPr>
            <w:tcW w:w="1940" w:type="dxa"/>
            <w:vAlign w:val="bottom"/>
          </w:tcPr>
          <w:p>
            <w:pPr>
              <w:ind w:left="40"/>
              <w:spacing w:after="0"/>
              <w:rPr>
                <w:sz w:val="20"/>
                <w:szCs w:val="20"/>
                <w:color w:val="auto"/>
              </w:rPr>
            </w:pPr>
            <w:r>
              <w:rPr>
                <w:rFonts w:ascii="Arial" w:cs="Arial" w:eastAsia="Arial" w:hAnsi="Arial"/>
                <w:sz w:val="13"/>
                <w:szCs w:val="13"/>
                <w:color w:val="auto"/>
              </w:rPr>
              <w:t>Nassau-Suffolk, NY</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12,179</w:t>
            </w:r>
          </w:p>
        </w:tc>
        <w:tc>
          <w:tcPr>
            <w:tcW w:w="660" w:type="dxa"/>
            <w:vAlign w:val="bottom"/>
          </w:tcPr>
          <w:p>
            <w:pPr>
              <w:spacing w:after="0"/>
              <w:rPr>
                <w:sz w:val="15"/>
                <w:szCs w:val="15"/>
                <w:color w:val="auto"/>
              </w:rPr>
            </w:pP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18</w:t>
            </w:r>
          </w:p>
        </w:tc>
        <w:tc>
          <w:tcPr>
            <w:tcW w:w="120" w:type="dxa"/>
            <w:vAlign w:val="bottom"/>
          </w:tcPr>
          <w:p>
            <w:pPr>
              <w:spacing w:after="0"/>
              <w:rPr>
                <w:sz w:val="15"/>
                <w:szCs w:val="15"/>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74,000</w:t>
            </w: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85%</w:t>
            </w: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80" w:type="dxa"/>
            <w:vAlign w:val="bottom"/>
          </w:tcPr>
          <w:p>
            <w:pPr>
              <w:ind w:left="60"/>
              <w:spacing w:after="0"/>
              <w:rPr>
                <w:sz w:val="20"/>
                <w:szCs w:val="20"/>
                <w:color w:val="auto"/>
              </w:rPr>
            </w:pPr>
            <w:r>
              <w:rPr>
                <w:rFonts w:ascii="Arial" w:cs="Arial" w:eastAsia="Arial" w:hAnsi="Arial"/>
                <w:sz w:val="13"/>
                <w:szCs w:val="13"/>
                <w:color w:val="auto"/>
              </w:rPr>
              <w:t>Barnes &amp; Noble</w:t>
            </w:r>
          </w:p>
        </w:tc>
      </w:tr>
      <w:tr>
        <w:trPr>
          <w:trHeight w:val="97"/>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80" w:type="dxa"/>
            <w:vAlign w:val="bottom"/>
          </w:tcPr>
          <w:p>
            <w:pPr>
              <w:spacing w:after="0"/>
              <w:rPr>
                <w:sz w:val="8"/>
                <w:szCs w:val="8"/>
                <w:color w:val="auto"/>
              </w:rPr>
            </w:pPr>
          </w:p>
        </w:tc>
      </w:tr>
      <w:tr>
        <w:trPr>
          <w:trHeight w:val="148"/>
        </w:trPr>
        <w:tc>
          <w:tcPr>
            <w:tcW w:w="1240" w:type="dxa"/>
            <w:vAlign w:val="bottom"/>
            <w:gridSpan w:val="4"/>
            <w:shd w:val="clear" w:color="auto" w:fill="CCEEFF"/>
          </w:tcPr>
          <w:p>
            <w:pPr>
              <w:ind w:left="20"/>
              <w:spacing w:after="0" w:line="148" w:lineRule="exact"/>
              <w:rPr>
                <w:sz w:val="20"/>
                <w:szCs w:val="20"/>
                <w:color w:val="auto"/>
              </w:rPr>
            </w:pPr>
            <w:r>
              <w:rPr>
                <w:rFonts w:ascii="Arial" w:cs="Arial" w:eastAsia="Arial" w:hAnsi="Arial"/>
                <w:sz w:val="13"/>
                <w:szCs w:val="13"/>
                <w:color w:val="auto"/>
              </w:rPr>
              <w:t>Melville Mall</w:t>
            </w:r>
          </w:p>
        </w:tc>
        <w:tc>
          <w:tcPr>
            <w:tcW w:w="440" w:type="dxa"/>
            <w:vAlign w:val="bottom"/>
            <w:shd w:val="clear" w:color="auto" w:fill="CCEEFF"/>
          </w:tcPr>
          <w:p>
            <w:pPr>
              <w:spacing w:after="0"/>
              <w:rPr>
                <w:sz w:val="12"/>
                <w:szCs w:val="12"/>
                <w:color w:val="auto"/>
              </w:rPr>
            </w:pPr>
          </w:p>
        </w:tc>
        <w:tc>
          <w:tcPr>
            <w:tcW w:w="194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Nassau-Suffolk, NY</w:t>
            </w:r>
          </w:p>
        </w:tc>
        <w:tc>
          <w:tcPr>
            <w:tcW w:w="70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87,076</w:t>
            </w:r>
          </w:p>
        </w:tc>
        <w:tc>
          <w:tcPr>
            <w:tcW w:w="66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21</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251,000</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95%</w:t>
            </w: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8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w w:val="94"/>
              </w:rPr>
              <w:t>Marshalls / Dick's Sporting Goods / Field</w:t>
            </w:r>
          </w:p>
        </w:tc>
      </w:tr>
      <w:tr>
        <w:trPr>
          <w:trHeight w:val="176"/>
        </w:trPr>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80" w:type="dxa"/>
            <w:vAlign w:val="bottom"/>
            <w:shd w:val="clear" w:color="auto" w:fill="CCEEFF"/>
          </w:tcPr>
          <w:p>
            <w:pPr>
              <w:ind w:left="60"/>
              <w:spacing w:after="0"/>
              <w:rPr>
                <w:sz w:val="20"/>
                <w:szCs w:val="20"/>
                <w:color w:val="auto"/>
              </w:rPr>
            </w:pPr>
            <w:r>
              <w:rPr>
                <w:rFonts w:ascii="Arial" w:cs="Arial" w:eastAsia="Arial" w:hAnsi="Arial"/>
                <w:sz w:val="13"/>
                <w:szCs w:val="13"/>
                <w:color w:val="auto"/>
              </w:rPr>
              <w:t>&amp; Stream / Macy's Backstage</w:t>
            </w:r>
          </w:p>
        </w:tc>
      </w:tr>
      <w:tr>
        <w:trPr>
          <w:trHeight w:val="148"/>
        </w:trPr>
        <w:tc>
          <w:tcPr>
            <w:tcW w:w="1240" w:type="dxa"/>
            <w:vAlign w:val="bottom"/>
            <w:gridSpan w:val="4"/>
          </w:tcPr>
          <w:p>
            <w:pPr>
              <w:ind w:left="20"/>
              <w:spacing w:after="0" w:line="148" w:lineRule="exact"/>
              <w:rPr>
                <w:sz w:val="20"/>
                <w:szCs w:val="20"/>
                <w:color w:val="auto"/>
              </w:rPr>
            </w:pPr>
            <w:r>
              <w:rPr>
                <w:rFonts w:ascii="Arial" w:cs="Arial" w:eastAsia="Arial" w:hAnsi="Arial"/>
                <w:sz w:val="13"/>
                <w:szCs w:val="13"/>
                <w:color w:val="auto"/>
              </w:rPr>
              <w:t>Mercer Mall</w:t>
            </w:r>
          </w:p>
        </w:tc>
        <w:tc>
          <w:tcPr>
            <w:tcW w:w="440" w:type="dxa"/>
            <w:vAlign w:val="bottom"/>
          </w:tcPr>
          <w:p>
            <w:pPr>
              <w:jc w:val="center"/>
              <w:spacing w:after="0" w:line="148" w:lineRule="exact"/>
              <w:rPr>
                <w:sz w:val="20"/>
                <w:szCs w:val="20"/>
                <w:color w:val="auto"/>
              </w:rPr>
            </w:pPr>
            <w:r>
              <w:rPr>
                <w:rFonts w:ascii="Arial" w:cs="Arial" w:eastAsia="Arial" w:hAnsi="Arial"/>
                <w:sz w:val="13"/>
                <w:szCs w:val="13"/>
                <w:color w:val="auto"/>
              </w:rPr>
              <w:t>(6)</w:t>
            </w:r>
          </w:p>
        </w:tc>
        <w:tc>
          <w:tcPr>
            <w:tcW w:w="1940" w:type="dxa"/>
            <w:vAlign w:val="bottom"/>
          </w:tcPr>
          <w:p>
            <w:pPr>
              <w:ind w:left="40"/>
              <w:spacing w:after="0" w:line="148" w:lineRule="exact"/>
              <w:rPr>
                <w:sz w:val="20"/>
                <w:szCs w:val="20"/>
                <w:color w:val="auto"/>
              </w:rPr>
            </w:pPr>
            <w:r>
              <w:rPr>
                <w:rFonts w:ascii="Arial" w:cs="Arial" w:eastAsia="Arial" w:hAnsi="Arial"/>
                <w:sz w:val="13"/>
                <w:szCs w:val="13"/>
                <w:color w:val="auto"/>
              </w:rPr>
              <w:t>Trenton, NJ</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125,863</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55,566</w:t>
            </w: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50</w:t>
            </w:r>
          </w:p>
        </w:tc>
        <w:tc>
          <w:tcPr>
            <w:tcW w:w="120" w:type="dxa"/>
            <w:vAlign w:val="bottom"/>
          </w:tcPr>
          <w:p>
            <w:pPr>
              <w:spacing w:after="0"/>
              <w:rPr>
                <w:sz w:val="12"/>
                <w:szCs w:val="12"/>
                <w:color w:val="auto"/>
              </w:rPr>
            </w:pP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530,000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98%</w:t>
            </w:r>
          </w:p>
        </w:tc>
        <w:tc>
          <w:tcPr>
            <w:tcW w:w="68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75,000</w:t>
            </w:r>
          </w:p>
        </w:tc>
        <w:tc>
          <w:tcPr>
            <w:tcW w:w="920" w:type="dxa"/>
            <w:vAlign w:val="bottom"/>
          </w:tcPr>
          <w:p>
            <w:pPr>
              <w:ind w:left="80"/>
              <w:spacing w:after="0" w:line="148" w:lineRule="exact"/>
              <w:rPr>
                <w:sz w:val="20"/>
                <w:szCs w:val="20"/>
                <w:color w:val="auto"/>
              </w:rPr>
            </w:pPr>
            <w:r>
              <w:rPr>
                <w:rFonts w:ascii="Arial" w:cs="Arial" w:eastAsia="Arial" w:hAnsi="Arial"/>
                <w:sz w:val="13"/>
                <w:szCs w:val="13"/>
                <w:color w:val="auto"/>
              </w:rPr>
              <w:t>Shop Rite</w:t>
            </w:r>
          </w:p>
        </w:tc>
        <w:tc>
          <w:tcPr>
            <w:tcW w:w="2280" w:type="dxa"/>
            <w:vAlign w:val="bottom"/>
          </w:tcPr>
          <w:p>
            <w:pPr>
              <w:ind w:left="60"/>
              <w:spacing w:after="0" w:line="148" w:lineRule="exact"/>
              <w:rPr>
                <w:sz w:val="20"/>
                <w:szCs w:val="20"/>
                <w:color w:val="auto"/>
              </w:rPr>
            </w:pPr>
            <w:r>
              <w:rPr>
                <w:rFonts w:ascii="Arial" w:cs="Arial" w:eastAsia="Arial" w:hAnsi="Arial"/>
                <w:sz w:val="13"/>
                <w:szCs w:val="13"/>
                <w:color w:val="auto"/>
                <w:w w:val="93"/>
              </w:rPr>
              <w:t>TJ Maxx / Nordstrom Rack / Bed, Bath &amp;</w:t>
            </w:r>
          </w:p>
        </w:tc>
      </w:tr>
      <w:tr>
        <w:trPr>
          <w:trHeight w:val="168"/>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80" w:type="dxa"/>
            <w:vAlign w:val="bottom"/>
          </w:tcPr>
          <w:p>
            <w:pPr>
              <w:ind w:left="60"/>
              <w:spacing w:after="0"/>
              <w:rPr>
                <w:sz w:val="20"/>
                <w:szCs w:val="20"/>
                <w:color w:val="auto"/>
              </w:rPr>
            </w:pPr>
            <w:r>
              <w:rPr>
                <w:rFonts w:ascii="Arial" w:cs="Arial" w:eastAsia="Arial" w:hAnsi="Arial"/>
                <w:sz w:val="13"/>
                <w:szCs w:val="13"/>
                <w:color w:val="auto"/>
              </w:rPr>
              <w:t>Beyond / REI</w:t>
            </w:r>
          </w:p>
        </w:tc>
      </w:tr>
      <w:tr>
        <w:trPr>
          <w:trHeight w:val="156"/>
        </w:trPr>
        <w:tc>
          <w:tcPr>
            <w:tcW w:w="1240" w:type="dxa"/>
            <w:vAlign w:val="bottom"/>
            <w:gridSpan w:val="4"/>
            <w:shd w:val="clear" w:color="auto" w:fill="CCEEFF"/>
          </w:tcPr>
          <w:p>
            <w:pPr>
              <w:ind w:left="20"/>
              <w:spacing w:after="0"/>
              <w:rPr>
                <w:sz w:val="20"/>
                <w:szCs w:val="20"/>
                <w:color w:val="auto"/>
              </w:rPr>
            </w:pPr>
            <w:r>
              <w:rPr>
                <w:rFonts w:ascii="Arial" w:cs="Arial" w:eastAsia="Arial" w:hAnsi="Arial"/>
                <w:sz w:val="13"/>
                <w:szCs w:val="13"/>
                <w:color w:val="auto"/>
              </w:rPr>
              <w:t>The Grove at</w:t>
            </w:r>
          </w:p>
        </w:tc>
        <w:tc>
          <w:tcPr>
            <w:tcW w:w="4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(3) (5)</w:t>
            </w:r>
          </w:p>
        </w:tc>
        <w:tc>
          <w:tcPr>
            <w:tcW w:w="194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New York-Northern New Jersey-</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124,647</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54,208</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w:t>
            </w: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193,000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80" w:type="dxa"/>
            <w:vAlign w:val="bottom"/>
            <w:shd w:val="clear" w:color="auto" w:fill="CCEEFF"/>
          </w:tcPr>
          <w:p>
            <w:pPr>
              <w:ind w:left="60"/>
              <w:spacing w:after="0"/>
              <w:rPr>
                <w:sz w:val="20"/>
                <w:szCs w:val="20"/>
                <w:color w:val="auto"/>
              </w:rPr>
            </w:pPr>
            <w:r>
              <w:rPr>
                <w:rFonts w:ascii="Arial" w:cs="Arial" w:eastAsia="Arial" w:hAnsi="Arial"/>
                <w:sz w:val="13"/>
                <w:szCs w:val="13"/>
                <w:color w:val="auto"/>
                <w:w w:val="91"/>
              </w:rPr>
              <w:t>Lululemon / Anthropologie / Pottery Barn /</w:t>
            </w:r>
          </w:p>
        </w:tc>
      </w:tr>
      <w:tr>
        <w:trPr>
          <w:trHeight w:val="176"/>
        </w:trPr>
        <w:tc>
          <w:tcPr>
            <w:tcW w:w="1240" w:type="dxa"/>
            <w:vAlign w:val="bottom"/>
            <w:gridSpan w:val="4"/>
            <w:shd w:val="clear" w:color="auto" w:fill="CCEEFF"/>
          </w:tcPr>
          <w:p>
            <w:pPr>
              <w:ind w:left="20"/>
              <w:spacing w:after="0"/>
              <w:rPr>
                <w:sz w:val="20"/>
                <w:szCs w:val="20"/>
                <w:color w:val="auto"/>
              </w:rPr>
            </w:pPr>
            <w:r>
              <w:rPr>
                <w:rFonts w:ascii="Arial" w:cs="Arial" w:eastAsia="Arial" w:hAnsi="Arial"/>
                <w:sz w:val="13"/>
                <w:szCs w:val="13"/>
                <w:color w:val="auto"/>
              </w:rPr>
              <w:t>Shrewsbury</w:t>
            </w:r>
          </w:p>
        </w:tc>
        <w:tc>
          <w:tcPr>
            <w:tcW w:w="440" w:type="dxa"/>
            <w:vAlign w:val="bottom"/>
            <w:shd w:val="clear" w:color="auto" w:fill="CCEEFF"/>
          </w:tcPr>
          <w:p>
            <w:pPr>
              <w:spacing w:after="0"/>
              <w:rPr>
                <w:sz w:val="15"/>
                <w:szCs w:val="15"/>
                <w:color w:val="auto"/>
              </w:rPr>
            </w:pPr>
          </w:p>
        </w:tc>
        <w:tc>
          <w:tcPr>
            <w:tcW w:w="1940" w:type="dxa"/>
            <w:vAlign w:val="bottom"/>
            <w:shd w:val="clear" w:color="auto" w:fill="CCEEFF"/>
          </w:tcPr>
          <w:p>
            <w:pPr>
              <w:ind w:left="40"/>
              <w:spacing w:after="0"/>
              <w:rPr>
                <w:sz w:val="20"/>
                <w:szCs w:val="20"/>
                <w:color w:val="auto"/>
              </w:rPr>
            </w:pPr>
            <w:r>
              <w:rPr>
                <w:rFonts w:ascii="Arial" w:cs="Arial" w:eastAsia="Arial" w:hAnsi="Arial"/>
                <w:sz w:val="13"/>
                <w:szCs w:val="13"/>
                <w:color w:val="auto"/>
              </w:rPr>
              <w:t>Long Island, NY-NJ-PA</w:t>
            </w: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80" w:type="dxa"/>
            <w:vAlign w:val="bottom"/>
            <w:shd w:val="clear" w:color="auto" w:fill="CCEEFF"/>
          </w:tcPr>
          <w:p>
            <w:pPr>
              <w:ind w:left="60"/>
              <w:spacing w:after="0"/>
              <w:rPr>
                <w:sz w:val="20"/>
                <w:szCs w:val="20"/>
                <w:color w:val="auto"/>
              </w:rPr>
            </w:pPr>
            <w:r>
              <w:rPr>
                <w:rFonts w:ascii="Arial" w:cs="Arial" w:eastAsia="Arial" w:hAnsi="Arial"/>
                <w:sz w:val="13"/>
                <w:szCs w:val="13"/>
                <w:color w:val="auto"/>
              </w:rPr>
              <w:t>Williams-Sonoma</w:t>
            </w:r>
          </w:p>
        </w:tc>
      </w:tr>
      <w:tr>
        <w:trPr>
          <w:trHeight w:val="173"/>
        </w:trPr>
        <w:tc>
          <w:tcPr>
            <w:tcW w:w="1240" w:type="dxa"/>
            <w:vAlign w:val="bottom"/>
            <w:gridSpan w:val="4"/>
          </w:tcPr>
          <w:p>
            <w:pPr>
              <w:ind w:left="20"/>
              <w:spacing w:after="0"/>
              <w:rPr>
                <w:sz w:val="20"/>
                <w:szCs w:val="20"/>
                <w:color w:val="auto"/>
              </w:rPr>
            </w:pPr>
            <w:r>
              <w:rPr>
                <w:rFonts w:ascii="Arial" w:cs="Arial" w:eastAsia="Arial" w:hAnsi="Arial"/>
                <w:sz w:val="13"/>
                <w:szCs w:val="13"/>
                <w:color w:val="auto"/>
              </w:rPr>
              <w:t>Troy</w:t>
            </w:r>
          </w:p>
        </w:tc>
        <w:tc>
          <w:tcPr>
            <w:tcW w:w="440" w:type="dxa"/>
            <w:vAlign w:val="bottom"/>
          </w:tcPr>
          <w:p>
            <w:pPr>
              <w:spacing w:after="0"/>
              <w:rPr>
                <w:sz w:val="15"/>
                <w:szCs w:val="15"/>
                <w:color w:val="auto"/>
              </w:rPr>
            </w:pPr>
          </w:p>
        </w:tc>
        <w:tc>
          <w:tcPr>
            <w:tcW w:w="1940" w:type="dxa"/>
            <w:vAlign w:val="bottom"/>
          </w:tcPr>
          <w:p>
            <w:pPr>
              <w:ind w:left="40"/>
              <w:spacing w:after="0"/>
              <w:rPr>
                <w:sz w:val="20"/>
                <w:szCs w:val="20"/>
                <w:color w:val="auto"/>
              </w:rPr>
            </w:pPr>
            <w:r>
              <w:rPr>
                <w:rFonts w:ascii="Arial" w:cs="Arial" w:eastAsia="Arial" w:hAnsi="Arial"/>
                <w:sz w:val="13"/>
                <w:szCs w:val="13"/>
                <w:color w:val="auto"/>
              </w:rPr>
              <w:t>Newark, NJ</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35,279</w:t>
            </w:r>
          </w:p>
        </w:tc>
        <w:tc>
          <w:tcPr>
            <w:tcW w:w="660" w:type="dxa"/>
            <w:vAlign w:val="bottom"/>
          </w:tcPr>
          <w:p>
            <w:pPr>
              <w:spacing w:after="0"/>
              <w:rPr>
                <w:sz w:val="15"/>
                <w:szCs w:val="15"/>
                <w:color w:val="auto"/>
              </w:rPr>
            </w:pP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19</w:t>
            </w:r>
          </w:p>
        </w:tc>
        <w:tc>
          <w:tcPr>
            <w:tcW w:w="120" w:type="dxa"/>
            <w:vAlign w:val="bottom"/>
          </w:tcPr>
          <w:p>
            <w:pPr>
              <w:spacing w:after="0"/>
              <w:rPr>
                <w:sz w:val="15"/>
                <w:szCs w:val="15"/>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211,000</w:t>
            </w: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98%</w:t>
            </w: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80" w:type="dxa"/>
            <w:vAlign w:val="bottom"/>
          </w:tcPr>
          <w:p>
            <w:pPr>
              <w:ind w:left="60"/>
              <w:spacing w:after="0"/>
              <w:rPr>
                <w:sz w:val="20"/>
                <w:szCs w:val="20"/>
                <w:color w:val="auto"/>
              </w:rPr>
            </w:pPr>
            <w:r>
              <w:rPr>
                <w:rFonts w:ascii="Arial" w:cs="Arial" w:eastAsia="Arial" w:hAnsi="Arial"/>
                <w:sz w:val="13"/>
                <w:szCs w:val="13"/>
                <w:color w:val="auto"/>
              </w:rPr>
              <w:t>L.A. Fitness / Michaels</w:t>
            </w:r>
          </w:p>
        </w:tc>
      </w:tr>
      <w:tr>
        <w:trPr>
          <w:trHeight w:val="97"/>
        </w:trPr>
        <w:tc>
          <w:tcPr>
            <w:tcW w:w="20" w:type="dxa"/>
            <w:vAlign w:val="bottom"/>
            <w:tcBorders>
              <w:bottom w:val="single" w:sz="8" w:color="CCEEFF"/>
            </w:tcBorders>
          </w:tcPr>
          <w:p>
            <w:pPr>
              <w:spacing w:after="0"/>
              <w:rPr>
                <w:sz w:val="8"/>
                <w:szCs w:val="8"/>
                <w:color w:val="auto"/>
              </w:rPr>
            </w:pPr>
          </w:p>
        </w:tc>
        <w:tc>
          <w:tcPr>
            <w:tcW w:w="340" w:type="dxa"/>
            <w:vAlign w:val="bottom"/>
            <w:tcBorders>
              <w:bottom w:val="single" w:sz="8" w:color="CCEEFF"/>
            </w:tcBorders>
          </w:tcPr>
          <w:p>
            <w:pPr>
              <w:spacing w:after="0"/>
              <w:rPr>
                <w:sz w:val="8"/>
                <w:szCs w:val="8"/>
                <w:color w:val="auto"/>
              </w:rPr>
            </w:pPr>
          </w:p>
        </w:tc>
        <w:tc>
          <w:tcPr>
            <w:tcW w:w="540" w:type="dxa"/>
            <w:vAlign w:val="bottom"/>
            <w:tcBorders>
              <w:bottom w:val="single" w:sz="8" w:color="CCEEFF"/>
            </w:tcBorders>
          </w:tcPr>
          <w:p>
            <w:pPr>
              <w:spacing w:after="0"/>
              <w:rPr>
                <w:sz w:val="8"/>
                <w:szCs w:val="8"/>
                <w:color w:val="auto"/>
              </w:rPr>
            </w:pPr>
          </w:p>
        </w:tc>
        <w:tc>
          <w:tcPr>
            <w:tcW w:w="340" w:type="dxa"/>
            <w:vAlign w:val="bottom"/>
            <w:tcBorders>
              <w:bottom w:val="single" w:sz="8" w:color="CCEEFF"/>
            </w:tcBorders>
          </w:tcPr>
          <w:p>
            <w:pPr>
              <w:spacing w:after="0"/>
              <w:rPr>
                <w:sz w:val="8"/>
                <w:szCs w:val="8"/>
                <w:color w:val="auto"/>
              </w:rPr>
            </w:pPr>
          </w:p>
        </w:tc>
        <w:tc>
          <w:tcPr>
            <w:tcW w:w="440" w:type="dxa"/>
            <w:vAlign w:val="bottom"/>
            <w:tcBorders>
              <w:bottom w:val="single" w:sz="8" w:color="CCEEFF"/>
            </w:tcBorders>
          </w:tcPr>
          <w:p>
            <w:pPr>
              <w:spacing w:after="0"/>
              <w:rPr>
                <w:sz w:val="8"/>
                <w:szCs w:val="8"/>
                <w:color w:val="auto"/>
              </w:rPr>
            </w:pPr>
          </w:p>
        </w:tc>
        <w:tc>
          <w:tcPr>
            <w:tcW w:w="1940" w:type="dxa"/>
            <w:vAlign w:val="bottom"/>
            <w:tcBorders>
              <w:bottom w:val="single" w:sz="8" w:color="CCEEFF"/>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60" w:type="dxa"/>
            <w:vAlign w:val="bottom"/>
            <w:tcBorders>
              <w:bottom w:val="single" w:sz="8" w:color="CCEEFF"/>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80" w:type="dxa"/>
            <w:vAlign w:val="bottom"/>
            <w:tcBorders>
              <w:bottom w:val="single" w:sz="8" w:color="CCEEFF"/>
            </w:tcBorders>
          </w:tcPr>
          <w:p>
            <w:pPr>
              <w:spacing w:after="0"/>
              <w:rPr>
                <w:sz w:val="8"/>
                <w:szCs w:val="8"/>
                <w:color w:val="auto"/>
              </w:rPr>
            </w:pPr>
          </w:p>
        </w:tc>
        <w:tc>
          <w:tcPr>
            <w:tcW w:w="580" w:type="dxa"/>
            <w:vAlign w:val="bottom"/>
            <w:tcBorders>
              <w:bottom w:val="single" w:sz="8" w:color="CCEEFF"/>
            </w:tcBorders>
          </w:tcPr>
          <w:p>
            <w:pPr>
              <w:spacing w:after="0"/>
              <w:rPr>
                <w:sz w:val="8"/>
                <w:szCs w:val="8"/>
                <w:color w:val="auto"/>
              </w:rPr>
            </w:pPr>
          </w:p>
        </w:tc>
        <w:tc>
          <w:tcPr>
            <w:tcW w:w="920" w:type="dxa"/>
            <w:vAlign w:val="bottom"/>
            <w:tcBorders>
              <w:bottom w:val="single" w:sz="8" w:color="CCEEFF"/>
            </w:tcBorders>
          </w:tcPr>
          <w:p>
            <w:pPr>
              <w:spacing w:after="0"/>
              <w:rPr>
                <w:sz w:val="8"/>
                <w:szCs w:val="8"/>
                <w:color w:val="auto"/>
              </w:rPr>
            </w:pPr>
          </w:p>
        </w:tc>
        <w:tc>
          <w:tcPr>
            <w:tcW w:w="2280" w:type="dxa"/>
            <w:vAlign w:val="bottom"/>
            <w:tcBorders>
              <w:bottom w:val="single" w:sz="8" w:color="CCEEFF"/>
            </w:tcBorders>
          </w:tcPr>
          <w:p>
            <w:pPr>
              <w:spacing w:after="0"/>
              <w:rPr>
                <w:sz w:val="8"/>
                <w:szCs w:val="8"/>
                <w:color w:val="auto"/>
              </w:rPr>
            </w:pPr>
          </w:p>
        </w:tc>
      </w:tr>
      <w:tr>
        <w:trPr>
          <w:trHeight w:val="167"/>
        </w:trPr>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94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Total NY Metro/New Jersey</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767,199</w:t>
            </w:r>
          </w:p>
        </w:tc>
        <w:tc>
          <w:tcPr>
            <w:tcW w:w="66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262</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9"/>
              </w:rPr>
              <w:t>2,834,000</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6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r>
      <w:tr>
        <w:trPr>
          <w:trHeight w:val="84"/>
        </w:trPr>
        <w:tc>
          <w:tcPr>
            <w:tcW w:w="2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94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2280" w:type="dxa"/>
            <w:vAlign w:val="bottom"/>
            <w:shd w:val="clear" w:color="auto" w:fill="CCEEFF"/>
          </w:tcPr>
          <w:p>
            <w:pPr>
              <w:spacing w:after="0"/>
              <w:rPr>
                <w:sz w:val="7"/>
                <w:szCs w:val="7"/>
                <w:color w:val="auto"/>
              </w:rPr>
            </w:pPr>
          </w:p>
        </w:tc>
      </w:tr>
    </w:tbl>
    <w:p>
      <w:pPr>
        <w:spacing w:after="0" w:line="200" w:lineRule="exact"/>
        <w:rPr>
          <w:sz w:val="20"/>
          <w:szCs w:val="20"/>
          <w:color w:val="auto"/>
        </w:rPr>
      </w:pPr>
    </w:p>
    <w:p>
      <w:pPr>
        <w:sectPr>
          <w:pgSz w:w="11900" w:h="16838" w:orient="portrait"/>
          <w:cols w:equalWidth="0" w:num="1">
            <w:col w:w="11280"/>
          </w:cols>
          <w:pgMar w:left="320" w:top="747" w:right="299" w:bottom="1440" w:gutter="0" w:footer="0" w:header="0"/>
        </w:sectPr>
      </w:pPr>
    </w:p>
    <w:p>
      <w:pPr>
        <w:spacing w:after="0" w:line="29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280"/>
          </w:cols>
          <w:pgMar w:left="320" w:top="747" w:right="299" w:bottom="1440" w:gutter="0" w:footer="0" w:header="0"/>
          <w:type w:val="continuous"/>
        </w:sectPr>
      </w:pPr>
    </w:p>
    <w:bookmarkStart w:id="28" w:name="page29"/>
    <w:bookmarkEnd w:id="28"/>
    <w:p>
      <w:pPr>
        <w:ind w:left="2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Real Estate Status Report</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September 30, 2017</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8"/>
              </w:rPr>
              <w:t>Mortgage</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300" w:type="dxa"/>
            <w:vAlign w:val="bottom"/>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and/or</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3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Capital</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3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Lease</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w:t>
            </w:r>
          </w:p>
        </w:tc>
        <w:tc>
          <w:tcPr>
            <w:tcW w:w="680" w:type="dxa"/>
            <w:vAlign w:val="bottom"/>
          </w:tcPr>
          <w:p>
            <w:pPr>
              <w:spacing w:after="0"/>
              <w:rPr>
                <w:sz w:val="11"/>
                <w:szCs w:val="11"/>
                <w:color w:val="auto"/>
              </w:rPr>
            </w:pPr>
          </w:p>
        </w:tc>
        <w:tc>
          <w:tcPr>
            <w:tcW w:w="580" w:type="dxa"/>
            <w:vAlign w:val="bottom"/>
          </w:tcPr>
          <w:p>
            <w:pPr>
              <w:ind w:left="40"/>
              <w:spacing w:after="0" w:line="135" w:lineRule="exact"/>
              <w:rPr>
                <w:sz w:val="20"/>
                <w:szCs w:val="20"/>
                <w:color w:val="auto"/>
              </w:rPr>
            </w:pPr>
            <w:r>
              <w:rPr>
                <w:rFonts w:ascii="Arial" w:cs="Arial" w:eastAsia="Arial" w:hAnsi="Arial"/>
                <w:sz w:val="13"/>
                <w:szCs w:val="13"/>
                <w:b w:val="1"/>
                <w:bCs w:val="1"/>
                <w:color w:val="auto"/>
              </w:rPr>
              <w:t>Grocery</w:t>
            </w:r>
          </w:p>
        </w:tc>
        <w:tc>
          <w:tcPr>
            <w:tcW w:w="900" w:type="dxa"/>
            <w:vAlign w:val="bottom"/>
          </w:tcPr>
          <w:p>
            <w:pPr>
              <w:spacing w:after="0"/>
              <w:rPr>
                <w:sz w:val="11"/>
                <w:szCs w:val="11"/>
                <w:color w:val="auto"/>
              </w:rPr>
            </w:pPr>
          </w:p>
        </w:tc>
        <w:tc>
          <w:tcPr>
            <w:tcW w:w="23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Real Estate</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Obligation</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89"/>
              </w:rPr>
              <w:t>Leased</w:t>
            </w:r>
          </w:p>
        </w:tc>
        <w:tc>
          <w:tcPr>
            <w:tcW w:w="6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86"/>
              </w:rPr>
              <w:t>Residential</w:t>
            </w:r>
          </w:p>
        </w:tc>
        <w:tc>
          <w:tcPr>
            <w:tcW w:w="58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92"/>
              </w:rPr>
              <w:t>Anchor</w:t>
            </w:r>
          </w:p>
        </w:tc>
        <w:tc>
          <w:tcPr>
            <w:tcW w:w="90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Grocery</w:t>
            </w:r>
          </w:p>
        </w:tc>
        <w:tc>
          <w:tcPr>
            <w:tcW w:w="2300" w:type="dxa"/>
            <w:vAlign w:val="bottom"/>
          </w:tcPr>
          <w:p>
            <w:pPr>
              <w:spacing w:after="0"/>
              <w:rPr>
                <w:sz w:val="11"/>
                <w:szCs w:val="11"/>
                <w:color w:val="auto"/>
              </w:rPr>
            </w:pPr>
          </w:p>
        </w:tc>
      </w:tr>
      <w:tr>
        <w:trPr>
          <w:trHeight w:val="174"/>
        </w:trPr>
        <w:tc>
          <w:tcPr>
            <w:tcW w:w="1180" w:type="dxa"/>
            <w:vAlign w:val="bottom"/>
            <w:tcBorders>
              <w:bottom w:val="single" w:sz="8" w:color="auto"/>
            </w:tcBorders>
            <w:gridSpan w:val="5"/>
          </w:tcPr>
          <w:p>
            <w:pPr>
              <w:ind w:left="20"/>
              <w:spacing w:after="0"/>
              <w:rPr>
                <w:sz w:val="20"/>
                <w:szCs w:val="20"/>
                <w:color w:val="auto"/>
              </w:rPr>
            </w:pPr>
            <w:r>
              <w:rPr>
                <w:rFonts w:ascii="Arial" w:cs="Arial" w:eastAsia="Arial" w:hAnsi="Arial"/>
                <w:sz w:val="13"/>
                <w:szCs w:val="13"/>
                <w:b w:val="1"/>
                <w:bCs w:val="1"/>
                <w:color w:val="auto"/>
              </w:rPr>
              <w:t>Property Name</w:t>
            </w:r>
          </w:p>
        </w:tc>
        <w:tc>
          <w:tcPr>
            <w:tcW w:w="50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MSA Description</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at Cost</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(1)</w:t>
            </w:r>
          </w:p>
        </w:tc>
        <w:tc>
          <w:tcPr>
            <w:tcW w:w="60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Acreage</w:t>
            </w:r>
          </w:p>
        </w:tc>
        <w:tc>
          <w:tcPr>
            <w:tcW w:w="76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GLA (2)</w:t>
            </w:r>
          </w:p>
        </w:tc>
        <w:tc>
          <w:tcPr>
            <w:tcW w:w="4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(2)</w:t>
            </w:r>
          </w:p>
        </w:tc>
        <w:tc>
          <w:tcPr>
            <w:tcW w:w="6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Units</w:t>
            </w:r>
          </w:p>
        </w:tc>
        <w:tc>
          <w:tcPr>
            <w:tcW w:w="58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94"/>
              </w:rPr>
              <w:t>GLA</w:t>
            </w:r>
          </w:p>
        </w:tc>
        <w:tc>
          <w:tcPr>
            <w:tcW w:w="90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Anchor</w:t>
            </w:r>
          </w:p>
        </w:tc>
        <w:tc>
          <w:tcPr>
            <w:tcW w:w="230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Other Retail Tenants</w:t>
            </w:r>
          </w:p>
        </w:tc>
      </w:tr>
      <w:tr>
        <w:trPr>
          <w:trHeight w:val="139"/>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300" w:type="dxa"/>
            <w:vAlign w:val="bottom"/>
          </w:tcPr>
          <w:p>
            <w:pPr>
              <w:spacing w:after="0"/>
              <w:rPr>
                <w:sz w:val="12"/>
                <w:szCs w:val="12"/>
                <w:color w:val="auto"/>
              </w:rPr>
            </w:pPr>
          </w:p>
        </w:tc>
      </w:tr>
      <w:tr>
        <w:trPr>
          <w:trHeight w:val="136"/>
        </w:trPr>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700" w:type="dxa"/>
            <w:vAlign w:val="bottom"/>
          </w:tcPr>
          <w:p>
            <w:pPr>
              <w:jc w:val="center"/>
              <w:spacing w:after="0"/>
              <w:rPr>
                <w:sz w:val="20"/>
                <w:szCs w:val="20"/>
                <w:color w:val="auto"/>
              </w:rPr>
            </w:pPr>
            <w:r>
              <w:rPr>
                <w:rFonts w:ascii="Arial" w:cs="Arial" w:eastAsia="Arial" w:hAnsi="Arial"/>
                <w:sz w:val="11"/>
                <w:szCs w:val="11"/>
                <w:color w:val="auto"/>
                <w:w w:val="88"/>
              </w:rPr>
              <w:t>(in thousands)</w:t>
            </w:r>
          </w:p>
        </w:tc>
        <w:tc>
          <w:tcPr>
            <w:tcW w:w="660" w:type="dxa"/>
            <w:vAlign w:val="bottom"/>
          </w:tcPr>
          <w:p>
            <w:pPr>
              <w:jc w:val="center"/>
              <w:spacing w:after="0"/>
              <w:rPr>
                <w:sz w:val="20"/>
                <w:szCs w:val="20"/>
                <w:color w:val="auto"/>
              </w:rPr>
            </w:pPr>
            <w:r>
              <w:rPr>
                <w:rFonts w:ascii="Arial" w:cs="Arial" w:eastAsia="Arial" w:hAnsi="Arial"/>
                <w:sz w:val="11"/>
                <w:szCs w:val="11"/>
                <w:color w:val="auto"/>
                <w:w w:val="88"/>
              </w:rPr>
              <w:t>thousands)</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300" w:type="dxa"/>
            <w:vAlign w:val="bottom"/>
          </w:tcPr>
          <w:p>
            <w:pPr>
              <w:spacing w:after="0"/>
              <w:rPr>
                <w:sz w:val="11"/>
                <w:szCs w:val="11"/>
                <w:color w:val="auto"/>
              </w:rPr>
            </w:pPr>
          </w:p>
        </w:tc>
      </w:tr>
      <w:tr>
        <w:trPr>
          <w:trHeight w:val="22"/>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3600" w:type="dxa"/>
            <w:vAlign w:val="bottom"/>
            <w:gridSpan w:val="7"/>
            <w:shd w:val="clear" w:color="auto" w:fill="CCEEFF"/>
          </w:tcPr>
          <w:p>
            <w:pPr>
              <w:ind w:left="60"/>
              <w:spacing w:after="0"/>
              <w:rPr>
                <w:sz w:val="20"/>
                <w:szCs w:val="20"/>
                <w:color w:val="auto"/>
              </w:rPr>
            </w:pPr>
            <w:r>
              <w:rPr>
                <w:rFonts w:ascii="Arial" w:cs="Arial" w:eastAsia="Arial" w:hAnsi="Arial"/>
                <w:sz w:val="13"/>
                <w:szCs w:val="13"/>
                <w:b w:val="1"/>
                <w:bCs w:val="1"/>
                <w:color w:val="auto"/>
              </w:rPr>
              <w:t>Philadelphia Metropolitan Area</w:t>
            </w:r>
          </w:p>
        </w:tc>
        <w:tc>
          <w:tcPr>
            <w:tcW w:w="7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r>
      <w:tr>
        <w:trPr>
          <w:trHeight w:val="102"/>
        </w:trPr>
        <w:tc>
          <w:tcPr>
            <w:tcW w:w="2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360" w:type="dxa"/>
            <w:vAlign w:val="bottom"/>
            <w:tcBorders>
              <w:top w:val="single" w:sz="8" w:color="auto"/>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182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CCEEFF"/>
            </w:tcBorders>
            <w:shd w:val="clear" w:color="auto" w:fill="CCEEFF"/>
          </w:tcPr>
          <w:p>
            <w:pPr>
              <w:spacing w:after="0"/>
              <w:rPr>
                <w:sz w:val="8"/>
                <w:szCs w:val="8"/>
                <w:color w:val="auto"/>
              </w:rPr>
            </w:pPr>
          </w:p>
        </w:tc>
        <w:tc>
          <w:tcPr>
            <w:tcW w:w="900" w:type="dxa"/>
            <w:vAlign w:val="bottom"/>
            <w:tcBorders>
              <w:top w:val="single" w:sz="8" w:color="CCEEFF"/>
            </w:tcBorders>
            <w:shd w:val="clear" w:color="auto" w:fill="CCEEFF"/>
          </w:tcPr>
          <w:p>
            <w:pPr>
              <w:spacing w:after="0"/>
              <w:rPr>
                <w:sz w:val="8"/>
                <w:szCs w:val="8"/>
                <w:color w:val="auto"/>
              </w:rPr>
            </w:pPr>
          </w:p>
        </w:tc>
        <w:tc>
          <w:tcPr>
            <w:tcW w:w="2300" w:type="dxa"/>
            <w:vAlign w:val="bottom"/>
            <w:tcBorders>
              <w:top w:val="single" w:sz="8" w:color="CCEEFF"/>
            </w:tcBorders>
            <w:shd w:val="clear" w:color="auto" w:fill="CCEEFF"/>
          </w:tcPr>
          <w:p>
            <w:pPr>
              <w:spacing w:after="0"/>
              <w:rPr>
                <w:sz w:val="8"/>
                <w:szCs w:val="8"/>
                <w:color w:val="auto"/>
              </w:rPr>
            </w:pPr>
          </w:p>
        </w:tc>
      </w:tr>
      <w:tr>
        <w:trPr>
          <w:trHeight w:val="173"/>
        </w:trPr>
        <w:tc>
          <w:tcPr>
            <w:tcW w:w="1180" w:type="dxa"/>
            <w:vAlign w:val="bottom"/>
            <w:gridSpan w:val="5"/>
          </w:tcPr>
          <w:p>
            <w:pPr>
              <w:ind w:left="20"/>
              <w:spacing w:after="0"/>
              <w:rPr>
                <w:sz w:val="20"/>
                <w:szCs w:val="20"/>
                <w:color w:val="auto"/>
              </w:rPr>
            </w:pPr>
            <w:r>
              <w:rPr>
                <w:rFonts w:ascii="Arial" w:cs="Arial" w:eastAsia="Arial" w:hAnsi="Arial"/>
                <w:sz w:val="13"/>
                <w:szCs w:val="13"/>
                <w:color w:val="auto"/>
              </w:rPr>
              <w:t>Andorra</w:t>
            </w:r>
          </w:p>
        </w:tc>
        <w:tc>
          <w:tcPr>
            <w:tcW w:w="500" w:type="dxa"/>
            <w:vAlign w:val="bottom"/>
          </w:tcPr>
          <w:p>
            <w:pPr>
              <w:spacing w:after="0"/>
              <w:rPr>
                <w:sz w:val="15"/>
                <w:szCs w:val="15"/>
                <w:color w:val="auto"/>
              </w:rPr>
            </w:pPr>
          </w:p>
        </w:tc>
        <w:tc>
          <w:tcPr>
            <w:tcW w:w="1940" w:type="dxa"/>
            <w:vAlign w:val="bottom"/>
            <w:gridSpan w:val="2"/>
          </w:tcPr>
          <w:p>
            <w:pPr>
              <w:ind w:left="40"/>
              <w:spacing w:after="0"/>
              <w:rPr>
                <w:sz w:val="20"/>
                <w:szCs w:val="20"/>
                <w:color w:val="auto"/>
              </w:rPr>
            </w:pPr>
            <w:r>
              <w:rPr>
                <w:rFonts w:ascii="Arial" w:cs="Arial" w:eastAsia="Arial" w:hAnsi="Arial"/>
                <w:sz w:val="13"/>
                <w:szCs w:val="13"/>
                <w:color w:val="auto"/>
              </w:rPr>
              <w:t>Philadelphia, PA-NJ</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25,865</w:t>
            </w:r>
          </w:p>
        </w:tc>
        <w:tc>
          <w:tcPr>
            <w:tcW w:w="660" w:type="dxa"/>
            <w:vAlign w:val="bottom"/>
          </w:tcPr>
          <w:p>
            <w:pPr>
              <w:spacing w:after="0"/>
              <w:rPr>
                <w:sz w:val="15"/>
                <w:szCs w:val="15"/>
                <w:color w:val="auto"/>
              </w:rPr>
            </w:pP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22</w:t>
            </w:r>
          </w:p>
        </w:tc>
        <w:tc>
          <w:tcPr>
            <w:tcW w:w="120" w:type="dxa"/>
            <w:vAlign w:val="bottom"/>
          </w:tcPr>
          <w:p>
            <w:pPr>
              <w:spacing w:after="0"/>
              <w:rPr>
                <w:sz w:val="15"/>
                <w:szCs w:val="15"/>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264,000</w:t>
            </w: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89%</w:t>
            </w:r>
          </w:p>
        </w:tc>
        <w:tc>
          <w:tcPr>
            <w:tcW w:w="680" w:type="dxa"/>
            <w:vAlign w:val="bottom"/>
          </w:tcPr>
          <w:p>
            <w:pPr>
              <w:spacing w:after="0"/>
              <w:rPr>
                <w:sz w:val="15"/>
                <w:szCs w:val="15"/>
                <w:color w:val="auto"/>
              </w:rPr>
            </w:pPr>
          </w:p>
        </w:tc>
        <w:tc>
          <w:tcPr>
            <w:tcW w:w="580" w:type="dxa"/>
            <w:vAlign w:val="bottom"/>
          </w:tcPr>
          <w:p>
            <w:pPr>
              <w:jc w:val="center"/>
              <w:ind w:right="17"/>
              <w:spacing w:after="0"/>
              <w:rPr>
                <w:sz w:val="20"/>
                <w:szCs w:val="20"/>
                <w:color w:val="auto"/>
              </w:rPr>
            </w:pPr>
            <w:r>
              <w:rPr>
                <w:rFonts w:ascii="Arial" w:cs="Arial" w:eastAsia="Arial" w:hAnsi="Arial"/>
                <w:sz w:val="13"/>
                <w:szCs w:val="13"/>
                <w:color w:val="auto"/>
                <w:w w:val="85"/>
              </w:rPr>
              <w:t>24,000</w:t>
            </w:r>
          </w:p>
        </w:tc>
        <w:tc>
          <w:tcPr>
            <w:tcW w:w="900" w:type="dxa"/>
            <w:vAlign w:val="bottom"/>
          </w:tcPr>
          <w:p>
            <w:pPr>
              <w:ind w:left="80"/>
              <w:spacing w:after="0"/>
              <w:rPr>
                <w:sz w:val="20"/>
                <w:szCs w:val="20"/>
                <w:color w:val="auto"/>
              </w:rPr>
            </w:pPr>
            <w:r>
              <w:rPr>
                <w:rFonts w:ascii="Arial" w:cs="Arial" w:eastAsia="Arial" w:hAnsi="Arial"/>
                <w:sz w:val="13"/>
                <w:szCs w:val="13"/>
                <w:color w:val="auto"/>
                <w:w w:val="96"/>
              </w:rPr>
              <w:t>Acme Markets</w:t>
            </w:r>
          </w:p>
        </w:tc>
        <w:tc>
          <w:tcPr>
            <w:tcW w:w="2300" w:type="dxa"/>
            <w:vAlign w:val="bottom"/>
          </w:tcPr>
          <w:p>
            <w:pPr>
              <w:ind w:left="80"/>
              <w:spacing w:after="0"/>
              <w:rPr>
                <w:sz w:val="20"/>
                <w:szCs w:val="20"/>
                <w:color w:val="auto"/>
              </w:rPr>
            </w:pPr>
            <w:r>
              <w:rPr>
                <w:rFonts w:ascii="Arial" w:cs="Arial" w:eastAsia="Arial" w:hAnsi="Arial"/>
                <w:sz w:val="13"/>
                <w:szCs w:val="13"/>
                <w:color w:val="auto"/>
              </w:rPr>
              <w:t>Kohl's / L.A. Fitness / Staples</w:t>
            </w:r>
          </w:p>
        </w:tc>
      </w:tr>
      <w:tr>
        <w:trPr>
          <w:trHeight w:val="97"/>
        </w:trPr>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300" w:type="dxa"/>
            <w:vAlign w:val="bottom"/>
          </w:tcPr>
          <w:p>
            <w:pPr>
              <w:spacing w:after="0"/>
              <w:rPr>
                <w:sz w:val="8"/>
                <w:szCs w:val="8"/>
                <w:color w:val="auto"/>
              </w:rPr>
            </w:pPr>
          </w:p>
        </w:tc>
      </w:tr>
      <w:tr>
        <w:trPr>
          <w:trHeight w:val="173"/>
        </w:trPr>
        <w:tc>
          <w:tcPr>
            <w:tcW w:w="1180" w:type="dxa"/>
            <w:vAlign w:val="bottom"/>
            <w:gridSpan w:val="5"/>
            <w:shd w:val="clear" w:color="auto" w:fill="CCEEFF"/>
          </w:tcPr>
          <w:p>
            <w:pPr>
              <w:ind w:left="20"/>
              <w:spacing w:after="0"/>
              <w:rPr>
                <w:sz w:val="20"/>
                <w:szCs w:val="20"/>
                <w:color w:val="auto"/>
              </w:rPr>
            </w:pPr>
            <w:r>
              <w:rPr>
                <w:rFonts w:ascii="Arial" w:cs="Arial" w:eastAsia="Arial" w:hAnsi="Arial"/>
                <w:sz w:val="13"/>
                <w:szCs w:val="13"/>
                <w:color w:val="auto"/>
              </w:rPr>
              <w:t>Bala Cynwyd</w:t>
            </w:r>
          </w:p>
        </w:tc>
        <w:tc>
          <w:tcPr>
            <w:tcW w:w="500" w:type="dxa"/>
            <w:vAlign w:val="bottom"/>
            <w:shd w:val="clear" w:color="auto" w:fill="CCEEFF"/>
          </w:tcPr>
          <w:p>
            <w:pPr>
              <w:spacing w:after="0"/>
              <w:rPr>
                <w:sz w:val="15"/>
                <w:szCs w:val="15"/>
                <w:color w:val="auto"/>
              </w:rPr>
            </w:pPr>
          </w:p>
        </w:tc>
        <w:tc>
          <w:tcPr>
            <w:tcW w:w="19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Philadelphia, PA-NJ</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41,002</w:t>
            </w: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23</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294,000</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45,000</w:t>
            </w: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w w:val="96"/>
              </w:rPr>
              <w:t>Acme Markets</w:t>
            </w:r>
          </w:p>
        </w:tc>
        <w:tc>
          <w:tcPr>
            <w:tcW w:w="2300" w:type="dxa"/>
            <w:vAlign w:val="bottom"/>
            <w:shd w:val="clear" w:color="auto" w:fill="CCEEFF"/>
          </w:tcPr>
          <w:p>
            <w:pPr>
              <w:ind w:left="80"/>
              <w:spacing w:after="0"/>
              <w:rPr>
                <w:sz w:val="20"/>
                <w:szCs w:val="20"/>
                <w:color w:val="auto"/>
              </w:rPr>
            </w:pPr>
            <w:r>
              <w:rPr>
                <w:rFonts w:ascii="Arial" w:cs="Arial" w:eastAsia="Arial" w:hAnsi="Arial"/>
                <w:sz w:val="13"/>
                <w:szCs w:val="13"/>
                <w:color w:val="auto"/>
              </w:rPr>
              <w:t>Lord &amp; Taylor / Michaels / L.A. Fitness</w:t>
            </w:r>
          </w:p>
        </w:tc>
      </w:tr>
      <w:tr>
        <w:trPr>
          <w:trHeight w:val="97"/>
        </w:trPr>
        <w:tc>
          <w:tcPr>
            <w:tcW w:w="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300" w:type="dxa"/>
            <w:vAlign w:val="bottom"/>
            <w:shd w:val="clear" w:color="auto" w:fill="CCEEFF"/>
          </w:tcPr>
          <w:p>
            <w:pPr>
              <w:spacing w:after="0"/>
              <w:rPr>
                <w:sz w:val="8"/>
                <w:szCs w:val="8"/>
                <w:color w:val="auto"/>
              </w:rPr>
            </w:pPr>
          </w:p>
        </w:tc>
      </w:tr>
      <w:tr>
        <w:trPr>
          <w:trHeight w:val="173"/>
        </w:trPr>
        <w:tc>
          <w:tcPr>
            <w:tcW w:w="1180" w:type="dxa"/>
            <w:vAlign w:val="bottom"/>
            <w:gridSpan w:val="5"/>
          </w:tcPr>
          <w:p>
            <w:pPr>
              <w:ind w:left="20"/>
              <w:spacing w:after="0"/>
              <w:rPr>
                <w:sz w:val="20"/>
                <w:szCs w:val="20"/>
                <w:color w:val="auto"/>
              </w:rPr>
            </w:pPr>
            <w:r>
              <w:rPr>
                <w:rFonts w:ascii="Arial" w:cs="Arial" w:eastAsia="Arial" w:hAnsi="Arial"/>
                <w:sz w:val="13"/>
                <w:szCs w:val="13"/>
                <w:color w:val="auto"/>
              </w:rPr>
              <w:t>Ellisburg</w:t>
            </w:r>
          </w:p>
        </w:tc>
        <w:tc>
          <w:tcPr>
            <w:tcW w:w="500" w:type="dxa"/>
            <w:vAlign w:val="bottom"/>
          </w:tcPr>
          <w:p>
            <w:pPr>
              <w:spacing w:after="0"/>
              <w:rPr>
                <w:sz w:val="15"/>
                <w:szCs w:val="15"/>
                <w:color w:val="auto"/>
              </w:rPr>
            </w:pPr>
          </w:p>
        </w:tc>
        <w:tc>
          <w:tcPr>
            <w:tcW w:w="1940" w:type="dxa"/>
            <w:vAlign w:val="bottom"/>
            <w:gridSpan w:val="2"/>
          </w:tcPr>
          <w:p>
            <w:pPr>
              <w:ind w:left="40"/>
              <w:spacing w:after="0"/>
              <w:rPr>
                <w:sz w:val="20"/>
                <w:szCs w:val="20"/>
                <w:color w:val="auto"/>
              </w:rPr>
            </w:pPr>
            <w:r>
              <w:rPr>
                <w:rFonts w:ascii="Arial" w:cs="Arial" w:eastAsia="Arial" w:hAnsi="Arial"/>
                <w:sz w:val="13"/>
                <w:szCs w:val="13"/>
                <w:color w:val="auto"/>
              </w:rPr>
              <w:t>Philadelphia, PA-NJ</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34,371</w:t>
            </w:r>
          </w:p>
        </w:tc>
        <w:tc>
          <w:tcPr>
            <w:tcW w:w="660" w:type="dxa"/>
            <w:vAlign w:val="bottom"/>
          </w:tcPr>
          <w:p>
            <w:pPr>
              <w:spacing w:after="0"/>
              <w:rPr>
                <w:sz w:val="15"/>
                <w:szCs w:val="15"/>
                <w:color w:val="auto"/>
              </w:rPr>
            </w:pP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28</w:t>
            </w:r>
          </w:p>
        </w:tc>
        <w:tc>
          <w:tcPr>
            <w:tcW w:w="120" w:type="dxa"/>
            <w:vAlign w:val="bottom"/>
          </w:tcPr>
          <w:p>
            <w:pPr>
              <w:spacing w:after="0"/>
              <w:rPr>
                <w:sz w:val="15"/>
                <w:szCs w:val="15"/>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268,000</w:t>
            </w: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93%</w:t>
            </w:r>
          </w:p>
        </w:tc>
        <w:tc>
          <w:tcPr>
            <w:tcW w:w="680" w:type="dxa"/>
            <w:vAlign w:val="bottom"/>
          </w:tcPr>
          <w:p>
            <w:pPr>
              <w:spacing w:after="0"/>
              <w:rPr>
                <w:sz w:val="15"/>
                <w:szCs w:val="15"/>
                <w:color w:val="auto"/>
              </w:rPr>
            </w:pPr>
          </w:p>
        </w:tc>
        <w:tc>
          <w:tcPr>
            <w:tcW w:w="580" w:type="dxa"/>
            <w:vAlign w:val="bottom"/>
          </w:tcPr>
          <w:p>
            <w:pPr>
              <w:jc w:val="center"/>
              <w:ind w:right="17"/>
              <w:spacing w:after="0"/>
              <w:rPr>
                <w:sz w:val="20"/>
                <w:szCs w:val="20"/>
                <w:color w:val="auto"/>
              </w:rPr>
            </w:pPr>
            <w:r>
              <w:rPr>
                <w:rFonts w:ascii="Arial" w:cs="Arial" w:eastAsia="Arial" w:hAnsi="Arial"/>
                <w:sz w:val="13"/>
                <w:szCs w:val="13"/>
                <w:color w:val="auto"/>
                <w:w w:val="85"/>
              </w:rPr>
              <w:t>47,000</w:t>
            </w:r>
          </w:p>
        </w:tc>
        <w:tc>
          <w:tcPr>
            <w:tcW w:w="900" w:type="dxa"/>
            <w:vAlign w:val="bottom"/>
          </w:tcPr>
          <w:p>
            <w:pPr>
              <w:ind w:left="80"/>
              <w:spacing w:after="0"/>
              <w:rPr>
                <w:sz w:val="20"/>
                <w:szCs w:val="20"/>
                <w:color w:val="auto"/>
              </w:rPr>
            </w:pPr>
            <w:r>
              <w:rPr>
                <w:rFonts w:ascii="Arial" w:cs="Arial" w:eastAsia="Arial" w:hAnsi="Arial"/>
                <w:sz w:val="13"/>
                <w:szCs w:val="13"/>
                <w:color w:val="auto"/>
              </w:rPr>
              <w:t>Whole Foods</w:t>
            </w:r>
          </w:p>
        </w:tc>
        <w:tc>
          <w:tcPr>
            <w:tcW w:w="2300" w:type="dxa"/>
            <w:vAlign w:val="bottom"/>
          </w:tcPr>
          <w:p>
            <w:pPr>
              <w:ind w:left="80"/>
              <w:spacing w:after="0"/>
              <w:rPr>
                <w:sz w:val="20"/>
                <w:szCs w:val="20"/>
                <w:color w:val="auto"/>
              </w:rPr>
            </w:pPr>
            <w:r>
              <w:rPr>
                <w:rFonts w:ascii="Arial" w:cs="Arial" w:eastAsia="Arial" w:hAnsi="Arial"/>
                <w:sz w:val="13"/>
                <w:szCs w:val="13"/>
                <w:color w:val="auto"/>
              </w:rPr>
              <w:t>Buy Buy Baby / Stein Mart</w:t>
            </w:r>
          </w:p>
        </w:tc>
      </w:tr>
      <w:tr>
        <w:trPr>
          <w:trHeight w:val="97"/>
        </w:trPr>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300" w:type="dxa"/>
            <w:vAlign w:val="bottom"/>
          </w:tcPr>
          <w:p>
            <w:pPr>
              <w:spacing w:after="0"/>
              <w:rPr>
                <w:sz w:val="8"/>
                <w:szCs w:val="8"/>
                <w:color w:val="auto"/>
              </w:rPr>
            </w:pPr>
          </w:p>
        </w:tc>
      </w:tr>
      <w:tr>
        <w:trPr>
          <w:trHeight w:val="173"/>
        </w:trPr>
        <w:tc>
          <w:tcPr>
            <w:tcW w:w="1180" w:type="dxa"/>
            <w:vAlign w:val="bottom"/>
            <w:gridSpan w:val="5"/>
            <w:shd w:val="clear" w:color="auto" w:fill="CCEEFF"/>
          </w:tcPr>
          <w:p>
            <w:pPr>
              <w:ind w:left="20"/>
              <w:spacing w:after="0"/>
              <w:rPr>
                <w:sz w:val="20"/>
                <w:szCs w:val="20"/>
                <w:color w:val="auto"/>
              </w:rPr>
            </w:pPr>
            <w:r>
              <w:rPr>
                <w:rFonts w:ascii="Arial" w:cs="Arial" w:eastAsia="Arial" w:hAnsi="Arial"/>
                <w:sz w:val="13"/>
                <w:szCs w:val="13"/>
                <w:color w:val="auto"/>
              </w:rPr>
              <w:t>Flourtown</w:t>
            </w:r>
          </w:p>
        </w:tc>
        <w:tc>
          <w:tcPr>
            <w:tcW w:w="500" w:type="dxa"/>
            <w:vAlign w:val="bottom"/>
            <w:shd w:val="clear" w:color="auto" w:fill="CCEEFF"/>
          </w:tcPr>
          <w:p>
            <w:pPr>
              <w:spacing w:after="0"/>
              <w:rPr>
                <w:sz w:val="15"/>
                <w:szCs w:val="15"/>
                <w:color w:val="auto"/>
              </w:rPr>
            </w:pPr>
          </w:p>
        </w:tc>
        <w:tc>
          <w:tcPr>
            <w:tcW w:w="19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Philadelphia, PA-NJ</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16,945</w:t>
            </w: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24</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156,000</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75,000</w:t>
            </w: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2300" w:type="dxa"/>
            <w:vAlign w:val="bottom"/>
            <w:shd w:val="clear" w:color="auto" w:fill="CCEEFF"/>
          </w:tcPr>
          <w:p>
            <w:pPr>
              <w:ind w:left="80"/>
              <w:spacing w:after="0"/>
              <w:rPr>
                <w:sz w:val="20"/>
                <w:szCs w:val="20"/>
                <w:color w:val="auto"/>
              </w:rPr>
            </w:pPr>
            <w:r>
              <w:rPr>
                <w:rFonts w:ascii="Arial" w:cs="Arial" w:eastAsia="Arial" w:hAnsi="Arial"/>
                <w:sz w:val="13"/>
                <w:szCs w:val="13"/>
                <w:color w:val="auto"/>
              </w:rPr>
              <w:t>Movie Tavern</w:t>
            </w:r>
          </w:p>
        </w:tc>
      </w:tr>
      <w:tr>
        <w:trPr>
          <w:trHeight w:val="97"/>
        </w:trPr>
        <w:tc>
          <w:tcPr>
            <w:tcW w:w="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300" w:type="dxa"/>
            <w:vAlign w:val="bottom"/>
            <w:shd w:val="clear" w:color="auto" w:fill="CCEEFF"/>
          </w:tcPr>
          <w:p>
            <w:pPr>
              <w:spacing w:after="0"/>
              <w:rPr>
                <w:sz w:val="8"/>
                <w:szCs w:val="8"/>
                <w:color w:val="auto"/>
              </w:rPr>
            </w:pPr>
          </w:p>
        </w:tc>
      </w:tr>
      <w:tr>
        <w:trPr>
          <w:trHeight w:val="148"/>
        </w:trPr>
        <w:tc>
          <w:tcPr>
            <w:tcW w:w="1180" w:type="dxa"/>
            <w:vAlign w:val="bottom"/>
            <w:gridSpan w:val="5"/>
          </w:tcPr>
          <w:p>
            <w:pPr>
              <w:ind w:left="20"/>
              <w:spacing w:after="0" w:line="148" w:lineRule="exact"/>
              <w:rPr>
                <w:sz w:val="20"/>
                <w:szCs w:val="20"/>
                <w:color w:val="auto"/>
              </w:rPr>
            </w:pPr>
            <w:r>
              <w:rPr>
                <w:rFonts w:ascii="Arial" w:cs="Arial" w:eastAsia="Arial" w:hAnsi="Arial"/>
                <w:sz w:val="13"/>
                <w:szCs w:val="13"/>
                <w:color w:val="auto"/>
              </w:rPr>
              <w:t>Langhorne Square</w:t>
            </w:r>
          </w:p>
        </w:tc>
        <w:tc>
          <w:tcPr>
            <w:tcW w:w="500" w:type="dxa"/>
            <w:vAlign w:val="bottom"/>
          </w:tcPr>
          <w:p>
            <w:pPr>
              <w:spacing w:after="0"/>
              <w:rPr>
                <w:sz w:val="12"/>
                <w:szCs w:val="12"/>
                <w:color w:val="auto"/>
              </w:rPr>
            </w:pPr>
          </w:p>
        </w:tc>
        <w:tc>
          <w:tcPr>
            <w:tcW w:w="194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Philadelphia, PA-NJ</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22,100</w:t>
            </w:r>
          </w:p>
        </w:tc>
        <w:tc>
          <w:tcPr>
            <w:tcW w:w="660" w:type="dxa"/>
            <w:vAlign w:val="bottom"/>
          </w:tcPr>
          <w:p>
            <w:pPr>
              <w:spacing w:after="0"/>
              <w:rPr>
                <w:sz w:val="12"/>
                <w:szCs w:val="12"/>
                <w:color w:val="auto"/>
              </w:rPr>
            </w:pP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21</w:t>
            </w:r>
          </w:p>
        </w:tc>
        <w:tc>
          <w:tcPr>
            <w:tcW w:w="120" w:type="dxa"/>
            <w:vAlign w:val="bottom"/>
          </w:tcPr>
          <w:p>
            <w:pPr>
              <w:spacing w:after="0"/>
              <w:rPr>
                <w:sz w:val="12"/>
                <w:szCs w:val="12"/>
                <w:color w:val="auto"/>
              </w:rPr>
            </w:pP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227,000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98%</w:t>
            </w:r>
          </w:p>
        </w:tc>
        <w:tc>
          <w:tcPr>
            <w:tcW w:w="68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55,000</w:t>
            </w:r>
          </w:p>
        </w:tc>
        <w:tc>
          <w:tcPr>
            <w:tcW w:w="900" w:type="dxa"/>
            <w:vAlign w:val="bottom"/>
          </w:tcPr>
          <w:p>
            <w:pPr>
              <w:ind w:left="80"/>
              <w:spacing w:after="0" w:line="148" w:lineRule="exact"/>
              <w:rPr>
                <w:sz w:val="20"/>
                <w:szCs w:val="20"/>
                <w:color w:val="auto"/>
              </w:rPr>
            </w:pPr>
            <w:r>
              <w:rPr>
                <w:rFonts w:ascii="Arial" w:cs="Arial" w:eastAsia="Arial" w:hAnsi="Arial"/>
                <w:sz w:val="13"/>
                <w:szCs w:val="13"/>
                <w:color w:val="auto"/>
              </w:rPr>
              <w:t>Redner's</w:t>
            </w:r>
          </w:p>
        </w:tc>
        <w:tc>
          <w:tcPr>
            <w:tcW w:w="2300" w:type="dxa"/>
            <w:vAlign w:val="bottom"/>
          </w:tcPr>
          <w:p>
            <w:pPr>
              <w:ind w:left="80"/>
              <w:spacing w:after="0" w:line="148" w:lineRule="exact"/>
              <w:rPr>
                <w:sz w:val="20"/>
                <w:szCs w:val="20"/>
                <w:color w:val="auto"/>
              </w:rPr>
            </w:pPr>
            <w:r>
              <w:rPr>
                <w:rFonts w:ascii="Arial" w:cs="Arial" w:eastAsia="Arial" w:hAnsi="Arial"/>
                <w:sz w:val="13"/>
                <w:szCs w:val="13"/>
                <w:color w:val="auto"/>
              </w:rPr>
              <w:t>Marshalls / Planet Fitness</w:t>
            </w:r>
          </w:p>
        </w:tc>
      </w:tr>
      <w:tr>
        <w:trPr>
          <w:trHeight w:val="135"/>
        </w:trPr>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ind w:left="80"/>
              <w:spacing w:after="0" w:line="135" w:lineRule="exact"/>
              <w:rPr>
                <w:sz w:val="20"/>
                <w:szCs w:val="20"/>
                <w:color w:val="auto"/>
              </w:rPr>
            </w:pPr>
            <w:r>
              <w:rPr>
                <w:rFonts w:ascii="Arial" w:cs="Arial" w:eastAsia="Arial" w:hAnsi="Arial"/>
                <w:sz w:val="13"/>
                <w:szCs w:val="13"/>
                <w:color w:val="auto"/>
              </w:rPr>
              <w:t>Warehouse</w:t>
            </w:r>
          </w:p>
        </w:tc>
        <w:tc>
          <w:tcPr>
            <w:tcW w:w="2300" w:type="dxa"/>
            <w:vAlign w:val="bottom"/>
          </w:tcPr>
          <w:p>
            <w:pPr>
              <w:spacing w:after="0"/>
              <w:rPr>
                <w:sz w:val="11"/>
                <w:szCs w:val="11"/>
                <w:color w:val="auto"/>
              </w:rPr>
            </w:pPr>
          </w:p>
        </w:tc>
      </w:tr>
      <w:tr>
        <w:trPr>
          <w:trHeight w:val="168"/>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ind w:left="80"/>
              <w:spacing w:after="0"/>
              <w:rPr>
                <w:sz w:val="20"/>
                <w:szCs w:val="20"/>
                <w:color w:val="auto"/>
              </w:rPr>
            </w:pPr>
            <w:r>
              <w:rPr>
                <w:rFonts w:ascii="Arial" w:cs="Arial" w:eastAsia="Arial" w:hAnsi="Arial"/>
                <w:sz w:val="13"/>
                <w:szCs w:val="13"/>
                <w:color w:val="auto"/>
              </w:rPr>
              <w:t>Mkts.</w:t>
            </w:r>
          </w:p>
        </w:tc>
        <w:tc>
          <w:tcPr>
            <w:tcW w:w="2300" w:type="dxa"/>
            <w:vAlign w:val="bottom"/>
          </w:tcPr>
          <w:p>
            <w:pPr>
              <w:spacing w:after="0"/>
              <w:rPr>
                <w:sz w:val="14"/>
                <w:szCs w:val="14"/>
                <w:color w:val="auto"/>
              </w:rPr>
            </w:pPr>
          </w:p>
        </w:tc>
      </w:tr>
      <w:tr>
        <w:trPr>
          <w:trHeight w:val="181"/>
        </w:trPr>
        <w:tc>
          <w:tcPr>
            <w:tcW w:w="1180" w:type="dxa"/>
            <w:vAlign w:val="bottom"/>
            <w:gridSpan w:val="5"/>
            <w:shd w:val="clear" w:color="auto" w:fill="CCEEFF"/>
          </w:tcPr>
          <w:p>
            <w:pPr>
              <w:ind w:left="20"/>
              <w:spacing w:after="0"/>
              <w:rPr>
                <w:sz w:val="20"/>
                <w:szCs w:val="20"/>
                <w:color w:val="auto"/>
              </w:rPr>
            </w:pPr>
            <w:r>
              <w:rPr>
                <w:rFonts w:ascii="Arial" w:cs="Arial" w:eastAsia="Arial" w:hAnsi="Arial"/>
                <w:sz w:val="13"/>
                <w:szCs w:val="13"/>
                <w:color w:val="auto"/>
              </w:rPr>
              <w:t>Lawrence Park</w:t>
            </w:r>
          </w:p>
        </w:tc>
        <w:tc>
          <w:tcPr>
            <w:tcW w:w="500" w:type="dxa"/>
            <w:vAlign w:val="bottom"/>
            <w:shd w:val="clear" w:color="auto" w:fill="CCEEFF"/>
          </w:tcPr>
          <w:p>
            <w:pPr>
              <w:spacing w:after="0"/>
              <w:rPr>
                <w:sz w:val="15"/>
                <w:szCs w:val="15"/>
                <w:color w:val="auto"/>
              </w:rPr>
            </w:pPr>
          </w:p>
        </w:tc>
        <w:tc>
          <w:tcPr>
            <w:tcW w:w="19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Philadelphia, PA-NJ</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35,131</w:t>
            </w: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29</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373,000</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53,000</w:t>
            </w: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w w:val="96"/>
              </w:rPr>
              <w:t>Acme Markets</w:t>
            </w:r>
          </w:p>
        </w:tc>
        <w:tc>
          <w:tcPr>
            <w:tcW w:w="2300" w:type="dxa"/>
            <w:vAlign w:val="bottom"/>
            <w:shd w:val="clear" w:color="auto" w:fill="CCEEFF"/>
          </w:tcPr>
          <w:p>
            <w:pPr>
              <w:ind w:left="80"/>
              <w:spacing w:after="0"/>
              <w:rPr>
                <w:sz w:val="20"/>
                <w:szCs w:val="20"/>
                <w:color w:val="auto"/>
              </w:rPr>
            </w:pPr>
            <w:r>
              <w:rPr>
                <w:rFonts w:ascii="Arial" w:cs="Arial" w:eastAsia="Arial" w:hAnsi="Arial"/>
                <w:sz w:val="13"/>
                <w:szCs w:val="13"/>
                <w:color w:val="auto"/>
                <w:w w:val="93"/>
              </w:rPr>
              <w:t>TJ Maxx / HomeGoods / Barnes &amp; Noble</w:t>
            </w:r>
          </w:p>
        </w:tc>
      </w:tr>
      <w:tr>
        <w:trPr>
          <w:trHeight w:val="97"/>
        </w:trPr>
        <w:tc>
          <w:tcPr>
            <w:tcW w:w="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300" w:type="dxa"/>
            <w:vAlign w:val="bottom"/>
            <w:shd w:val="clear" w:color="auto" w:fill="CCEEFF"/>
          </w:tcPr>
          <w:p>
            <w:pPr>
              <w:spacing w:after="0"/>
              <w:rPr>
                <w:sz w:val="8"/>
                <w:szCs w:val="8"/>
                <w:color w:val="auto"/>
              </w:rPr>
            </w:pPr>
          </w:p>
        </w:tc>
      </w:tr>
      <w:tr>
        <w:trPr>
          <w:trHeight w:val="173"/>
        </w:trPr>
        <w:tc>
          <w:tcPr>
            <w:tcW w:w="1180" w:type="dxa"/>
            <w:vAlign w:val="bottom"/>
            <w:gridSpan w:val="5"/>
          </w:tcPr>
          <w:p>
            <w:pPr>
              <w:ind w:left="20"/>
              <w:spacing w:after="0"/>
              <w:rPr>
                <w:sz w:val="20"/>
                <w:szCs w:val="20"/>
                <w:color w:val="auto"/>
              </w:rPr>
            </w:pPr>
            <w:r>
              <w:rPr>
                <w:rFonts w:ascii="Arial" w:cs="Arial" w:eastAsia="Arial" w:hAnsi="Arial"/>
                <w:sz w:val="13"/>
                <w:szCs w:val="13"/>
                <w:color w:val="auto"/>
              </w:rPr>
              <w:t>Northeast</w:t>
            </w:r>
          </w:p>
        </w:tc>
        <w:tc>
          <w:tcPr>
            <w:tcW w:w="500" w:type="dxa"/>
            <w:vAlign w:val="bottom"/>
          </w:tcPr>
          <w:p>
            <w:pPr>
              <w:spacing w:after="0"/>
              <w:rPr>
                <w:sz w:val="15"/>
                <w:szCs w:val="15"/>
                <w:color w:val="auto"/>
              </w:rPr>
            </w:pPr>
          </w:p>
        </w:tc>
        <w:tc>
          <w:tcPr>
            <w:tcW w:w="1940" w:type="dxa"/>
            <w:vAlign w:val="bottom"/>
            <w:gridSpan w:val="2"/>
          </w:tcPr>
          <w:p>
            <w:pPr>
              <w:ind w:left="40"/>
              <w:spacing w:after="0"/>
              <w:rPr>
                <w:sz w:val="20"/>
                <w:szCs w:val="20"/>
                <w:color w:val="auto"/>
              </w:rPr>
            </w:pPr>
            <w:r>
              <w:rPr>
                <w:rFonts w:ascii="Arial" w:cs="Arial" w:eastAsia="Arial" w:hAnsi="Arial"/>
                <w:sz w:val="13"/>
                <w:szCs w:val="13"/>
                <w:color w:val="auto"/>
              </w:rPr>
              <w:t>Philadelphia, PA-NJ</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29,895</w:t>
            </w:r>
          </w:p>
        </w:tc>
        <w:tc>
          <w:tcPr>
            <w:tcW w:w="660" w:type="dxa"/>
            <w:vAlign w:val="bottom"/>
          </w:tcPr>
          <w:p>
            <w:pPr>
              <w:spacing w:after="0"/>
              <w:rPr>
                <w:sz w:val="15"/>
                <w:szCs w:val="15"/>
                <w:color w:val="auto"/>
              </w:rPr>
            </w:pP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19</w:t>
            </w:r>
          </w:p>
        </w:tc>
        <w:tc>
          <w:tcPr>
            <w:tcW w:w="120" w:type="dxa"/>
            <w:vAlign w:val="bottom"/>
          </w:tcPr>
          <w:p>
            <w:pPr>
              <w:spacing w:after="0"/>
              <w:rPr>
                <w:sz w:val="15"/>
                <w:szCs w:val="15"/>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288,000</w:t>
            </w: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86%</w:t>
            </w: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300" w:type="dxa"/>
            <w:vAlign w:val="bottom"/>
          </w:tcPr>
          <w:p>
            <w:pPr>
              <w:ind w:left="80"/>
              <w:spacing w:after="0"/>
              <w:rPr>
                <w:sz w:val="20"/>
                <w:szCs w:val="20"/>
                <w:color w:val="auto"/>
              </w:rPr>
            </w:pPr>
            <w:r>
              <w:rPr>
                <w:rFonts w:ascii="Arial" w:cs="Arial" w:eastAsia="Arial" w:hAnsi="Arial"/>
                <w:sz w:val="13"/>
                <w:szCs w:val="13"/>
                <w:color w:val="auto"/>
              </w:rPr>
              <w:t>Marshalls / Burlington / A.C. Moore</w:t>
            </w:r>
          </w:p>
        </w:tc>
      </w:tr>
      <w:tr>
        <w:trPr>
          <w:trHeight w:val="97"/>
        </w:trPr>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300" w:type="dxa"/>
            <w:vAlign w:val="bottom"/>
          </w:tcPr>
          <w:p>
            <w:pPr>
              <w:spacing w:after="0"/>
              <w:rPr>
                <w:sz w:val="8"/>
                <w:szCs w:val="8"/>
                <w:color w:val="auto"/>
              </w:rPr>
            </w:pPr>
          </w:p>
        </w:tc>
      </w:tr>
      <w:tr>
        <w:trPr>
          <w:trHeight w:val="148"/>
        </w:trPr>
        <w:tc>
          <w:tcPr>
            <w:tcW w:w="1180" w:type="dxa"/>
            <w:vAlign w:val="bottom"/>
            <w:gridSpan w:val="5"/>
            <w:shd w:val="clear" w:color="auto" w:fill="CCEEFF"/>
          </w:tcPr>
          <w:p>
            <w:pPr>
              <w:ind w:left="20"/>
              <w:spacing w:after="0" w:line="148" w:lineRule="exact"/>
              <w:rPr>
                <w:sz w:val="20"/>
                <w:szCs w:val="20"/>
                <w:color w:val="auto"/>
              </w:rPr>
            </w:pPr>
            <w:r>
              <w:rPr>
                <w:rFonts w:ascii="Arial" w:cs="Arial" w:eastAsia="Arial" w:hAnsi="Arial"/>
                <w:sz w:val="13"/>
                <w:szCs w:val="13"/>
                <w:color w:val="auto"/>
                <w:w w:val="96"/>
              </w:rPr>
              <w:t>Town Center of New</w:t>
            </w:r>
          </w:p>
        </w:tc>
        <w:tc>
          <w:tcPr>
            <w:tcW w:w="500" w:type="dxa"/>
            <w:vAlign w:val="bottom"/>
            <w:shd w:val="clear" w:color="auto" w:fill="CCEEFF"/>
          </w:tcPr>
          <w:p>
            <w:pPr>
              <w:spacing w:after="0"/>
              <w:rPr>
                <w:sz w:val="12"/>
                <w:szCs w:val="12"/>
                <w:color w:val="auto"/>
              </w:rPr>
            </w:pPr>
          </w:p>
        </w:tc>
        <w:tc>
          <w:tcPr>
            <w:tcW w:w="194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rPr>
              <w:t>Philadelphia, PA-NJ</w:t>
            </w:r>
          </w:p>
        </w:tc>
        <w:tc>
          <w:tcPr>
            <w:tcW w:w="70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15,259</w:t>
            </w:r>
          </w:p>
        </w:tc>
        <w:tc>
          <w:tcPr>
            <w:tcW w:w="66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17</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124,000</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90%</w:t>
            </w: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jc w:val="center"/>
              <w:ind w:right="17"/>
              <w:spacing w:after="0" w:line="148" w:lineRule="exact"/>
              <w:rPr>
                <w:sz w:val="20"/>
                <w:szCs w:val="20"/>
                <w:color w:val="auto"/>
              </w:rPr>
            </w:pPr>
            <w:r>
              <w:rPr>
                <w:rFonts w:ascii="Arial" w:cs="Arial" w:eastAsia="Arial" w:hAnsi="Arial"/>
                <w:sz w:val="13"/>
                <w:szCs w:val="13"/>
                <w:color w:val="auto"/>
                <w:w w:val="85"/>
              </w:rPr>
              <w:t>36,000</w:t>
            </w:r>
          </w:p>
        </w:tc>
        <w:tc>
          <w:tcPr>
            <w:tcW w:w="90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Giant Food</w:t>
            </w:r>
          </w:p>
        </w:tc>
        <w:tc>
          <w:tcPr>
            <w:tcW w:w="230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Rite Aid / Dollar Tree</w:t>
            </w:r>
          </w:p>
        </w:tc>
      </w:tr>
      <w:tr>
        <w:trPr>
          <w:trHeight w:val="176"/>
        </w:trPr>
        <w:tc>
          <w:tcPr>
            <w:tcW w:w="1180" w:type="dxa"/>
            <w:vAlign w:val="bottom"/>
            <w:gridSpan w:val="5"/>
            <w:shd w:val="clear" w:color="auto" w:fill="CCEEFF"/>
          </w:tcPr>
          <w:p>
            <w:pPr>
              <w:ind w:left="20"/>
              <w:spacing w:after="0"/>
              <w:rPr>
                <w:sz w:val="20"/>
                <w:szCs w:val="20"/>
                <w:color w:val="auto"/>
              </w:rPr>
            </w:pPr>
            <w:r>
              <w:rPr>
                <w:rFonts w:ascii="Arial" w:cs="Arial" w:eastAsia="Arial" w:hAnsi="Arial"/>
                <w:sz w:val="13"/>
                <w:szCs w:val="13"/>
                <w:color w:val="auto"/>
              </w:rPr>
              <w:t>Britain</w:t>
            </w: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r>
      <w:tr>
        <w:trPr>
          <w:trHeight w:val="173"/>
        </w:trPr>
        <w:tc>
          <w:tcPr>
            <w:tcW w:w="1180" w:type="dxa"/>
            <w:vAlign w:val="bottom"/>
            <w:gridSpan w:val="5"/>
          </w:tcPr>
          <w:p>
            <w:pPr>
              <w:ind w:left="20"/>
              <w:spacing w:after="0"/>
              <w:rPr>
                <w:sz w:val="20"/>
                <w:szCs w:val="20"/>
                <w:color w:val="auto"/>
              </w:rPr>
            </w:pPr>
            <w:r>
              <w:rPr>
                <w:rFonts w:ascii="Arial" w:cs="Arial" w:eastAsia="Arial" w:hAnsi="Arial"/>
                <w:sz w:val="13"/>
                <w:szCs w:val="13"/>
                <w:color w:val="auto"/>
              </w:rPr>
              <w:t>Willow Grove</w:t>
            </w:r>
          </w:p>
        </w:tc>
        <w:tc>
          <w:tcPr>
            <w:tcW w:w="500" w:type="dxa"/>
            <w:vAlign w:val="bottom"/>
          </w:tcPr>
          <w:p>
            <w:pPr>
              <w:spacing w:after="0"/>
              <w:rPr>
                <w:sz w:val="15"/>
                <w:szCs w:val="15"/>
                <w:color w:val="auto"/>
              </w:rPr>
            </w:pPr>
          </w:p>
        </w:tc>
        <w:tc>
          <w:tcPr>
            <w:tcW w:w="1940" w:type="dxa"/>
            <w:vAlign w:val="bottom"/>
            <w:gridSpan w:val="2"/>
          </w:tcPr>
          <w:p>
            <w:pPr>
              <w:ind w:left="40"/>
              <w:spacing w:after="0"/>
              <w:rPr>
                <w:sz w:val="20"/>
                <w:szCs w:val="20"/>
                <w:color w:val="auto"/>
              </w:rPr>
            </w:pPr>
            <w:r>
              <w:rPr>
                <w:rFonts w:ascii="Arial" w:cs="Arial" w:eastAsia="Arial" w:hAnsi="Arial"/>
                <w:sz w:val="13"/>
                <w:szCs w:val="13"/>
                <w:color w:val="auto"/>
              </w:rPr>
              <w:t>Philadelphia, PA-NJ</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30,208</w:t>
            </w:r>
          </w:p>
        </w:tc>
        <w:tc>
          <w:tcPr>
            <w:tcW w:w="660" w:type="dxa"/>
            <w:vAlign w:val="bottom"/>
          </w:tcPr>
          <w:p>
            <w:pPr>
              <w:spacing w:after="0"/>
              <w:rPr>
                <w:sz w:val="15"/>
                <w:szCs w:val="15"/>
                <w:color w:val="auto"/>
              </w:rPr>
            </w:pP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13</w:t>
            </w:r>
          </w:p>
        </w:tc>
        <w:tc>
          <w:tcPr>
            <w:tcW w:w="120" w:type="dxa"/>
            <w:vAlign w:val="bottom"/>
          </w:tcPr>
          <w:p>
            <w:pPr>
              <w:spacing w:after="0"/>
              <w:rPr>
                <w:sz w:val="15"/>
                <w:szCs w:val="15"/>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211,000</w:t>
            </w: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96%</w:t>
            </w: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300" w:type="dxa"/>
            <w:vAlign w:val="bottom"/>
          </w:tcPr>
          <w:p>
            <w:pPr>
              <w:ind w:left="80"/>
              <w:spacing w:after="0"/>
              <w:rPr>
                <w:sz w:val="20"/>
                <w:szCs w:val="20"/>
                <w:color w:val="auto"/>
              </w:rPr>
            </w:pPr>
            <w:r>
              <w:rPr>
                <w:rFonts w:ascii="Arial" w:cs="Arial" w:eastAsia="Arial" w:hAnsi="Arial"/>
                <w:sz w:val="13"/>
                <w:szCs w:val="13"/>
                <w:color w:val="auto"/>
                <w:w w:val="91"/>
              </w:rPr>
              <w:t>Marshalls / HomeGoods / Barnes &amp; Noble</w:t>
            </w:r>
          </w:p>
        </w:tc>
      </w:tr>
      <w:tr>
        <w:trPr>
          <w:trHeight w:val="97"/>
        </w:trPr>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300" w:type="dxa"/>
            <w:vAlign w:val="bottom"/>
          </w:tcPr>
          <w:p>
            <w:pPr>
              <w:spacing w:after="0"/>
              <w:rPr>
                <w:sz w:val="8"/>
                <w:szCs w:val="8"/>
                <w:color w:val="auto"/>
              </w:rPr>
            </w:pPr>
          </w:p>
        </w:tc>
      </w:tr>
      <w:tr>
        <w:trPr>
          <w:trHeight w:val="173"/>
        </w:trPr>
        <w:tc>
          <w:tcPr>
            <w:tcW w:w="1180" w:type="dxa"/>
            <w:vAlign w:val="bottom"/>
            <w:gridSpan w:val="5"/>
            <w:shd w:val="clear" w:color="auto" w:fill="CCEEFF"/>
          </w:tcPr>
          <w:p>
            <w:pPr>
              <w:ind w:left="20"/>
              <w:spacing w:after="0"/>
              <w:rPr>
                <w:sz w:val="20"/>
                <w:szCs w:val="20"/>
                <w:color w:val="auto"/>
              </w:rPr>
            </w:pPr>
            <w:r>
              <w:rPr>
                <w:rFonts w:ascii="Arial" w:cs="Arial" w:eastAsia="Arial" w:hAnsi="Arial"/>
                <w:sz w:val="13"/>
                <w:szCs w:val="13"/>
                <w:color w:val="auto"/>
              </w:rPr>
              <w:t>Wynnewood</w:t>
            </w:r>
          </w:p>
        </w:tc>
        <w:tc>
          <w:tcPr>
            <w:tcW w:w="500" w:type="dxa"/>
            <w:vAlign w:val="bottom"/>
            <w:shd w:val="clear" w:color="auto" w:fill="CCEEFF"/>
          </w:tcPr>
          <w:p>
            <w:pPr>
              <w:spacing w:after="0"/>
              <w:rPr>
                <w:sz w:val="15"/>
                <w:szCs w:val="15"/>
                <w:color w:val="auto"/>
              </w:rPr>
            </w:pPr>
          </w:p>
        </w:tc>
        <w:tc>
          <w:tcPr>
            <w:tcW w:w="19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Philadelphia, PA-NJ</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42,886</w:t>
            </w: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251,000</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98,000</w:t>
            </w: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2300" w:type="dxa"/>
            <w:vAlign w:val="bottom"/>
            <w:shd w:val="clear" w:color="auto" w:fill="CCEEFF"/>
          </w:tcPr>
          <w:p>
            <w:pPr>
              <w:ind w:left="80"/>
              <w:spacing w:after="0"/>
              <w:rPr>
                <w:sz w:val="20"/>
                <w:szCs w:val="20"/>
                <w:color w:val="auto"/>
              </w:rPr>
            </w:pPr>
            <w:r>
              <w:rPr>
                <w:rFonts w:ascii="Arial" w:cs="Arial" w:eastAsia="Arial" w:hAnsi="Arial"/>
                <w:sz w:val="13"/>
                <w:szCs w:val="13"/>
                <w:color w:val="auto"/>
                <w:w w:val="98"/>
              </w:rPr>
              <w:t>Bed, Bath &amp; Beyond / Old Navy / DSW</w:t>
            </w:r>
          </w:p>
        </w:tc>
      </w:tr>
      <w:tr>
        <w:trPr>
          <w:trHeight w:val="97"/>
        </w:trPr>
        <w:tc>
          <w:tcPr>
            <w:tcW w:w="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20" w:type="dxa"/>
            <w:vAlign w:val="bottom"/>
            <w:shd w:val="clear" w:color="auto" w:fill="CCEEFF"/>
          </w:tcPr>
          <w:p>
            <w:pPr>
              <w:spacing w:after="0"/>
              <w:rPr>
                <w:sz w:val="8"/>
                <w:szCs w:val="8"/>
                <w:color w:val="auto"/>
              </w:rPr>
            </w:pPr>
          </w:p>
        </w:tc>
        <w:tc>
          <w:tcPr>
            <w:tcW w:w="700" w:type="dxa"/>
            <w:vAlign w:val="bottom"/>
            <w:tcBorders>
              <w:bottom w:val="single" w:sz="8" w:color="auto"/>
            </w:tcBorders>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480" w:type="dxa"/>
            <w:vAlign w:val="bottom"/>
            <w:tcBorders>
              <w:bottom w:val="single" w:sz="8" w:color="auto"/>
            </w:tcBorders>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tcBorders>
              <w:bottom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tcBorders>
              <w:bottom w:val="single" w:sz="8" w:color="auto"/>
            </w:tcBorders>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300" w:type="dxa"/>
            <w:vAlign w:val="bottom"/>
            <w:shd w:val="clear" w:color="auto" w:fill="CCEEFF"/>
          </w:tcPr>
          <w:p>
            <w:pPr>
              <w:spacing w:after="0"/>
              <w:rPr>
                <w:sz w:val="8"/>
                <w:szCs w:val="8"/>
                <w:color w:val="auto"/>
              </w:rPr>
            </w:pPr>
          </w:p>
        </w:tc>
      </w:tr>
      <w:tr>
        <w:trPr>
          <w:trHeight w:val="129"/>
        </w:trPr>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940" w:type="dxa"/>
            <w:vAlign w:val="bottom"/>
            <w:gridSpan w:val="2"/>
          </w:tcPr>
          <w:p>
            <w:pPr>
              <w:ind w:left="40"/>
              <w:spacing w:after="0" w:line="129" w:lineRule="exact"/>
              <w:rPr>
                <w:sz w:val="20"/>
                <w:szCs w:val="20"/>
                <w:color w:val="auto"/>
              </w:rPr>
            </w:pPr>
            <w:r>
              <w:rPr>
                <w:rFonts w:ascii="Arial" w:cs="Arial" w:eastAsia="Arial" w:hAnsi="Arial"/>
                <w:sz w:val="13"/>
                <w:szCs w:val="13"/>
                <w:b w:val="1"/>
                <w:bCs w:val="1"/>
                <w:color w:val="auto"/>
                <w:w w:val="97"/>
              </w:rPr>
              <w:t>Total Philadelphia Metropolitan</w:t>
            </w:r>
          </w:p>
        </w:tc>
        <w:tc>
          <w:tcPr>
            <w:tcW w:w="700" w:type="dxa"/>
            <w:vAlign w:val="bottom"/>
          </w:tcPr>
          <w:p>
            <w:pPr>
              <w:jc w:val="right"/>
              <w:ind w:right="57"/>
              <w:spacing w:after="0" w:line="129" w:lineRule="exact"/>
              <w:rPr>
                <w:sz w:val="20"/>
                <w:szCs w:val="20"/>
                <w:color w:val="auto"/>
              </w:rPr>
            </w:pPr>
            <w:r>
              <w:rPr>
                <w:rFonts w:ascii="Arial" w:cs="Arial" w:eastAsia="Arial" w:hAnsi="Arial"/>
                <w:sz w:val="13"/>
                <w:szCs w:val="13"/>
                <w:color w:val="auto"/>
              </w:rPr>
              <w:t>293,662</w:t>
            </w:r>
          </w:p>
        </w:tc>
        <w:tc>
          <w:tcPr>
            <w:tcW w:w="660" w:type="dxa"/>
            <w:vAlign w:val="bottom"/>
          </w:tcPr>
          <w:p>
            <w:pPr>
              <w:spacing w:after="0"/>
              <w:rPr>
                <w:sz w:val="11"/>
                <w:szCs w:val="11"/>
                <w:color w:val="auto"/>
              </w:rPr>
            </w:pPr>
          </w:p>
        </w:tc>
        <w:tc>
          <w:tcPr>
            <w:tcW w:w="480" w:type="dxa"/>
            <w:vAlign w:val="bottom"/>
          </w:tcPr>
          <w:p>
            <w:pPr>
              <w:jc w:val="right"/>
              <w:ind w:right="57"/>
              <w:spacing w:after="0" w:line="129" w:lineRule="exact"/>
              <w:rPr>
                <w:sz w:val="20"/>
                <w:szCs w:val="20"/>
                <w:color w:val="auto"/>
              </w:rPr>
            </w:pPr>
            <w:r>
              <w:rPr>
                <w:rFonts w:ascii="Arial" w:cs="Arial" w:eastAsia="Arial" w:hAnsi="Arial"/>
                <w:sz w:val="13"/>
                <w:szCs w:val="13"/>
                <w:color w:val="auto"/>
              </w:rPr>
              <w:t>210</w:t>
            </w:r>
          </w:p>
        </w:tc>
        <w:tc>
          <w:tcPr>
            <w:tcW w:w="120" w:type="dxa"/>
            <w:vAlign w:val="bottom"/>
          </w:tcPr>
          <w:p>
            <w:pPr>
              <w:spacing w:after="0"/>
              <w:rPr>
                <w:sz w:val="11"/>
                <w:szCs w:val="11"/>
                <w:color w:val="auto"/>
              </w:rPr>
            </w:pPr>
          </w:p>
        </w:tc>
        <w:tc>
          <w:tcPr>
            <w:tcW w:w="660" w:type="dxa"/>
            <w:vAlign w:val="bottom"/>
          </w:tcPr>
          <w:p>
            <w:pPr>
              <w:jc w:val="right"/>
              <w:ind w:right="57"/>
              <w:spacing w:after="0" w:line="129" w:lineRule="exact"/>
              <w:rPr>
                <w:sz w:val="20"/>
                <w:szCs w:val="20"/>
                <w:color w:val="auto"/>
              </w:rPr>
            </w:pPr>
            <w:r>
              <w:rPr>
                <w:rFonts w:ascii="Arial" w:cs="Arial" w:eastAsia="Arial" w:hAnsi="Arial"/>
                <w:sz w:val="13"/>
                <w:szCs w:val="13"/>
                <w:color w:val="auto"/>
                <w:w w:val="89"/>
              </w:rPr>
              <w:t>2,456,000</w:t>
            </w:r>
          </w:p>
        </w:tc>
        <w:tc>
          <w:tcPr>
            <w:tcW w:w="100" w:type="dxa"/>
            <w:vAlign w:val="bottom"/>
          </w:tcPr>
          <w:p>
            <w:pPr>
              <w:spacing w:after="0"/>
              <w:rPr>
                <w:sz w:val="11"/>
                <w:szCs w:val="11"/>
                <w:color w:val="auto"/>
              </w:rPr>
            </w:pPr>
          </w:p>
        </w:tc>
        <w:tc>
          <w:tcPr>
            <w:tcW w:w="480" w:type="dxa"/>
            <w:vAlign w:val="bottom"/>
          </w:tcPr>
          <w:p>
            <w:pPr>
              <w:jc w:val="right"/>
              <w:spacing w:after="0" w:line="129" w:lineRule="exact"/>
              <w:rPr>
                <w:sz w:val="20"/>
                <w:szCs w:val="20"/>
                <w:color w:val="auto"/>
              </w:rPr>
            </w:pPr>
            <w:r>
              <w:rPr>
                <w:rFonts w:ascii="Arial" w:cs="Arial" w:eastAsia="Arial" w:hAnsi="Arial"/>
                <w:sz w:val="13"/>
                <w:szCs w:val="13"/>
                <w:color w:val="auto"/>
              </w:rPr>
              <w:t>95%</w:t>
            </w: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300" w:type="dxa"/>
            <w:vAlign w:val="bottom"/>
          </w:tcPr>
          <w:p>
            <w:pPr>
              <w:spacing w:after="0"/>
              <w:rPr>
                <w:sz w:val="11"/>
                <w:szCs w:val="11"/>
                <w:color w:val="auto"/>
              </w:rPr>
            </w:pPr>
          </w:p>
        </w:tc>
      </w:tr>
      <w:tr>
        <w:trPr>
          <w:trHeight w:val="170"/>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940" w:type="dxa"/>
            <w:vAlign w:val="bottom"/>
            <w:gridSpan w:val="2"/>
          </w:tcPr>
          <w:p>
            <w:pPr>
              <w:ind w:left="40"/>
              <w:spacing w:after="0"/>
              <w:rPr>
                <w:sz w:val="20"/>
                <w:szCs w:val="20"/>
                <w:color w:val="auto"/>
              </w:rPr>
            </w:pPr>
            <w:r>
              <w:rPr>
                <w:rFonts w:ascii="Arial" w:cs="Arial" w:eastAsia="Arial" w:hAnsi="Arial"/>
                <w:sz w:val="13"/>
                <w:szCs w:val="13"/>
                <w:b w:val="1"/>
                <w:bCs w:val="1"/>
                <w:color w:val="auto"/>
              </w:rPr>
              <w:t>Area</w:t>
            </w: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222"/>
        </w:trPr>
        <w:tc>
          <w:tcPr>
            <w:tcW w:w="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r>
      <w:tr>
        <w:trPr>
          <w:trHeight w:val="149"/>
        </w:trPr>
        <w:tc>
          <w:tcPr>
            <w:tcW w:w="20" w:type="dxa"/>
            <w:vAlign w:val="bottom"/>
          </w:tcPr>
          <w:p>
            <w:pPr>
              <w:spacing w:after="0"/>
              <w:rPr>
                <w:sz w:val="12"/>
                <w:szCs w:val="12"/>
                <w:color w:val="auto"/>
              </w:rPr>
            </w:pPr>
          </w:p>
        </w:tc>
        <w:tc>
          <w:tcPr>
            <w:tcW w:w="1160" w:type="dxa"/>
            <w:vAlign w:val="bottom"/>
            <w:gridSpan w:val="4"/>
          </w:tcPr>
          <w:p>
            <w:pPr>
              <w:ind w:left="60"/>
              <w:spacing w:after="0"/>
              <w:rPr>
                <w:sz w:val="20"/>
                <w:szCs w:val="20"/>
                <w:color w:val="auto"/>
              </w:rPr>
            </w:pPr>
            <w:r>
              <w:rPr>
                <w:rFonts w:ascii="Arial" w:cs="Arial" w:eastAsia="Arial" w:hAnsi="Arial"/>
                <w:sz w:val="13"/>
                <w:szCs w:val="13"/>
                <w:b w:val="1"/>
                <w:bCs w:val="1"/>
                <w:color w:val="auto"/>
              </w:rPr>
              <w:t>New England</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300" w:type="dxa"/>
            <w:vAlign w:val="bottom"/>
          </w:tcPr>
          <w:p>
            <w:pPr>
              <w:spacing w:after="0"/>
              <w:rPr>
                <w:sz w:val="12"/>
                <w:szCs w:val="12"/>
                <w:color w:val="auto"/>
              </w:rPr>
            </w:pPr>
          </w:p>
        </w:tc>
      </w:tr>
      <w:tr>
        <w:trPr>
          <w:trHeight w:val="102"/>
        </w:trPr>
        <w:tc>
          <w:tcPr>
            <w:tcW w:w="2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300" w:type="dxa"/>
            <w:vAlign w:val="bottom"/>
          </w:tcPr>
          <w:p>
            <w:pPr>
              <w:spacing w:after="0"/>
              <w:rPr>
                <w:sz w:val="8"/>
                <w:szCs w:val="8"/>
                <w:color w:val="auto"/>
              </w:rPr>
            </w:pPr>
          </w:p>
        </w:tc>
      </w:tr>
      <w:tr>
        <w:trPr>
          <w:trHeight w:val="148"/>
        </w:trPr>
        <w:tc>
          <w:tcPr>
            <w:tcW w:w="1180" w:type="dxa"/>
            <w:vAlign w:val="bottom"/>
            <w:gridSpan w:val="5"/>
            <w:shd w:val="clear" w:color="auto" w:fill="CCEEFF"/>
          </w:tcPr>
          <w:p>
            <w:pPr>
              <w:ind w:left="20"/>
              <w:spacing w:after="0" w:line="148" w:lineRule="exact"/>
              <w:rPr>
                <w:sz w:val="20"/>
                <w:szCs w:val="20"/>
                <w:color w:val="auto"/>
              </w:rPr>
            </w:pPr>
            <w:r>
              <w:rPr>
                <w:rFonts w:ascii="Arial" w:cs="Arial" w:eastAsia="Arial" w:hAnsi="Arial"/>
                <w:sz w:val="13"/>
                <w:szCs w:val="13"/>
                <w:color w:val="auto"/>
              </w:rPr>
              <w:t>Assembly Row /</w:t>
            </w:r>
          </w:p>
        </w:tc>
        <w:tc>
          <w:tcPr>
            <w:tcW w:w="50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rPr>
              <w:t>(4)</w:t>
            </w:r>
          </w:p>
        </w:tc>
        <w:tc>
          <w:tcPr>
            <w:tcW w:w="194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w w:val="92"/>
              </w:rPr>
              <w:t>Boston-Cambridge-Quincy, MA-NH</w:t>
            </w:r>
          </w:p>
        </w:tc>
        <w:tc>
          <w:tcPr>
            <w:tcW w:w="70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666,581</w:t>
            </w:r>
          </w:p>
        </w:tc>
        <w:tc>
          <w:tcPr>
            <w:tcW w:w="66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65</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797,000</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98%</w:t>
            </w:r>
          </w:p>
        </w:tc>
        <w:tc>
          <w:tcPr>
            <w:tcW w:w="680" w:type="dxa"/>
            <w:vAlign w:val="bottom"/>
            <w:shd w:val="clear" w:color="auto" w:fill="CCEEFF"/>
          </w:tcPr>
          <w:p>
            <w:pPr>
              <w:jc w:val="right"/>
              <w:ind w:right="77"/>
              <w:spacing w:after="0" w:line="148" w:lineRule="exact"/>
              <w:rPr>
                <w:sz w:val="20"/>
                <w:szCs w:val="20"/>
                <w:color w:val="auto"/>
              </w:rPr>
            </w:pPr>
            <w:r>
              <w:rPr>
                <w:rFonts w:ascii="Arial" w:cs="Arial" w:eastAsia="Arial" w:hAnsi="Arial"/>
                <w:sz w:val="13"/>
                <w:szCs w:val="13"/>
                <w:color w:val="auto"/>
              </w:rPr>
              <w:t>27</w:t>
            </w:r>
          </w:p>
        </w:tc>
        <w:tc>
          <w:tcPr>
            <w:tcW w:w="580" w:type="dxa"/>
            <w:vAlign w:val="bottom"/>
            <w:shd w:val="clear" w:color="auto" w:fill="CCEEFF"/>
          </w:tcPr>
          <w:p>
            <w:pPr>
              <w:jc w:val="center"/>
              <w:ind w:right="17"/>
              <w:spacing w:after="0" w:line="148" w:lineRule="exact"/>
              <w:rPr>
                <w:sz w:val="20"/>
                <w:szCs w:val="20"/>
                <w:color w:val="auto"/>
              </w:rPr>
            </w:pPr>
            <w:r>
              <w:rPr>
                <w:rFonts w:ascii="Arial" w:cs="Arial" w:eastAsia="Arial" w:hAnsi="Arial"/>
                <w:sz w:val="13"/>
                <w:szCs w:val="13"/>
                <w:color w:val="auto"/>
                <w:w w:val="85"/>
              </w:rPr>
              <w:t>18,000</w:t>
            </w:r>
          </w:p>
        </w:tc>
        <w:tc>
          <w:tcPr>
            <w:tcW w:w="90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Trader Joe's</w:t>
            </w:r>
          </w:p>
        </w:tc>
        <w:tc>
          <w:tcPr>
            <w:tcW w:w="230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w w:val="95"/>
              </w:rPr>
              <w:t>TJ Maxx / AMC / LEGOLAND Discovery</w:t>
            </w:r>
          </w:p>
        </w:tc>
      </w:tr>
      <w:tr>
        <w:trPr>
          <w:trHeight w:val="135"/>
        </w:trPr>
        <w:tc>
          <w:tcPr>
            <w:tcW w:w="1180" w:type="dxa"/>
            <w:vAlign w:val="bottom"/>
            <w:gridSpan w:val="5"/>
            <w:shd w:val="clear" w:color="auto" w:fill="CCEEFF"/>
          </w:tcPr>
          <w:p>
            <w:pPr>
              <w:ind w:left="20"/>
              <w:spacing w:after="0" w:line="135" w:lineRule="exact"/>
              <w:rPr>
                <w:sz w:val="20"/>
                <w:szCs w:val="20"/>
                <w:color w:val="auto"/>
              </w:rPr>
            </w:pPr>
            <w:r>
              <w:rPr>
                <w:rFonts w:ascii="Arial" w:cs="Arial" w:eastAsia="Arial" w:hAnsi="Arial"/>
                <w:sz w:val="13"/>
                <w:szCs w:val="13"/>
                <w:color w:val="auto"/>
              </w:rPr>
              <w:t>Assembly Square</w:t>
            </w: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30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w w:val="97"/>
              </w:rPr>
              <w:t>Center / Multiple Restaurants &amp; Outlets</w:t>
            </w:r>
          </w:p>
        </w:tc>
      </w:tr>
      <w:tr>
        <w:trPr>
          <w:trHeight w:val="176"/>
        </w:trPr>
        <w:tc>
          <w:tcPr>
            <w:tcW w:w="1180" w:type="dxa"/>
            <w:vAlign w:val="bottom"/>
            <w:gridSpan w:val="5"/>
            <w:shd w:val="clear" w:color="auto" w:fill="CCEEFF"/>
          </w:tcPr>
          <w:p>
            <w:pPr>
              <w:ind w:left="20"/>
              <w:spacing w:after="0"/>
              <w:rPr>
                <w:sz w:val="20"/>
                <w:szCs w:val="20"/>
                <w:color w:val="auto"/>
              </w:rPr>
            </w:pPr>
            <w:r>
              <w:rPr>
                <w:rFonts w:ascii="Arial" w:cs="Arial" w:eastAsia="Arial" w:hAnsi="Arial"/>
                <w:sz w:val="13"/>
                <w:szCs w:val="13"/>
                <w:color w:val="auto"/>
              </w:rPr>
              <w:t>Marketplace</w:t>
            </w: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r>
      <w:tr>
        <w:trPr>
          <w:trHeight w:val="148"/>
        </w:trPr>
        <w:tc>
          <w:tcPr>
            <w:tcW w:w="1180" w:type="dxa"/>
            <w:vAlign w:val="bottom"/>
            <w:gridSpan w:val="5"/>
          </w:tcPr>
          <w:p>
            <w:pPr>
              <w:ind w:left="20"/>
              <w:spacing w:after="0" w:line="148" w:lineRule="exact"/>
              <w:rPr>
                <w:sz w:val="20"/>
                <w:szCs w:val="20"/>
                <w:color w:val="auto"/>
              </w:rPr>
            </w:pPr>
            <w:r>
              <w:rPr>
                <w:rFonts w:ascii="Arial" w:cs="Arial" w:eastAsia="Arial" w:hAnsi="Arial"/>
                <w:sz w:val="13"/>
                <w:szCs w:val="13"/>
                <w:color w:val="auto"/>
              </w:rPr>
              <w:t>Atlantic Plaza</w:t>
            </w:r>
          </w:p>
        </w:tc>
        <w:tc>
          <w:tcPr>
            <w:tcW w:w="500" w:type="dxa"/>
            <w:vAlign w:val="bottom"/>
          </w:tcPr>
          <w:p>
            <w:pPr>
              <w:spacing w:after="0"/>
              <w:rPr>
                <w:sz w:val="12"/>
                <w:szCs w:val="12"/>
                <w:color w:val="auto"/>
              </w:rPr>
            </w:pPr>
          </w:p>
        </w:tc>
        <w:tc>
          <w:tcPr>
            <w:tcW w:w="194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Boston-Worcester-Lawrence-</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25,653</w:t>
            </w:r>
          </w:p>
        </w:tc>
        <w:tc>
          <w:tcPr>
            <w:tcW w:w="660" w:type="dxa"/>
            <w:vAlign w:val="bottom"/>
          </w:tcPr>
          <w:p>
            <w:pPr>
              <w:spacing w:after="0"/>
              <w:rPr>
                <w:sz w:val="12"/>
                <w:szCs w:val="12"/>
                <w:color w:val="auto"/>
              </w:rPr>
            </w:pP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13</w:t>
            </w:r>
          </w:p>
        </w:tc>
        <w:tc>
          <w:tcPr>
            <w:tcW w:w="120" w:type="dxa"/>
            <w:vAlign w:val="bottom"/>
          </w:tcPr>
          <w:p>
            <w:pPr>
              <w:spacing w:after="0"/>
              <w:rPr>
                <w:sz w:val="12"/>
                <w:szCs w:val="12"/>
                <w:color w:val="auto"/>
              </w:rPr>
            </w:pP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123,000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96%</w:t>
            </w:r>
          </w:p>
        </w:tc>
        <w:tc>
          <w:tcPr>
            <w:tcW w:w="68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64,000</w:t>
            </w:r>
          </w:p>
        </w:tc>
        <w:tc>
          <w:tcPr>
            <w:tcW w:w="900" w:type="dxa"/>
            <w:vAlign w:val="bottom"/>
          </w:tcPr>
          <w:p>
            <w:pPr>
              <w:ind w:left="80"/>
              <w:spacing w:after="0" w:line="148" w:lineRule="exact"/>
              <w:rPr>
                <w:sz w:val="20"/>
                <w:szCs w:val="20"/>
                <w:color w:val="auto"/>
              </w:rPr>
            </w:pPr>
            <w:r>
              <w:rPr>
                <w:rFonts w:ascii="Arial" w:cs="Arial" w:eastAsia="Arial" w:hAnsi="Arial"/>
                <w:sz w:val="13"/>
                <w:szCs w:val="13"/>
                <w:color w:val="auto"/>
              </w:rPr>
              <w:t>Stop &amp; Shop</w:t>
            </w:r>
          </w:p>
        </w:tc>
        <w:tc>
          <w:tcPr>
            <w:tcW w:w="2300" w:type="dxa"/>
            <w:vAlign w:val="bottom"/>
          </w:tcPr>
          <w:p>
            <w:pPr>
              <w:spacing w:after="0"/>
              <w:rPr>
                <w:sz w:val="12"/>
                <w:szCs w:val="12"/>
                <w:color w:val="auto"/>
              </w:rPr>
            </w:pPr>
          </w:p>
        </w:tc>
      </w:tr>
      <w:tr>
        <w:trPr>
          <w:trHeight w:val="168"/>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940" w:type="dxa"/>
            <w:vAlign w:val="bottom"/>
            <w:gridSpan w:val="2"/>
          </w:tcPr>
          <w:p>
            <w:pPr>
              <w:ind w:left="40"/>
              <w:spacing w:after="0"/>
              <w:rPr>
                <w:sz w:val="20"/>
                <w:szCs w:val="20"/>
                <w:color w:val="auto"/>
              </w:rPr>
            </w:pPr>
            <w:r>
              <w:rPr>
                <w:rFonts w:ascii="Arial" w:cs="Arial" w:eastAsia="Arial" w:hAnsi="Arial"/>
                <w:sz w:val="13"/>
                <w:szCs w:val="13"/>
                <w:color w:val="auto"/>
              </w:rPr>
              <w:t>Lowell-Brockton, MA</w:t>
            </w: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156"/>
        </w:trPr>
        <w:tc>
          <w:tcPr>
            <w:tcW w:w="1180" w:type="dxa"/>
            <w:vAlign w:val="bottom"/>
            <w:gridSpan w:val="5"/>
            <w:shd w:val="clear" w:color="auto" w:fill="CCEEFF"/>
          </w:tcPr>
          <w:p>
            <w:pPr>
              <w:ind w:left="20"/>
              <w:spacing w:after="0"/>
              <w:rPr>
                <w:sz w:val="20"/>
                <w:szCs w:val="20"/>
                <w:color w:val="auto"/>
              </w:rPr>
            </w:pPr>
            <w:r>
              <w:rPr>
                <w:rFonts w:ascii="Arial" w:cs="Arial" w:eastAsia="Arial" w:hAnsi="Arial"/>
                <w:sz w:val="13"/>
                <w:szCs w:val="13"/>
                <w:color w:val="auto"/>
              </w:rPr>
              <w:t>Campus Plaza</w:t>
            </w:r>
          </w:p>
        </w:tc>
        <w:tc>
          <w:tcPr>
            <w:tcW w:w="500" w:type="dxa"/>
            <w:vAlign w:val="bottom"/>
            <w:shd w:val="clear" w:color="auto" w:fill="CCEEFF"/>
          </w:tcPr>
          <w:p>
            <w:pPr>
              <w:spacing w:after="0"/>
              <w:rPr>
                <w:sz w:val="13"/>
                <w:szCs w:val="13"/>
                <w:color w:val="auto"/>
              </w:rPr>
            </w:pPr>
          </w:p>
        </w:tc>
        <w:tc>
          <w:tcPr>
            <w:tcW w:w="19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Boston-Worcester-Lawrence-</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30,514</w:t>
            </w:r>
          </w:p>
        </w:tc>
        <w:tc>
          <w:tcPr>
            <w:tcW w:w="66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w:t>
            </w: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116,000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46,000</w:t>
            </w: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Roche Bros.</w:t>
            </w:r>
          </w:p>
        </w:tc>
        <w:tc>
          <w:tcPr>
            <w:tcW w:w="2300" w:type="dxa"/>
            <w:vAlign w:val="bottom"/>
            <w:shd w:val="clear" w:color="auto" w:fill="CCEEFF"/>
          </w:tcPr>
          <w:p>
            <w:pPr>
              <w:ind w:left="80"/>
              <w:spacing w:after="0"/>
              <w:rPr>
                <w:sz w:val="20"/>
                <w:szCs w:val="20"/>
                <w:color w:val="auto"/>
              </w:rPr>
            </w:pPr>
            <w:r>
              <w:rPr>
                <w:rFonts w:ascii="Arial" w:cs="Arial" w:eastAsia="Arial" w:hAnsi="Arial"/>
                <w:sz w:val="13"/>
                <w:szCs w:val="13"/>
                <w:color w:val="auto"/>
              </w:rPr>
              <w:t>Burlington</w:t>
            </w:r>
          </w:p>
        </w:tc>
      </w:tr>
      <w:tr>
        <w:trPr>
          <w:trHeight w:val="176"/>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9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Lowell-Brockton, MA</w:t>
            </w: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r>
      <w:tr>
        <w:trPr>
          <w:trHeight w:val="173"/>
        </w:trPr>
        <w:tc>
          <w:tcPr>
            <w:tcW w:w="1180" w:type="dxa"/>
            <w:vAlign w:val="bottom"/>
            <w:gridSpan w:val="5"/>
          </w:tcPr>
          <w:p>
            <w:pPr>
              <w:ind w:left="20"/>
              <w:spacing w:after="0"/>
              <w:rPr>
                <w:sz w:val="20"/>
                <w:szCs w:val="20"/>
                <w:color w:val="auto"/>
              </w:rPr>
            </w:pPr>
            <w:r>
              <w:rPr>
                <w:rFonts w:ascii="Arial" w:cs="Arial" w:eastAsia="Arial" w:hAnsi="Arial"/>
                <w:sz w:val="13"/>
                <w:szCs w:val="13"/>
                <w:color w:val="auto"/>
              </w:rPr>
              <w:t>Chelsea Commons</w:t>
            </w:r>
          </w:p>
        </w:tc>
        <w:tc>
          <w:tcPr>
            <w:tcW w:w="500" w:type="dxa"/>
            <w:vAlign w:val="bottom"/>
          </w:tcPr>
          <w:p>
            <w:pPr>
              <w:spacing w:after="0"/>
              <w:rPr>
                <w:sz w:val="15"/>
                <w:szCs w:val="15"/>
                <w:color w:val="auto"/>
              </w:rPr>
            </w:pPr>
          </w:p>
        </w:tc>
        <w:tc>
          <w:tcPr>
            <w:tcW w:w="1940" w:type="dxa"/>
            <w:vAlign w:val="bottom"/>
            <w:gridSpan w:val="2"/>
          </w:tcPr>
          <w:p>
            <w:pPr>
              <w:ind w:left="40"/>
              <w:spacing w:after="0"/>
              <w:rPr>
                <w:sz w:val="20"/>
                <w:szCs w:val="20"/>
                <w:color w:val="auto"/>
              </w:rPr>
            </w:pPr>
            <w:r>
              <w:rPr>
                <w:rFonts w:ascii="Arial" w:cs="Arial" w:eastAsia="Arial" w:hAnsi="Arial"/>
                <w:sz w:val="13"/>
                <w:szCs w:val="13"/>
                <w:color w:val="auto"/>
                <w:w w:val="92"/>
              </w:rPr>
              <w:t>Boston-Cambridge-Quincy, MA-NH</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42,880</w:t>
            </w:r>
          </w:p>
        </w:tc>
        <w:tc>
          <w:tcPr>
            <w:tcW w:w="660" w:type="dxa"/>
            <w:vAlign w:val="bottom"/>
          </w:tcPr>
          <w:p>
            <w:pPr>
              <w:jc w:val="right"/>
              <w:ind w:right="59"/>
              <w:spacing w:after="0"/>
              <w:rPr>
                <w:sz w:val="20"/>
                <w:szCs w:val="20"/>
                <w:color w:val="auto"/>
              </w:rPr>
            </w:pPr>
            <w:r>
              <w:rPr>
                <w:rFonts w:ascii="Arial" w:cs="Arial" w:eastAsia="Arial" w:hAnsi="Arial"/>
                <w:sz w:val="13"/>
                <w:szCs w:val="13"/>
                <w:color w:val="auto"/>
              </w:rPr>
              <w:t>6,346</w:t>
            </w: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37</w:t>
            </w:r>
          </w:p>
        </w:tc>
        <w:tc>
          <w:tcPr>
            <w:tcW w:w="120" w:type="dxa"/>
            <w:vAlign w:val="bottom"/>
          </w:tcPr>
          <w:p>
            <w:pPr>
              <w:spacing w:after="0"/>
              <w:rPr>
                <w:sz w:val="15"/>
                <w:szCs w:val="15"/>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222,000</w:t>
            </w: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99%</w:t>
            </w: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56</w:t>
            </w:r>
          </w:p>
        </w:tc>
        <w:tc>
          <w:tcPr>
            <w:tcW w:w="580" w:type="dxa"/>
            <w:vAlign w:val="bottom"/>
          </w:tcPr>
          <w:p>
            <w:pPr>
              <w:jc w:val="center"/>
              <w:ind w:right="17"/>
              <w:spacing w:after="0"/>
              <w:rPr>
                <w:sz w:val="20"/>
                <w:szCs w:val="20"/>
                <w:color w:val="auto"/>
              </w:rPr>
            </w:pPr>
            <w:r>
              <w:rPr>
                <w:rFonts w:ascii="Arial" w:cs="Arial" w:eastAsia="Arial" w:hAnsi="Arial"/>
                <w:sz w:val="13"/>
                <w:szCs w:val="13"/>
                <w:color w:val="auto"/>
                <w:w w:val="85"/>
              </w:rPr>
              <w:t>16,000</w:t>
            </w:r>
          </w:p>
        </w:tc>
        <w:tc>
          <w:tcPr>
            <w:tcW w:w="900" w:type="dxa"/>
            <w:vAlign w:val="bottom"/>
          </w:tcPr>
          <w:p>
            <w:pPr>
              <w:ind w:left="80"/>
              <w:spacing w:after="0"/>
              <w:rPr>
                <w:sz w:val="20"/>
                <w:szCs w:val="20"/>
                <w:color w:val="auto"/>
              </w:rPr>
            </w:pPr>
            <w:r>
              <w:rPr>
                <w:rFonts w:ascii="Arial" w:cs="Arial" w:eastAsia="Arial" w:hAnsi="Arial"/>
                <w:sz w:val="13"/>
                <w:szCs w:val="13"/>
                <w:color w:val="auto"/>
              </w:rPr>
              <w:t>Sav-A-Lot</w:t>
            </w:r>
          </w:p>
        </w:tc>
        <w:tc>
          <w:tcPr>
            <w:tcW w:w="2300" w:type="dxa"/>
            <w:vAlign w:val="bottom"/>
          </w:tcPr>
          <w:p>
            <w:pPr>
              <w:ind w:left="80"/>
              <w:spacing w:after="0"/>
              <w:rPr>
                <w:sz w:val="20"/>
                <w:szCs w:val="20"/>
                <w:color w:val="auto"/>
              </w:rPr>
            </w:pPr>
            <w:r>
              <w:rPr>
                <w:rFonts w:ascii="Arial" w:cs="Arial" w:eastAsia="Arial" w:hAnsi="Arial"/>
                <w:sz w:val="13"/>
                <w:szCs w:val="13"/>
                <w:color w:val="auto"/>
              </w:rPr>
              <w:t>Home Depot / Planet Fitness</w:t>
            </w:r>
          </w:p>
        </w:tc>
      </w:tr>
      <w:tr>
        <w:trPr>
          <w:trHeight w:val="97"/>
        </w:trPr>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300" w:type="dxa"/>
            <w:vAlign w:val="bottom"/>
          </w:tcPr>
          <w:p>
            <w:pPr>
              <w:spacing w:after="0"/>
              <w:rPr>
                <w:sz w:val="8"/>
                <w:szCs w:val="8"/>
                <w:color w:val="auto"/>
              </w:rPr>
            </w:pPr>
          </w:p>
        </w:tc>
      </w:tr>
      <w:tr>
        <w:trPr>
          <w:trHeight w:val="173"/>
        </w:trPr>
        <w:tc>
          <w:tcPr>
            <w:tcW w:w="1180" w:type="dxa"/>
            <w:vAlign w:val="bottom"/>
            <w:gridSpan w:val="5"/>
            <w:shd w:val="clear" w:color="auto" w:fill="CCEEFF"/>
          </w:tcPr>
          <w:p>
            <w:pPr>
              <w:ind w:left="20"/>
              <w:spacing w:after="0"/>
              <w:rPr>
                <w:sz w:val="20"/>
                <w:szCs w:val="20"/>
                <w:color w:val="auto"/>
              </w:rPr>
            </w:pPr>
            <w:r>
              <w:rPr>
                <w:rFonts w:ascii="Arial" w:cs="Arial" w:eastAsia="Arial" w:hAnsi="Arial"/>
                <w:sz w:val="13"/>
                <w:szCs w:val="13"/>
                <w:color w:val="auto"/>
              </w:rPr>
              <w:t>Dedham Plaza</w:t>
            </w:r>
          </w:p>
        </w:tc>
        <w:tc>
          <w:tcPr>
            <w:tcW w:w="500" w:type="dxa"/>
            <w:vAlign w:val="bottom"/>
            <w:shd w:val="clear" w:color="auto" w:fill="CCEEFF"/>
          </w:tcPr>
          <w:p>
            <w:pPr>
              <w:spacing w:after="0"/>
              <w:rPr>
                <w:sz w:val="15"/>
                <w:szCs w:val="15"/>
                <w:color w:val="auto"/>
              </w:rPr>
            </w:pPr>
          </w:p>
        </w:tc>
        <w:tc>
          <w:tcPr>
            <w:tcW w:w="19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92"/>
              </w:rPr>
              <w:t>Boston-Cambridge-Quincy, MA-NH</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38,796</w:t>
            </w: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19</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241,000</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80,000</w:t>
            </w: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Star Market</w:t>
            </w:r>
          </w:p>
        </w:tc>
        <w:tc>
          <w:tcPr>
            <w:tcW w:w="2300" w:type="dxa"/>
            <w:vAlign w:val="bottom"/>
            <w:shd w:val="clear" w:color="auto" w:fill="CCEEFF"/>
          </w:tcPr>
          <w:p>
            <w:pPr>
              <w:ind w:left="80"/>
              <w:spacing w:after="0"/>
              <w:rPr>
                <w:sz w:val="20"/>
                <w:szCs w:val="20"/>
                <w:color w:val="auto"/>
              </w:rPr>
            </w:pPr>
            <w:r>
              <w:rPr>
                <w:rFonts w:ascii="Arial" w:cs="Arial" w:eastAsia="Arial" w:hAnsi="Arial"/>
                <w:sz w:val="13"/>
                <w:szCs w:val="13"/>
                <w:color w:val="auto"/>
              </w:rPr>
              <w:t>Planet Fitness</w:t>
            </w:r>
          </w:p>
        </w:tc>
      </w:tr>
      <w:tr>
        <w:trPr>
          <w:trHeight w:val="97"/>
        </w:trPr>
        <w:tc>
          <w:tcPr>
            <w:tcW w:w="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300" w:type="dxa"/>
            <w:vAlign w:val="bottom"/>
            <w:shd w:val="clear" w:color="auto" w:fill="CCEEFF"/>
          </w:tcPr>
          <w:p>
            <w:pPr>
              <w:spacing w:after="0"/>
              <w:rPr>
                <w:sz w:val="8"/>
                <w:szCs w:val="8"/>
                <w:color w:val="auto"/>
              </w:rPr>
            </w:pPr>
          </w:p>
        </w:tc>
      </w:tr>
      <w:tr>
        <w:trPr>
          <w:trHeight w:val="173"/>
        </w:trPr>
        <w:tc>
          <w:tcPr>
            <w:tcW w:w="1180" w:type="dxa"/>
            <w:vAlign w:val="bottom"/>
            <w:gridSpan w:val="5"/>
          </w:tcPr>
          <w:p>
            <w:pPr>
              <w:ind w:left="20"/>
              <w:spacing w:after="0"/>
              <w:rPr>
                <w:sz w:val="20"/>
                <w:szCs w:val="20"/>
                <w:color w:val="auto"/>
              </w:rPr>
            </w:pPr>
            <w:r>
              <w:rPr>
                <w:rFonts w:ascii="Arial" w:cs="Arial" w:eastAsia="Arial" w:hAnsi="Arial"/>
                <w:sz w:val="13"/>
                <w:szCs w:val="13"/>
                <w:color w:val="auto"/>
              </w:rPr>
              <w:t>Linden Square</w:t>
            </w:r>
          </w:p>
        </w:tc>
        <w:tc>
          <w:tcPr>
            <w:tcW w:w="500" w:type="dxa"/>
            <w:vAlign w:val="bottom"/>
          </w:tcPr>
          <w:p>
            <w:pPr>
              <w:spacing w:after="0"/>
              <w:rPr>
                <w:sz w:val="15"/>
                <w:szCs w:val="15"/>
                <w:color w:val="auto"/>
              </w:rPr>
            </w:pPr>
          </w:p>
        </w:tc>
        <w:tc>
          <w:tcPr>
            <w:tcW w:w="1940" w:type="dxa"/>
            <w:vAlign w:val="bottom"/>
            <w:gridSpan w:val="2"/>
          </w:tcPr>
          <w:p>
            <w:pPr>
              <w:ind w:left="40"/>
              <w:spacing w:after="0"/>
              <w:rPr>
                <w:sz w:val="20"/>
                <w:szCs w:val="20"/>
                <w:color w:val="auto"/>
              </w:rPr>
            </w:pPr>
            <w:r>
              <w:rPr>
                <w:rFonts w:ascii="Arial" w:cs="Arial" w:eastAsia="Arial" w:hAnsi="Arial"/>
                <w:sz w:val="13"/>
                <w:szCs w:val="13"/>
                <w:color w:val="auto"/>
                <w:w w:val="92"/>
              </w:rPr>
              <w:t>Boston-Cambridge-Quincy, MA-NH</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148,653</w:t>
            </w:r>
          </w:p>
        </w:tc>
        <w:tc>
          <w:tcPr>
            <w:tcW w:w="660" w:type="dxa"/>
            <w:vAlign w:val="bottom"/>
          </w:tcPr>
          <w:p>
            <w:pPr>
              <w:spacing w:after="0"/>
              <w:rPr>
                <w:sz w:val="15"/>
                <w:szCs w:val="15"/>
                <w:color w:val="auto"/>
              </w:rPr>
            </w:pP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19</w:t>
            </w:r>
          </w:p>
        </w:tc>
        <w:tc>
          <w:tcPr>
            <w:tcW w:w="120" w:type="dxa"/>
            <w:vAlign w:val="bottom"/>
          </w:tcPr>
          <w:p>
            <w:pPr>
              <w:spacing w:after="0"/>
              <w:rPr>
                <w:sz w:val="15"/>
                <w:szCs w:val="15"/>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223,000</w:t>
            </w: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96%</w:t>
            </w:r>
          </w:p>
        </w:tc>
        <w:tc>
          <w:tcPr>
            <w:tcW w:w="680" w:type="dxa"/>
            <w:vAlign w:val="bottom"/>
          </w:tcPr>
          <w:p>
            <w:pPr>
              <w:spacing w:after="0"/>
              <w:rPr>
                <w:sz w:val="15"/>
                <w:szCs w:val="15"/>
                <w:color w:val="auto"/>
              </w:rPr>
            </w:pPr>
          </w:p>
        </w:tc>
        <w:tc>
          <w:tcPr>
            <w:tcW w:w="580" w:type="dxa"/>
            <w:vAlign w:val="bottom"/>
          </w:tcPr>
          <w:p>
            <w:pPr>
              <w:jc w:val="center"/>
              <w:ind w:right="17"/>
              <w:spacing w:after="0"/>
              <w:rPr>
                <w:sz w:val="20"/>
                <w:szCs w:val="20"/>
                <w:color w:val="auto"/>
              </w:rPr>
            </w:pPr>
            <w:r>
              <w:rPr>
                <w:rFonts w:ascii="Arial" w:cs="Arial" w:eastAsia="Arial" w:hAnsi="Arial"/>
                <w:sz w:val="13"/>
                <w:szCs w:val="13"/>
                <w:color w:val="auto"/>
                <w:w w:val="85"/>
              </w:rPr>
              <w:t>50,000</w:t>
            </w:r>
          </w:p>
        </w:tc>
        <w:tc>
          <w:tcPr>
            <w:tcW w:w="900" w:type="dxa"/>
            <w:vAlign w:val="bottom"/>
          </w:tcPr>
          <w:p>
            <w:pPr>
              <w:ind w:left="80"/>
              <w:spacing w:after="0"/>
              <w:rPr>
                <w:sz w:val="20"/>
                <w:szCs w:val="20"/>
                <w:color w:val="auto"/>
              </w:rPr>
            </w:pPr>
            <w:r>
              <w:rPr>
                <w:rFonts w:ascii="Arial" w:cs="Arial" w:eastAsia="Arial" w:hAnsi="Arial"/>
                <w:sz w:val="13"/>
                <w:szCs w:val="13"/>
                <w:color w:val="auto"/>
              </w:rPr>
              <w:t>Roche Bros.</w:t>
            </w:r>
          </w:p>
        </w:tc>
        <w:tc>
          <w:tcPr>
            <w:tcW w:w="2300" w:type="dxa"/>
            <w:vAlign w:val="bottom"/>
          </w:tcPr>
          <w:p>
            <w:pPr>
              <w:ind w:left="80"/>
              <w:spacing w:after="0"/>
              <w:rPr>
                <w:sz w:val="20"/>
                <w:szCs w:val="20"/>
                <w:color w:val="auto"/>
              </w:rPr>
            </w:pPr>
            <w:r>
              <w:rPr>
                <w:rFonts w:ascii="Arial" w:cs="Arial" w:eastAsia="Arial" w:hAnsi="Arial"/>
                <w:sz w:val="13"/>
                <w:szCs w:val="13"/>
                <w:color w:val="auto"/>
              </w:rPr>
              <w:t>CVS</w:t>
            </w:r>
          </w:p>
        </w:tc>
      </w:tr>
      <w:tr>
        <w:trPr>
          <w:trHeight w:val="97"/>
        </w:trPr>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300" w:type="dxa"/>
            <w:vAlign w:val="bottom"/>
          </w:tcPr>
          <w:p>
            <w:pPr>
              <w:spacing w:after="0"/>
              <w:rPr>
                <w:sz w:val="8"/>
                <w:szCs w:val="8"/>
                <w:color w:val="auto"/>
              </w:rPr>
            </w:pPr>
          </w:p>
        </w:tc>
      </w:tr>
      <w:tr>
        <w:trPr>
          <w:trHeight w:val="173"/>
        </w:trPr>
        <w:tc>
          <w:tcPr>
            <w:tcW w:w="1180" w:type="dxa"/>
            <w:vAlign w:val="bottom"/>
            <w:gridSpan w:val="5"/>
            <w:shd w:val="clear" w:color="auto" w:fill="CCEEFF"/>
          </w:tcPr>
          <w:p>
            <w:pPr>
              <w:ind w:left="20"/>
              <w:spacing w:after="0"/>
              <w:rPr>
                <w:sz w:val="20"/>
                <w:szCs w:val="20"/>
                <w:color w:val="auto"/>
              </w:rPr>
            </w:pPr>
            <w:r>
              <w:rPr>
                <w:rFonts w:ascii="Arial" w:cs="Arial" w:eastAsia="Arial" w:hAnsi="Arial"/>
                <w:sz w:val="13"/>
                <w:szCs w:val="13"/>
                <w:color w:val="auto"/>
              </w:rPr>
              <w:t>North Dartmouth</w:t>
            </w:r>
          </w:p>
        </w:tc>
        <w:tc>
          <w:tcPr>
            <w:tcW w:w="500" w:type="dxa"/>
            <w:vAlign w:val="bottom"/>
            <w:shd w:val="clear" w:color="auto" w:fill="CCEEFF"/>
          </w:tcPr>
          <w:p>
            <w:pPr>
              <w:spacing w:after="0"/>
              <w:rPr>
                <w:sz w:val="15"/>
                <w:szCs w:val="15"/>
                <w:color w:val="auto"/>
              </w:rPr>
            </w:pPr>
          </w:p>
        </w:tc>
        <w:tc>
          <w:tcPr>
            <w:tcW w:w="19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92"/>
              </w:rPr>
              <w:t>Boston-Cambridge-Quincy, MA-NH</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9,368</w:t>
            </w: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28</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48,000</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48,000</w:t>
            </w: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Stop &amp; Shop</w:t>
            </w:r>
          </w:p>
        </w:tc>
        <w:tc>
          <w:tcPr>
            <w:tcW w:w="2300" w:type="dxa"/>
            <w:vAlign w:val="bottom"/>
            <w:shd w:val="clear" w:color="auto" w:fill="CCEEFF"/>
          </w:tcPr>
          <w:p>
            <w:pPr>
              <w:spacing w:after="0"/>
              <w:rPr>
                <w:sz w:val="15"/>
                <w:szCs w:val="15"/>
                <w:color w:val="auto"/>
              </w:rPr>
            </w:pPr>
          </w:p>
        </w:tc>
      </w:tr>
      <w:tr>
        <w:trPr>
          <w:trHeight w:val="97"/>
        </w:trPr>
        <w:tc>
          <w:tcPr>
            <w:tcW w:w="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300" w:type="dxa"/>
            <w:vAlign w:val="bottom"/>
            <w:shd w:val="clear" w:color="auto" w:fill="CCEEFF"/>
          </w:tcPr>
          <w:p>
            <w:pPr>
              <w:spacing w:after="0"/>
              <w:rPr>
                <w:sz w:val="8"/>
                <w:szCs w:val="8"/>
                <w:color w:val="auto"/>
              </w:rPr>
            </w:pPr>
          </w:p>
        </w:tc>
      </w:tr>
      <w:tr>
        <w:trPr>
          <w:trHeight w:val="173"/>
        </w:trPr>
        <w:tc>
          <w:tcPr>
            <w:tcW w:w="1180" w:type="dxa"/>
            <w:vAlign w:val="bottom"/>
            <w:gridSpan w:val="5"/>
          </w:tcPr>
          <w:p>
            <w:pPr>
              <w:ind w:left="20"/>
              <w:spacing w:after="0"/>
              <w:rPr>
                <w:sz w:val="20"/>
                <w:szCs w:val="20"/>
                <w:color w:val="auto"/>
              </w:rPr>
            </w:pPr>
            <w:r>
              <w:rPr>
                <w:rFonts w:ascii="Arial" w:cs="Arial" w:eastAsia="Arial" w:hAnsi="Arial"/>
                <w:sz w:val="13"/>
                <w:szCs w:val="13"/>
                <w:color w:val="auto"/>
              </w:rPr>
              <w:t>Queen Anne Plaza</w:t>
            </w:r>
          </w:p>
        </w:tc>
        <w:tc>
          <w:tcPr>
            <w:tcW w:w="500" w:type="dxa"/>
            <w:vAlign w:val="bottom"/>
          </w:tcPr>
          <w:p>
            <w:pPr>
              <w:spacing w:after="0"/>
              <w:rPr>
                <w:sz w:val="15"/>
                <w:szCs w:val="15"/>
                <w:color w:val="auto"/>
              </w:rPr>
            </w:pPr>
          </w:p>
        </w:tc>
        <w:tc>
          <w:tcPr>
            <w:tcW w:w="1940" w:type="dxa"/>
            <w:vAlign w:val="bottom"/>
            <w:gridSpan w:val="2"/>
          </w:tcPr>
          <w:p>
            <w:pPr>
              <w:ind w:left="40"/>
              <w:spacing w:after="0"/>
              <w:rPr>
                <w:sz w:val="20"/>
                <w:szCs w:val="20"/>
                <w:color w:val="auto"/>
              </w:rPr>
            </w:pPr>
            <w:r>
              <w:rPr>
                <w:rFonts w:ascii="Arial" w:cs="Arial" w:eastAsia="Arial" w:hAnsi="Arial"/>
                <w:sz w:val="13"/>
                <w:szCs w:val="13"/>
                <w:color w:val="auto"/>
                <w:w w:val="92"/>
              </w:rPr>
              <w:t>Boston-Cambridge-Quincy, MA-NH</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18,295</w:t>
            </w:r>
          </w:p>
        </w:tc>
        <w:tc>
          <w:tcPr>
            <w:tcW w:w="660" w:type="dxa"/>
            <w:vAlign w:val="bottom"/>
          </w:tcPr>
          <w:p>
            <w:pPr>
              <w:spacing w:after="0"/>
              <w:rPr>
                <w:sz w:val="15"/>
                <w:szCs w:val="15"/>
                <w:color w:val="auto"/>
              </w:rPr>
            </w:pP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17</w:t>
            </w:r>
          </w:p>
        </w:tc>
        <w:tc>
          <w:tcPr>
            <w:tcW w:w="120" w:type="dxa"/>
            <w:vAlign w:val="bottom"/>
          </w:tcPr>
          <w:p>
            <w:pPr>
              <w:spacing w:after="0"/>
              <w:rPr>
                <w:sz w:val="15"/>
                <w:szCs w:val="15"/>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149,000</w:t>
            </w: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100%</w:t>
            </w:r>
          </w:p>
        </w:tc>
        <w:tc>
          <w:tcPr>
            <w:tcW w:w="680" w:type="dxa"/>
            <w:vAlign w:val="bottom"/>
          </w:tcPr>
          <w:p>
            <w:pPr>
              <w:spacing w:after="0"/>
              <w:rPr>
                <w:sz w:val="15"/>
                <w:szCs w:val="15"/>
                <w:color w:val="auto"/>
              </w:rPr>
            </w:pPr>
          </w:p>
        </w:tc>
        <w:tc>
          <w:tcPr>
            <w:tcW w:w="580" w:type="dxa"/>
            <w:vAlign w:val="bottom"/>
          </w:tcPr>
          <w:p>
            <w:pPr>
              <w:jc w:val="center"/>
              <w:ind w:right="17"/>
              <w:spacing w:after="0"/>
              <w:rPr>
                <w:sz w:val="20"/>
                <w:szCs w:val="20"/>
                <w:color w:val="auto"/>
              </w:rPr>
            </w:pPr>
            <w:r>
              <w:rPr>
                <w:rFonts w:ascii="Arial" w:cs="Arial" w:eastAsia="Arial" w:hAnsi="Arial"/>
                <w:sz w:val="13"/>
                <w:szCs w:val="13"/>
                <w:color w:val="auto"/>
                <w:w w:val="85"/>
              </w:rPr>
              <w:t>50,000</w:t>
            </w:r>
          </w:p>
        </w:tc>
        <w:tc>
          <w:tcPr>
            <w:tcW w:w="900" w:type="dxa"/>
            <w:vAlign w:val="bottom"/>
          </w:tcPr>
          <w:p>
            <w:pPr>
              <w:ind w:left="80"/>
              <w:spacing w:after="0"/>
              <w:rPr>
                <w:sz w:val="20"/>
                <w:szCs w:val="20"/>
                <w:color w:val="auto"/>
              </w:rPr>
            </w:pPr>
            <w:r>
              <w:rPr>
                <w:rFonts w:ascii="Arial" w:cs="Arial" w:eastAsia="Arial" w:hAnsi="Arial"/>
                <w:sz w:val="13"/>
                <w:szCs w:val="13"/>
                <w:color w:val="auto"/>
              </w:rPr>
              <w:t>Big Y Foods</w:t>
            </w:r>
          </w:p>
        </w:tc>
        <w:tc>
          <w:tcPr>
            <w:tcW w:w="2300" w:type="dxa"/>
            <w:vAlign w:val="bottom"/>
          </w:tcPr>
          <w:p>
            <w:pPr>
              <w:ind w:left="80"/>
              <w:spacing w:after="0"/>
              <w:rPr>
                <w:sz w:val="20"/>
                <w:szCs w:val="20"/>
                <w:color w:val="auto"/>
              </w:rPr>
            </w:pPr>
            <w:r>
              <w:rPr>
                <w:rFonts w:ascii="Arial" w:cs="Arial" w:eastAsia="Arial" w:hAnsi="Arial"/>
                <w:sz w:val="13"/>
                <w:szCs w:val="13"/>
                <w:color w:val="auto"/>
              </w:rPr>
              <w:t>TJ Maxx / HomeGoods</w:t>
            </w:r>
          </w:p>
        </w:tc>
      </w:tr>
      <w:tr>
        <w:trPr>
          <w:trHeight w:val="97"/>
        </w:trPr>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300" w:type="dxa"/>
            <w:vAlign w:val="bottom"/>
          </w:tcPr>
          <w:p>
            <w:pPr>
              <w:spacing w:after="0"/>
              <w:rPr>
                <w:sz w:val="8"/>
                <w:szCs w:val="8"/>
                <w:color w:val="auto"/>
              </w:rPr>
            </w:pPr>
          </w:p>
        </w:tc>
      </w:tr>
      <w:tr>
        <w:trPr>
          <w:trHeight w:val="148"/>
        </w:trPr>
        <w:tc>
          <w:tcPr>
            <w:tcW w:w="1180" w:type="dxa"/>
            <w:vAlign w:val="bottom"/>
            <w:gridSpan w:val="5"/>
            <w:shd w:val="clear" w:color="auto" w:fill="CCEEFF"/>
          </w:tcPr>
          <w:p>
            <w:pPr>
              <w:ind w:left="20"/>
              <w:spacing w:after="0" w:line="148" w:lineRule="exact"/>
              <w:rPr>
                <w:sz w:val="20"/>
                <w:szCs w:val="20"/>
                <w:color w:val="auto"/>
              </w:rPr>
            </w:pPr>
            <w:r>
              <w:rPr>
                <w:rFonts w:ascii="Arial" w:cs="Arial" w:eastAsia="Arial" w:hAnsi="Arial"/>
                <w:sz w:val="13"/>
                <w:szCs w:val="13"/>
                <w:color w:val="auto"/>
              </w:rPr>
              <w:t>Saugus Plaza</w:t>
            </w:r>
          </w:p>
        </w:tc>
        <w:tc>
          <w:tcPr>
            <w:tcW w:w="500" w:type="dxa"/>
            <w:vAlign w:val="bottom"/>
            <w:shd w:val="clear" w:color="auto" w:fill="CCEEFF"/>
          </w:tcPr>
          <w:p>
            <w:pPr>
              <w:spacing w:after="0"/>
              <w:rPr>
                <w:sz w:val="12"/>
                <w:szCs w:val="12"/>
                <w:color w:val="auto"/>
              </w:rPr>
            </w:pPr>
          </w:p>
        </w:tc>
        <w:tc>
          <w:tcPr>
            <w:tcW w:w="194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w w:val="92"/>
              </w:rPr>
              <w:t>Boston-Cambridge-Quincy, MA-NH</w:t>
            </w:r>
          </w:p>
        </w:tc>
        <w:tc>
          <w:tcPr>
            <w:tcW w:w="70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15,260</w:t>
            </w:r>
          </w:p>
        </w:tc>
        <w:tc>
          <w:tcPr>
            <w:tcW w:w="66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15</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168,000</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100%</w:t>
            </w: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jc w:val="center"/>
              <w:ind w:right="17"/>
              <w:spacing w:after="0" w:line="148" w:lineRule="exact"/>
              <w:rPr>
                <w:sz w:val="20"/>
                <w:szCs w:val="20"/>
                <w:color w:val="auto"/>
              </w:rPr>
            </w:pPr>
            <w:r>
              <w:rPr>
                <w:rFonts w:ascii="Arial" w:cs="Arial" w:eastAsia="Arial" w:hAnsi="Arial"/>
                <w:sz w:val="13"/>
                <w:szCs w:val="13"/>
                <w:color w:val="auto"/>
                <w:w w:val="85"/>
              </w:rPr>
              <w:t>55,000</w:t>
            </w:r>
          </w:p>
        </w:tc>
        <w:tc>
          <w:tcPr>
            <w:tcW w:w="90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Super Stop &amp;</w:t>
            </w:r>
          </w:p>
        </w:tc>
        <w:tc>
          <w:tcPr>
            <w:tcW w:w="230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Kmart</w:t>
            </w:r>
          </w:p>
        </w:tc>
      </w:tr>
      <w:tr>
        <w:trPr>
          <w:trHeight w:val="176"/>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Shop</w:t>
            </w:r>
          </w:p>
        </w:tc>
        <w:tc>
          <w:tcPr>
            <w:tcW w:w="2300" w:type="dxa"/>
            <w:vAlign w:val="bottom"/>
            <w:shd w:val="clear" w:color="auto" w:fill="CCEEFF"/>
          </w:tcPr>
          <w:p>
            <w:pPr>
              <w:spacing w:after="0"/>
              <w:rPr>
                <w:sz w:val="15"/>
                <w:szCs w:val="15"/>
                <w:color w:val="auto"/>
              </w:rPr>
            </w:pPr>
          </w:p>
        </w:tc>
      </w:tr>
      <w:tr>
        <w:trPr>
          <w:trHeight w:val="167"/>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940" w:type="dxa"/>
            <w:vAlign w:val="bottom"/>
            <w:gridSpan w:val="2"/>
          </w:tcPr>
          <w:p>
            <w:pPr>
              <w:ind w:left="40"/>
              <w:spacing w:after="0"/>
              <w:rPr>
                <w:sz w:val="20"/>
                <w:szCs w:val="20"/>
                <w:color w:val="auto"/>
              </w:rPr>
            </w:pPr>
            <w:r>
              <w:rPr>
                <w:rFonts w:ascii="Arial" w:cs="Arial" w:eastAsia="Arial" w:hAnsi="Arial"/>
                <w:sz w:val="13"/>
                <w:szCs w:val="13"/>
                <w:b w:val="1"/>
                <w:bCs w:val="1"/>
                <w:color w:val="auto"/>
              </w:rPr>
              <w:t>Total New England</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996,000</w:t>
            </w:r>
          </w:p>
        </w:tc>
        <w:tc>
          <w:tcPr>
            <w:tcW w:w="660" w:type="dxa"/>
            <w:vAlign w:val="bottom"/>
          </w:tcPr>
          <w:p>
            <w:pPr>
              <w:spacing w:after="0"/>
              <w:rPr>
                <w:sz w:val="14"/>
                <w:szCs w:val="14"/>
                <w:color w:val="auto"/>
              </w:rPr>
            </w:pP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228</w:t>
            </w:r>
          </w:p>
        </w:tc>
        <w:tc>
          <w:tcPr>
            <w:tcW w:w="120" w:type="dxa"/>
            <w:vAlign w:val="bottom"/>
          </w:tcPr>
          <w:p>
            <w:pPr>
              <w:spacing w:after="0"/>
              <w:rPr>
                <w:sz w:val="14"/>
                <w:szCs w:val="14"/>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w w:val="89"/>
              </w:rPr>
              <w:t>2,087,000</w:t>
            </w: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98%</w:t>
            </w: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84"/>
        </w:trPr>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900" w:type="dxa"/>
            <w:vAlign w:val="bottom"/>
          </w:tcPr>
          <w:p>
            <w:pPr>
              <w:spacing w:after="0"/>
              <w:rPr>
                <w:sz w:val="7"/>
                <w:szCs w:val="7"/>
                <w:color w:val="auto"/>
              </w:rPr>
            </w:pPr>
          </w:p>
        </w:tc>
        <w:tc>
          <w:tcPr>
            <w:tcW w:w="2300" w:type="dxa"/>
            <w:vAlign w:val="bottom"/>
          </w:tcPr>
          <w:p>
            <w:pPr>
              <w:spacing w:after="0"/>
              <w:rPr>
                <w:sz w:val="7"/>
                <w:szCs w:val="7"/>
                <w:color w:val="auto"/>
              </w:rPr>
            </w:pPr>
          </w:p>
        </w:tc>
      </w:tr>
      <w:tr>
        <w:trPr>
          <w:trHeight w:val="270"/>
        </w:trPr>
        <w:tc>
          <w:tcPr>
            <w:tcW w:w="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2300" w:type="dxa"/>
            <w:vAlign w:val="bottom"/>
            <w:shd w:val="clear" w:color="auto" w:fill="CCEEFF"/>
          </w:tcPr>
          <w:p>
            <w:pPr>
              <w:spacing w:after="0"/>
              <w:rPr>
                <w:sz w:val="23"/>
                <w:szCs w:val="23"/>
                <w:color w:val="auto"/>
              </w:rPr>
            </w:pPr>
          </w:p>
        </w:tc>
      </w:tr>
      <w:tr>
        <w:trPr>
          <w:trHeight w:val="149"/>
        </w:trPr>
        <w:tc>
          <w:tcPr>
            <w:tcW w:w="20" w:type="dxa"/>
            <w:vAlign w:val="bottom"/>
          </w:tcPr>
          <w:p>
            <w:pPr>
              <w:spacing w:after="0"/>
              <w:rPr>
                <w:sz w:val="12"/>
                <w:szCs w:val="12"/>
                <w:color w:val="auto"/>
              </w:rPr>
            </w:pPr>
          </w:p>
        </w:tc>
        <w:tc>
          <w:tcPr>
            <w:tcW w:w="1160" w:type="dxa"/>
            <w:vAlign w:val="bottom"/>
            <w:gridSpan w:val="4"/>
          </w:tcPr>
          <w:p>
            <w:pPr>
              <w:ind w:left="60"/>
              <w:spacing w:after="0"/>
              <w:rPr>
                <w:sz w:val="20"/>
                <w:szCs w:val="20"/>
                <w:color w:val="auto"/>
              </w:rPr>
            </w:pPr>
            <w:r>
              <w:rPr>
                <w:rFonts w:ascii="Arial" w:cs="Arial" w:eastAsia="Arial" w:hAnsi="Arial"/>
                <w:sz w:val="13"/>
                <w:szCs w:val="13"/>
                <w:b w:val="1"/>
                <w:bCs w:val="1"/>
                <w:color w:val="auto"/>
              </w:rPr>
              <w:t>South Florida</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300" w:type="dxa"/>
            <w:vAlign w:val="bottom"/>
          </w:tcPr>
          <w:p>
            <w:pPr>
              <w:spacing w:after="0"/>
              <w:rPr>
                <w:sz w:val="12"/>
                <w:szCs w:val="12"/>
                <w:color w:val="auto"/>
              </w:rPr>
            </w:pPr>
          </w:p>
        </w:tc>
      </w:tr>
      <w:tr>
        <w:trPr>
          <w:trHeight w:val="102"/>
        </w:trPr>
        <w:tc>
          <w:tcPr>
            <w:tcW w:w="2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300" w:type="dxa"/>
            <w:vAlign w:val="bottom"/>
          </w:tcPr>
          <w:p>
            <w:pPr>
              <w:spacing w:after="0"/>
              <w:rPr>
                <w:sz w:val="8"/>
                <w:szCs w:val="8"/>
                <w:color w:val="auto"/>
              </w:rPr>
            </w:pPr>
          </w:p>
        </w:tc>
      </w:tr>
      <w:tr>
        <w:trPr>
          <w:trHeight w:val="148"/>
        </w:trPr>
        <w:tc>
          <w:tcPr>
            <w:tcW w:w="1180" w:type="dxa"/>
            <w:vAlign w:val="bottom"/>
            <w:gridSpan w:val="5"/>
            <w:shd w:val="clear" w:color="auto" w:fill="CCEEFF"/>
          </w:tcPr>
          <w:p>
            <w:pPr>
              <w:ind w:left="20"/>
              <w:spacing w:after="0" w:line="148" w:lineRule="exact"/>
              <w:rPr>
                <w:sz w:val="20"/>
                <w:szCs w:val="20"/>
                <w:color w:val="auto"/>
              </w:rPr>
            </w:pPr>
            <w:r>
              <w:rPr>
                <w:rFonts w:ascii="Arial" w:cs="Arial" w:eastAsia="Arial" w:hAnsi="Arial"/>
                <w:sz w:val="13"/>
                <w:szCs w:val="13"/>
                <w:color w:val="auto"/>
              </w:rPr>
              <w:t>Cocowalk</w:t>
            </w:r>
          </w:p>
        </w:tc>
        <w:tc>
          <w:tcPr>
            <w:tcW w:w="50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90"/>
              </w:rPr>
              <w:t>(3) (7)</w:t>
            </w:r>
          </w:p>
        </w:tc>
        <w:tc>
          <w:tcPr>
            <w:tcW w:w="194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rPr>
              <w:t>Miami-Ft Lauderdale</w:t>
            </w:r>
          </w:p>
        </w:tc>
        <w:tc>
          <w:tcPr>
            <w:tcW w:w="70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113,636</w:t>
            </w:r>
          </w:p>
        </w:tc>
        <w:tc>
          <w:tcPr>
            <w:tcW w:w="66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200,000</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74%</w:t>
            </w: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30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w w:val="96"/>
              </w:rPr>
              <w:t>Gap / Cinepolis Theaters / Youfit Health</w:t>
            </w:r>
          </w:p>
        </w:tc>
      </w:tr>
      <w:tr>
        <w:trPr>
          <w:trHeight w:val="176"/>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300" w:type="dxa"/>
            <w:vAlign w:val="bottom"/>
            <w:shd w:val="clear" w:color="auto" w:fill="CCEEFF"/>
          </w:tcPr>
          <w:p>
            <w:pPr>
              <w:ind w:left="80"/>
              <w:spacing w:after="0"/>
              <w:rPr>
                <w:sz w:val="20"/>
                <w:szCs w:val="20"/>
                <w:color w:val="auto"/>
              </w:rPr>
            </w:pPr>
            <w:r>
              <w:rPr>
                <w:rFonts w:ascii="Arial" w:cs="Arial" w:eastAsia="Arial" w:hAnsi="Arial"/>
                <w:sz w:val="13"/>
                <w:szCs w:val="13"/>
                <w:color w:val="auto"/>
              </w:rPr>
              <w:t>Club</w:t>
            </w:r>
          </w:p>
        </w:tc>
      </w:tr>
      <w:tr>
        <w:trPr>
          <w:trHeight w:val="173"/>
        </w:trPr>
        <w:tc>
          <w:tcPr>
            <w:tcW w:w="1180" w:type="dxa"/>
            <w:vAlign w:val="bottom"/>
            <w:gridSpan w:val="5"/>
          </w:tcPr>
          <w:p>
            <w:pPr>
              <w:ind w:left="20"/>
              <w:spacing w:after="0"/>
              <w:rPr>
                <w:sz w:val="20"/>
                <w:szCs w:val="20"/>
                <w:color w:val="auto"/>
              </w:rPr>
            </w:pPr>
            <w:r>
              <w:rPr>
                <w:rFonts w:ascii="Arial" w:cs="Arial" w:eastAsia="Arial" w:hAnsi="Arial"/>
                <w:sz w:val="13"/>
                <w:szCs w:val="13"/>
                <w:color w:val="auto"/>
              </w:rPr>
              <w:t>Del Mar Village</w:t>
            </w:r>
          </w:p>
        </w:tc>
        <w:tc>
          <w:tcPr>
            <w:tcW w:w="500" w:type="dxa"/>
            <w:vAlign w:val="bottom"/>
          </w:tcPr>
          <w:p>
            <w:pPr>
              <w:spacing w:after="0"/>
              <w:rPr>
                <w:sz w:val="15"/>
                <w:szCs w:val="15"/>
                <w:color w:val="auto"/>
              </w:rPr>
            </w:pPr>
          </w:p>
        </w:tc>
        <w:tc>
          <w:tcPr>
            <w:tcW w:w="1940" w:type="dxa"/>
            <w:vAlign w:val="bottom"/>
            <w:gridSpan w:val="2"/>
          </w:tcPr>
          <w:p>
            <w:pPr>
              <w:ind w:left="40"/>
              <w:spacing w:after="0"/>
              <w:rPr>
                <w:sz w:val="20"/>
                <w:szCs w:val="20"/>
                <w:color w:val="auto"/>
              </w:rPr>
            </w:pPr>
            <w:r>
              <w:rPr>
                <w:rFonts w:ascii="Arial" w:cs="Arial" w:eastAsia="Arial" w:hAnsi="Arial"/>
                <w:sz w:val="13"/>
                <w:szCs w:val="13"/>
                <w:color w:val="auto"/>
              </w:rPr>
              <w:t>Miami-Ft Lauderdale</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64,806</w:t>
            </w:r>
          </w:p>
        </w:tc>
        <w:tc>
          <w:tcPr>
            <w:tcW w:w="660" w:type="dxa"/>
            <w:vAlign w:val="bottom"/>
          </w:tcPr>
          <w:p>
            <w:pPr>
              <w:spacing w:after="0"/>
              <w:rPr>
                <w:sz w:val="15"/>
                <w:szCs w:val="15"/>
                <w:color w:val="auto"/>
              </w:rPr>
            </w:pP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17</w:t>
            </w:r>
          </w:p>
        </w:tc>
        <w:tc>
          <w:tcPr>
            <w:tcW w:w="120" w:type="dxa"/>
            <w:vAlign w:val="bottom"/>
          </w:tcPr>
          <w:p>
            <w:pPr>
              <w:spacing w:after="0"/>
              <w:rPr>
                <w:sz w:val="15"/>
                <w:szCs w:val="15"/>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196,000</w:t>
            </w: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91%</w:t>
            </w:r>
          </w:p>
        </w:tc>
        <w:tc>
          <w:tcPr>
            <w:tcW w:w="680" w:type="dxa"/>
            <w:vAlign w:val="bottom"/>
          </w:tcPr>
          <w:p>
            <w:pPr>
              <w:spacing w:after="0"/>
              <w:rPr>
                <w:sz w:val="15"/>
                <w:szCs w:val="15"/>
                <w:color w:val="auto"/>
              </w:rPr>
            </w:pPr>
          </w:p>
        </w:tc>
        <w:tc>
          <w:tcPr>
            <w:tcW w:w="580" w:type="dxa"/>
            <w:vAlign w:val="bottom"/>
          </w:tcPr>
          <w:p>
            <w:pPr>
              <w:jc w:val="center"/>
              <w:ind w:right="17"/>
              <w:spacing w:after="0"/>
              <w:rPr>
                <w:sz w:val="20"/>
                <w:szCs w:val="20"/>
                <w:color w:val="auto"/>
              </w:rPr>
            </w:pPr>
            <w:r>
              <w:rPr>
                <w:rFonts w:ascii="Arial" w:cs="Arial" w:eastAsia="Arial" w:hAnsi="Arial"/>
                <w:sz w:val="13"/>
                <w:szCs w:val="13"/>
                <w:color w:val="auto"/>
                <w:w w:val="85"/>
              </w:rPr>
              <w:t>44,000</w:t>
            </w:r>
          </w:p>
        </w:tc>
        <w:tc>
          <w:tcPr>
            <w:tcW w:w="900" w:type="dxa"/>
            <w:vAlign w:val="bottom"/>
          </w:tcPr>
          <w:p>
            <w:pPr>
              <w:ind w:left="80"/>
              <w:spacing w:after="0"/>
              <w:rPr>
                <w:sz w:val="20"/>
                <w:szCs w:val="20"/>
                <w:color w:val="auto"/>
              </w:rPr>
            </w:pPr>
            <w:r>
              <w:rPr>
                <w:rFonts w:ascii="Arial" w:cs="Arial" w:eastAsia="Arial" w:hAnsi="Arial"/>
                <w:sz w:val="13"/>
                <w:szCs w:val="13"/>
                <w:color w:val="auto"/>
              </w:rPr>
              <w:t>Winn Dixie</w:t>
            </w:r>
          </w:p>
        </w:tc>
        <w:tc>
          <w:tcPr>
            <w:tcW w:w="2300" w:type="dxa"/>
            <w:vAlign w:val="bottom"/>
          </w:tcPr>
          <w:p>
            <w:pPr>
              <w:ind w:left="80"/>
              <w:spacing w:after="0"/>
              <w:rPr>
                <w:sz w:val="20"/>
                <w:szCs w:val="20"/>
                <w:color w:val="auto"/>
              </w:rPr>
            </w:pPr>
            <w:r>
              <w:rPr>
                <w:rFonts w:ascii="Arial" w:cs="Arial" w:eastAsia="Arial" w:hAnsi="Arial"/>
                <w:sz w:val="13"/>
                <w:szCs w:val="13"/>
                <w:color w:val="auto"/>
              </w:rPr>
              <w:t>CVS</w:t>
            </w:r>
          </w:p>
        </w:tc>
      </w:tr>
      <w:tr>
        <w:trPr>
          <w:trHeight w:val="97"/>
        </w:trPr>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300" w:type="dxa"/>
            <w:vAlign w:val="bottom"/>
          </w:tcPr>
          <w:p>
            <w:pPr>
              <w:spacing w:after="0"/>
              <w:rPr>
                <w:sz w:val="8"/>
                <w:szCs w:val="8"/>
                <w:color w:val="auto"/>
              </w:rPr>
            </w:pPr>
          </w:p>
        </w:tc>
      </w:tr>
      <w:tr>
        <w:trPr>
          <w:trHeight w:val="148"/>
        </w:trPr>
        <w:tc>
          <w:tcPr>
            <w:tcW w:w="1180" w:type="dxa"/>
            <w:vAlign w:val="bottom"/>
            <w:gridSpan w:val="5"/>
            <w:shd w:val="clear" w:color="auto" w:fill="CCEEFF"/>
          </w:tcPr>
          <w:p>
            <w:pPr>
              <w:ind w:left="20"/>
              <w:spacing w:after="0" w:line="148" w:lineRule="exact"/>
              <w:rPr>
                <w:sz w:val="20"/>
                <w:szCs w:val="20"/>
                <w:color w:val="auto"/>
              </w:rPr>
            </w:pPr>
            <w:r>
              <w:rPr>
                <w:rFonts w:ascii="Arial" w:cs="Arial" w:eastAsia="Arial" w:hAnsi="Arial"/>
                <w:sz w:val="13"/>
                <w:szCs w:val="13"/>
                <w:color w:val="auto"/>
                <w:w w:val="93"/>
              </w:rPr>
              <w:t>The Shops at Sunset</w:t>
            </w:r>
          </w:p>
        </w:tc>
        <w:tc>
          <w:tcPr>
            <w:tcW w:w="50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rPr>
              <w:t>(3)</w:t>
            </w:r>
          </w:p>
        </w:tc>
        <w:tc>
          <w:tcPr>
            <w:tcW w:w="194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rPr>
              <w:t>Miami-Ft Lauderdale</w:t>
            </w:r>
          </w:p>
        </w:tc>
        <w:tc>
          <w:tcPr>
            <w:tcW w:w="70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122,361</w:t>
            </w:r>
          </w:p>
        </w:tc>
        <w:tc>
          <w:tcPr>
            <w:tcW w:w="660" w:type="dxa"/>
            <w:vAlign w:val="bottom"/>
            <w:shd w:val="clear" w:color="auto" w:fill="CCEEFF"/>
          </w:tcPr>
          <w:p>
            <w:pPr>
              <w:jc w:val="right"/>
              <w:ind w:right="59"/>
              <w:spacing w:after="0" w:line="148" w:lineRule="exact"/>
              <w:rPr>
                <w:sz w:val="20"/>
                <w:szCs w:val="20"/>
                <w:color w:val="auto"/>
              </w:rPr>
            </w:pPr>
            <w:r>
              <w:rPr>
                <w:rFonts w:ascii="Arial" w:cs="Arial" w:eastAsia="Arial" w:hAnsi="Arial"/>
                <w:sz w:val="13"/>
                <w:szCs w:val="13"/>
                <w:color w:val="auto"/>
              </w:rPr>
              <w:t>67,124</w:t>
            </w:r>
          </w:p>
        </w:tc>
        <w:tc>
          <w:tcPr>
            <w:tcW w:w="48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10</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523,000</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77%</w:t>
            </w: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30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AMC / L.A. Fitness / Barnes &amp; Noble /</w:t>
            </w:r>
          </w:p>
        </w:tc>
      </w:tr>
      <w:tr>
        <w:trPr>
          <w:trHeight w:val="176"/>
        </w:trPr>
        <w:tc>
          <w:tcPr>
            <w:tcW w:w="1180" w:type="dxa"/>
            <w:vAlign w:val="bottom"/>
            <w:gridSpan w:val="5"/>
            <w:shd w:val="clear" w:color="auto" w:fill="CCEEFF"/>
          </w:tcPr>
          <w:p>
            <w:pPr>
              <w:ind w:left="20"/>
              <w:spacing w:after="0"/>
              <w:rPr>
                <w:sz w:val="20"/>
                <w:szCs w:val="20"/>
                <w:color w:val="auto"/>
              </w:rPr>
            </w:pPr>
            <w:r>
              <w:rPr>
                <w:rFonts w:ascii="Arial" w:cs="Arial" w:eastAsia="Arial" w:hAnsi="Arial"/>
                <w:sz w:val="13"/>
                <w:szCs w:val="13"/>
                <w:color w:val="auto"/>
              </w:rPr>
              <w:t>Place</w:t>
            </w: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300" w:type="dxa"/>
            <w:vAlign w:val="bottom"/>
            <w:shd w:val="clear" w:color="auto" w:fill="CCEEFF"/>
          </w:tcPr>
          <w:p>
            <w:pPr>
              <w:ind w:left="80"/>
              <w:spacing w:after="0"/>
              <w:rPr>
                <w:sz w:val="20"/>
                <w:szCs w:val="20"/>
                <w:color w:val="auto"/>
              </w:rPr>
            </w:pPr>
            <w:r>
              <w:rPr>
                <w:rFonts w:ascii="Arial" w:cs="Arial" w:eastAsia="Arial" w:hAnsi="Arial"/>
                <w:sz w:val="13"/>
                <w:szCs w:val="13"/>
                <w:color w:val="auto"/>
              </w:rPr>
              <w:t>Restoration Hardware Outlet</w:t>
            </w:r>
          </w:p>
        </w:tc>
      </w:tr>
      <w:tr>
        <w:trPr>
          <w:trHeight w:val="148"/>
        </w:trPr>
        <w:tc>
          <w:tcPr>
            <w:tcW w:w="1180" w:type="dxa"/>
            <w:vAlign w:val="bottom"/>
            <w:gridSpan w:val="5"/>
          </w:tcPr>
          <w:p>
            <w:pPr>
              <w:ind w:left="20"/>
              <w:spacing w:after="0" w:line="148" w:lineRule="exact"/>
              <w:rPr>
                <w:sz w:val="20"/>
                <w:szCs w:val="20"/>
                <w:color w:val="auto"/>
              </w:rPr>
            </w:pPr>
            <w:r>
              <w:rPr>
                <w:rFonts w:ascii="Arial" w:cs="Arial" w:eastAsia="Arial" w:hAnsi="Arial"/>
                <w:sz w:val="13"/>
                <w:szCs w:val="13"/>
                <w:color w:val="auto"/>
              </w:rPr>
              <w:t>Tower Shops</w:t>
            </w:r>
          </w:p>
        </w:tc>
        <w:tc>
          <w:tcPr>
            <w:tcW w:w="500" w:type="dxa"/>
            <w:vAlign w:val="bottom"/>
          </w:tcPr>
          <w:p>
            <w:pPr>
              <w:spacing w:after="0"/>
              <w:rPr>
                <w:sz w:val="12"/>
                <w:szCs w:val="12"/>
                <w:color w:val="auto"/>
              </w:rPr>
            </w:pPr>
          </w:p>
        </w:tc>
        <w:tc>
          <w:tcPr>
            <w:tcW w:w="194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Miami-Ft Lauderdale</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97,413</w:t>
            </w:r>
          </w:p>
        </w:tc>
        <w:tc>
          <w:tcPr>
            <w:tcW w:w="660" w:type="dxa"/>
            <w:vAlign w:val="bottom"/>
          </w:tcPr>
          <w:p>
            <w:pPr>
              <w:spacing w:after="0"/>
              <w:rPr>
                <w:sz w:val="12"/>
                <w:szCs w:val="12"/>
                <w:color w:val="auto"/>
              </w:rPr>
            </w:pP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67</w:t>
            </w:r>
          </w:p>
        </w:tc>
        <w:tc>
          <w:tcPr>
            <w:tcW w:w="120" w:type="dxa"/>
            <w:vAlign w:val="bottom"/>
          </w:tcPr>
          <w:p>
            <w:pPr>
              <w:spacing w:after="0"/>
              <w:rPr>
                <w:sz w:val="12"/>
                <w:szCs w:val="12"/>
                <w:color w:val="auto"/>
              </w:rPr>
            </w:pP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426,000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98%</w:t>
            </w:r>
          </w:p>
        </w:tc>
        <w:tc>
          <w:tcPr>
            <w:tcW w:w="68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12,000</w:t>
            </w:r>
          </w:p>
        </w:tc>
        <w:tc>
          <w:tcPr>
            <w:tcW w:w="900" w:type="dxa"/>
            <w:vAlign w:val="bottom"/>
          </w:tcPr>
          <w:p>
            <w:pPr>
              <w:ind w:left="80"/>
              <w:spacing w:after="0" w:line="148" w:lineRule="exact"/>
              <w:rPr>
                <w:sz w:val="20"/>
                <w:szCs w:val="20"/>
                <w:color w:val="auto"/>
              </w:rPr>
            </w:pPr>
            <w:r>
              <w:rPr>
                <w:rFonts w:ascii="Arial" w:cs="Arial" w:eastAsia="Arial" w:hAnsi="Arial"/>
                <w:sz w:val="13"/>
                <w:szCs w:val="13"/>
                <w:color w:val="auto"/>
              </w:rPr>
              <w:t>Trader Joe's</w:t>
            </w:r>
          </w:p>
        </w:tc>
        <w:tc>
          <w:tcPr>
            <w:tcW w:w="2300" w:type="dxa"/>
            <w:vAlign w:val="bottom"/>
          </w:tcPr>
          <w:p>
            <w:pPr>
              <w:ind w:left="80"/>
              <w:spacing w:after="0" w:line="148" w:lineRule="exact"/>
              <w:rPr>
                <w:sz w:val="20"/>
                <w:szCs w:val="20"/>
                <w:color w:val="auto"/>
              </w:rPr>
            </w:pPr>
            <w:r>
              <w:rPr>
                <w:rFonts w:ascii="Arial" w:cs="Arial" w:eastAsia="Arial" w:hAnsi="Arial"/>
                <w:sz w:val="13"/>
                <w:szCs w:val="13"/>
                <w:color w:val="auto"/>
                <w:w w:val="90"/>
              </w:rPr>
              <w:t>TJ Maxx / Ross Dress For Less / Best Buy</w:t>
            </w:r>
          </w:p>
        </w:tc>
      </w:tr>
      <w:tr>
        <w:trPr>
          <w:trHeight w:val="170"/>
        </w:trPr>
        <w:tc>
          <w:tcPr>
            <w:tcW w:w="2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82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2300" w:type="dxa"/>
            <w:vAlign w:val="bottom"/>
            <w:tcBorders>
              <w:bottom w:val="single" w:sz="8" w:color="CCEEFF"/>
            </w:tcBorders>
          </w:tcPr>
          <w:p>
            <w:pPr>
              <w:ind w:left="80"/>
              <w:spacing w:after="0"/>
              <w:rPr>
                <w:sz w:val="20"/>
                <w:szCs w:val="20"/>
                <w:color w:val="auto"/>
              </w:rPr>
            </w:pPr>
            <w:r>
              <w:rPr>
                <w:rFonts w:ascii="Arial" w:cs="Arial" w:eastAsia="Arial" w:hAnsi="Arial"/>
                <w:sz w:val="13"/>
                <w:szCs w:val="13"/>
                <w:color w:val="auto"/>
              </w:rPr>
              <w:t>/ DSW</w:t>
            </w:r>
          </w:p>
        </w:tc>
      </w:tr>
      <w:tr>
        <w:trPr>
          <w:trHeight w:val="173"/>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94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rPr>
              <w:t>Total South Florida</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398,216</w:t>
            </w: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97</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9"/>
              </w:rPr>
              <w:t>1,345,000</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w:t>
            </w: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r>
      <w:tr>
        <w:trPr>
          <w:trHeight w:val="84"/>
        </w:trPr>
        <w:tc>
          <w:tcPr>
            <w:tcW w:w="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82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2300" w:type="dxa"/>
            <w:vAlign w:val="bottom"/>
            <w:shd w:val="clear" w:color="auto" w:fill="CCEEFF"/>
          </w:tcPr>
          <w:p>
            <w:pPr>
              <w:spacing w:after="0"/>
              <w:rPr>
                <w:sz w:val="7"/>
                <w:szCs w:val="7"/>
                <w:color w:val="auto"/>
              </w:rPr>
            </w:pPr>
          </w:p>
        </w:tc>
      </w:tr>
      <w:tr>
        <w:trPr>
          <w:trHeight w:val="270"/>
        </w:trPr>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300" w:type="dxa"/>
            <w:vAlign w:val="bottom"/>
          </w:tcPr>
          <w:p>
            <w:pPr>
              <w:spacing w:after="0"/>
              <w:rPr>
                <w:sz w:val="23"/>
                <w:szCs w:val="23"/>
                <w:color w:val="auto"/>
              </w:rPr>
            </w:pPr>
          </w:p>
        </w:tc>
      </w:tr>
      <w:tr>
        <w:trPr>
          <w:trHeight w:val="149"/>
        </w:trPr>
        <w:tc>
          <w:tcPr>
            <w:tcW w:w="20" w:type="dxa"/>
            <w:vAlign w:val="bottom"/>
            <w:shd w:val="clear" w:color="auto" w:fill="CCEEFF"/>
          </w:tcPr>
          <w:p>
            <w:pPr>
              <w:spacing w:after="0"/>
              <w:rPr>
                <w:sz w:val="12"/>
                <w:szCs w:val="12"/>
                <w:color w:val="auto"/>
              </w:rPr>
            </w:pPr>
          </w:p>
        </w:tc>
        <w:tc>
          <w:tcPr>
            <w:tcW w:w="1160" w:type="dxa"/>
            <w:vAlign w:val="bottom"/>
            <w:gridSpan w:val="4"/>
            <w:shd w:val="clear" w:color="auto" w:fill="CCEEFF"/>
          </w:tcPr>
          <w:p>
            <w:pPr>
              <w:ind w:left="60"/>
              <w:spacing w:after="0"/>
              <w:rPr>
                <w:sz w:val="20"/>
                <w:szCs w:val="20"/>
                <w:color w:val="auto"/>
              </w:rPr>
            </w:pPr>
            <w:r>
              <w:rPr>
                <w:rFonts w:ascii="Arial" w:cs="Arial" w:eastAsia="Arial" w:hAnsi="Arial"/>
                <w:sz w:val="13"/>
                <w:szCs w:val="13"/>
                <w:b w:val="1"/>
                <w:bCs w:val="1"/>
                <w:color w:val="auto"/>
              </w:rPr>
              <w:t>Baltimore</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r>
      <w:tr>
        <w:trPr>
          <w:trHeight w:val="102"/>
        </w:trPr>
        <w:tc>
          <w:tcPr>
            <w:tcW w:w="2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36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82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CCEEFF"/>
            </w:tcBorders>
            <w:shd w:val="clear" w:color="auto" w:fill="CCEEFF"/>
          </w:tcPr>
          <w:p>
            <w:pPr>
              <w:spacing w:after="0"/>
              <w:rPr>
                <w:sz w:val="8"/>
                <w:szCs w:val="8"/>
                <w:color w:val="auto"/>
              </w:rPr>
            </w:pPr>
          </w:p>
        </w:tc>
        <w:tc>
          <w:tcPr>
            <w:tcW w:w="900" w:type="dxa"/>
            <w:vAlign w:val="bottom"/>
            <w:tcBorders>
              <w:top w:val="single" w:sz="8" w:color="CCEEFF"/>
            </w:tcBorders>
            <w:shd w:val="clear" w:color="auto" w:fill="CCEEFF"/>
          </w:tcPr>
          <w:p>
            <w:pPr>
              <w:spacing w:after="0"/>
              <w:rPr>
                <w:sz w:val="8"/>
                <w:szCs w:val="8"/>
                <w:color w:val="auto"/>
              </w:rPr>
            </w:pPr>
          </w:p>
        </w:tc>
        <w:tc>
          <w:tcPr>
            <w:tcW w:w="2300" w:type="dxa"/>
            <w:vAlign w:val="bottom"/>
            <w:tcBorders>
              <w:top w:val="single" w:sz="8" w:color="CCEEFF"/>
            </w:tcBorders>
            <w:shd w:val="clear" w:color="auto" w:fill="CCEEFF"/>
          </w:tcPr>
          <w:p>
            <w:pPr>
              <w:spacing w:after="0"/>
              <w:rPr>
                <w:sz w:val="8"/>
                <w:szCs w:val="8"/>
                <w:color w:val="auto"/>
              </w:rPr>
            </w:pPr>
          </w:p>
        </w:tc>
      </w:tr>
      <w:tr>
        <w:trPr>
          <w:trHeight w:val="173"/>
        </w:trPr>
        <w:tc>
          <w:tcPr>
            <w:tcW w:w="1180" w:type="dxa"/>
            <w:vAlign w:val="bottom"/>
            <w:gridSpan w:val="5"/>
          </w:tcPr>
          <w:p>
            <w:pPr>
              <w:ind w:left="20"/>
              <w:spacing w:after="0"/>
              <w:rPr>
                <w:sz w:val="20"/>
                <w:szCs w:val="20"/>
                <w:color w:val="auto"/>
              </w:rPr>
            </w:pPr>
            <w:r>
              <w:rPr>
                <w:rFonts w:ascii="Arial" w:cs="Arial" w:eastAsia="Arial" w:hAnsi="Arial"/>
                <w:sz w:val="13"/>
                <w:szCs w:val="13"/>
                <w:color w:val="auto"/>
              </w:rPr>
              <w:t>Governor Plaza</w:t>
            </w:r>
          </w:p>
        </w:tc>
        <w:tc>
          <w:tcPr>
            <w:tcW w:w="500" w:type="dxa"/>
            <w:vAlign w:val="bottom"/>
          </w:tcPr>
          <w:p>
            <w:pPr>
              <w:spacing w:after="0"/>
              <w:rPr>
                <w:sz w:val="15"/>
                <w:szCs w:val="15"/>
                <w:color w:val="auto"/>
              </w:rPr>
            </w:pPr>
          </w:p>
        </w:tc>
        <w:tc>
          <w:tcPr>
            <w:tcW w:w="1940" w:type="dxa"/>
            <w:vAlign w:val="bottom"/>
            <w:gridSpan w:val="2"/>
          </w:tcPr>
          <w:p>
            <w:pPr>
              <w:ind w:left="40"/>
              <w:spacing w:after="0"/>
              <w:rPr>
                <w:sz w:val="20"/>
                <w:szCs w:val="20"/>
                <w:color w:val="auto"/>
              </w:rPr>
            </w:pPr>
            <w:r>
              <w:rPr>
                <w:rFonts w:ascii="Arial" w:cs="Arial" w:eastAsia="Arial" w:hAnsi="Arial"/>
                <w:sz w:val="13"/>
                <w:szCs w:val="13"/>
                <w:color w:val="auto"/>
              </w:rPr>
              <w:t>Baltimore, MD</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27,289</w:t>
            </w:r>
          </w:p>
        </w:tc>
        <w:tc>
          <w:tcPr>
            <w:tcW w:w="660" w:type="dxa"/>
            <w:vAlign w:val="bottom"/>
          </w:tcPr>
          <w:p>
            <w:pPr>
              <w:spacing w:after="0"/>
              <w:rPr>
                <w:sz w:val="15"/>
                <w:szCs w:val="15"/>
                <w:color w:val="auto"/>
              </w:rPr>
            </w:pP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24</w:t>
            </w:r>
          </w:p>
        </w:tc>
        <w:tc>
          <w:tcPr>
            <w:tcW w:w="120" w:type="dxa"/>
            <w:vAlign w:val="bottom"/>
          </w:tcPr>
          <w:p>
            <w:pPr>
              <w:spacing w:after="0"/>
              <w:rPr>
                <w:sz w:val="15"/>
                <w:szCs w:val="15"/>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243,000</w:t>
            </w: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98%</w:t>
            </w:r>
          </w:p>
        </w:tc>
        <w:tc>
          <w:tcPr>
            <w:tcW w:w="680" w:type="dxa"/>
            <w:vAlign w:val="bottom"/>
          </w:tcPr>
          <w:p>
            <w:pPr>
              <w:spacing w:after="0"/>
              <w:rPr>
                <w:sz w:val="15"/>
                <w:szCs w:val="15"/>
                <w:color w:val="auto"/>
              </w:rPr>
            </w:pPr>
          </w:p>
        </w:tc>
        <w:tc>
          <w:tcPr>
            <w:tcW w:w="580" w:type="dxa"/>
            <w:vAlign w:val="bottom"/>
          </w:tcPr>
          <w:p>
            <w:pPr>
              <w:jc w:val="center"/>
              <w:ind w:right="17"/>
              <w:spacing w:after="0"/>
              <w:rPr>
                <w:sz w:val="20"/>
                <w:szCs w:val="20"/>
                <w:color w:val="auto"/>
              </w:rPr>
            </w:pPr>
            <w:r>
              <w:rPr>
                <w:rFonts w:ascii="Arial" w:cs="Arial" w:eastAsia="Arial" w:hAnsi="Arial"/>
                <w:sz w:val="13"/>
                <w:szCs w:val="13"/>
                <w:color w:val="auto"/>
                <w:w w:val="85"/>
              </w:rPr>
              <w:t>16,500</w:t>
            </w:r>
          </w:p>
        </w:tc>
        <w:tc>
          <w:tcPr>
            <w:tcW w:w="900" w:type="dxa"/>
            <w:vAlign w:val="bottom"/>
          </w:tcPr>
          <w:p>
            <w:pPr>
              <w:ind w:left="80"/>
              <w:spacing w:after="0"/>
              <w:rPr>
                <w:sz w:val="20"/>
                <w:szCs w:val="20"/>
                <w:color w:val="auto"/>
              </w:rPr>
            </w:pPr>
            <w:r>
              <w:rPr>
                <w:rFonts w:ascii="Arial" w:cs="Arial" w:eastAsia="Arial" w:hAnsi="Arial"/>
                <w:sz w:val="13"/>
                <w:szCs w:val="13"/>
                <w:color w:val="auto"/>
              </w:rPr>
              <w:t>Aldi</w:t>
            </w:r>
          </w:p>
        </w:tc>
        <w:tc>
          <w:tcPr>
            <w:tcW w:w="2300" w:type="dxa"/>
            <w:vAlign w:val="bottom"/>
          </w:tcPr>
          <w:p>
            <w:pPr>
              <w:ind w:left="80"/>
              <w:spacing w:after="0"/>
              <w:rPr>
                <w:sz w:val="20"/>
                <w:szCs w:val="20"/>
                <w:color w:val="auto"/>
              </w:rPr>
            </w:pPr>
            <w:r>
              <w:rPr>
                <w:rFonts w:ascii="Arial" w:cs="Arial" w:eastAsia="Arial" w:hAnsi="Arial"/>
                <w:sz w:val="13"/>
                <w:szCs w:val="13"/>
                <w:color w:val="auto"/>
              </w:rPr>
              <w:t>Dick's Sporting Goods / A.C. Moore</w:t>
            </w:r>
          </w:p>
        </w:tc>
      </w:tr>
      <w:tr>
        <w:trPr>
          <w:trHeight w:val="97"/>
        </w:trPr>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300" w:type="dxa"/>
            <w:vAlign w:val="bottom"/>
          </w:tcPr>
          <w:p>
            <w:pPr>
              <w:spacing w:after="0"/>
              <w:rPr>
                <w:sz w:val="8"/>
                <w:szCs w:val="8"/>
                <w:color w:val="auto"/>
              </w:rPr>
            </w:pPr>
          </w:p>
        </w:tc>
      </w:tr>
      <w:tr>
        <w:trPr>
          <w:trHeight w:val="148"/>
        </w:trPr>
        <w:tc>
          <w:tcPr>
            <w:tcW w:w="1180" w:type="dxa"/>
            <w:vAlign w:val="bottom"/>
            <w:gridSpan w:val="5"/>
            <w:shd w:val="clear" w:color="auto" w:fill="CCEEFF"/>
          </w:tcPr>
          <w:p>
            <w:pPr>
              <w:ind w:left="20"/>
              <w:spacing w:after="0" w:line="148" w:lineRule="exact"/>
              <w:rPr>
                <w:sz w:val="20"/>
                <w:szCs w:val="20"/>
                <w:color w:val="auto"/>
              </w:rPr>
            </w:pPr>
            <w:r>
              <w:rPr>
                <w:rFonts w:ascii="Arial" w:cs="Arial" w:eastAsia="Arial" w:hAnsi="Arial"/>
                <w:sz w:val="13"/>
                <w:szCs w:val="13"/>
                <w:color w:val="auto"/>
              </w:rPr>
              <w:t>Perring Plaza</w:t>
            </w:r>
          </w:p>
        </w:tc>
        <w:tc>
          <w:tcPr>
            <w:tcW w:w="500" w:type="dxa"/>
            <w:vAlign w:val="bottom"/>
            <w:shd w:val="clear" w:color="auto" w:fill="CCEEFF"/>
          </w:tcPr>
          <w:p>
            <w:pPr>
              <w:spacing w:after="0"/>
              <w:rPr>
                <w:sz w:val="12"/>
                <w:szCs w:val="12"/>
                <w:color w:val="auto"/>
              </w:rPr>
            </w:pPr>
          </w:p>
        </w:tc>
        <w:tc>
          <w:tcPr>
            <w:tcW w:w="194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rPr>
              <w:t>Baltimore, MD</w:t>
            </w:r>
          </w:p>
        </w:tc>
        <w:tc>
          <w:tcPr>
            <w:tcW w:w="70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31,022</w:t>
            </w:r>
          </w:p>
        </w:tc>
        <w:tc>
          <w:tcPr>
            <w:tcW w:w="66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29</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396,000</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100%</w:t>
            </w: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jc w:val="center"/>
              <w:ind w:right="17"/>
              <w:spacing w:after="0" w:line="148" w:lineRule="exact"/>
              <w:rPr>
                <w:sz w:val="20"/>
                <w:szCs w:val="20"/>
                <w:color w:val="auto"/>
              </w:rPr>
            </w:pPr>
            <w:r>
              <w:rPr>
                <w:rFonts w:ascii="Arial" w:cs="Arial" w:eastAsia="Arial" w:hAnsi="Arial"/>
                <w:sz w:val="13"/>
                <w:szCs w:val="13"/>
                <w:color w:val="auto"/>
                <w:w w:val="85"/>
              </w:rPr>
              <w:t>58,000</w:t>
            </w:r>
          </w:p>
        </w:tc>
        <w:tc>
          <w:tcPr>
            <w:tcW w:w="90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w w:val="89"/>
              </w:rPr>
              <w:t>Shoppers Food</w:t>
            </w:r>
          </w:p>
        </w:tc>
        <w:tc>
          <w:tcPr>
            <w:tcW w:w="230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w w:val="96"/>
              </w:rPr>
              <w:t>Home Depot / Micro Center / Burlington</w:t>
            </w:r>
          </w:p>
        </w:tc>
      </w:tr>
      <w:tr>
        <w:trPr>
          <w:trHeight w:val="176"/>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Warehouse</w:t>
            </w:r>
          </w:p>
        </w:tc>
        <w:tc>
          <w:tcPr>
            <w:tcW w:w="2300" w:type="dxa"/>
            <w:vAlign w:val="bottom"/>
            <w:shd w:val="clear" w:color="auto" w:fill="CCEEFF"/>
          </w:tcPr>
          <w:p>
            <w:pPr>
              <w:spacing w:after="0"/>
              <w:rPr>
                <w:sz w:val="15"/>
                <w:szCs w:val="15"/>
                <w:color w:val="auto"/>
              </w:rPr>
            </w:pPr>
          </w:p>
        </w:tc>
      </w:tr>
      <w:tr>
        <w:trPr>
          <w:trHeight w:val="148"/>
        </w:trPr>
        <w:tc>
          <w:tcPr>
            <w:tcW w:w="1180" w:type="dxa"/>
            <w:vAlign w:val="bottom"/>
            <w:gridSpan w:val="5"/>
          </w:tcPr>
          <w:p>
            <w:pPr>
              <w:ind w:left="20"/>
              <w:spacing w:after="0" w:line="148" w:lineRule="exact"/>
              <w:rPr>
                <w:sz w:val="20"/>
                <w:szCs w:val="20"/>
                <w:color w:val="auto"/>
              </w:rPr>
            </w:pPr>
            <w:r>
              <w:rPr>
                <w:rFonts w:ascii="Arial" w:cs="Arial" w:eastAsia="Arial" w:hAnsi="Arial"/>
                <w:sz w:val="13"/>
                <w:szCs w:val="13"/>
                <w:color w:val="auto"/>
              </w:rPr>
              <w:t>THE AVENUE at</w:t>
            </w:r>
          </w:p>
        </w:tc>
        <w:tc>
          <w:tcPr>
            <w:tcW w:w="500" w:type="dxa"/>
            <w:vAlign w:val="bottom"/>
          </w:tcPr>
          <w:p>
            <w:pPr>
              <w:jc w:val="center"/>
              <w:spacing w:after="0" w:line="148" w:lineRule="exact"/>
              <w:rPr>
                <w:sz w:val="20"/>
                <w:szCs w:val="20"/>
                <w:color w:val="auto"/>
              </w:rPr>
            </w:pPr>
            <w:r>
              <w:rPr>
                <w:rFonts w:ascii="Arial" w:cs="Arial" w:eastAsia="Arial" w:hAnsi="Arial"/>
                <w:sz w:val="13"/>
                <w:szCs w:val="13"/>
                <w:color w:val="auto"/>
              </w:rPr>
              <w:t>(5)</w:t>
            </w:r>
          </w:p>
        </w:tc>
        <w:tc>
          <w:tcPr>
            <w:tcW w:w="194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Baltimore, MD</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112,684</w:t>
            </w:r>
          </w:p>
        </w:tc>
        <w:tc>
          <w:tcPr>
            <w:tcW w:w="660" w:type="dxa"/>
            <w:vAlign w:val="bottom"/>
          </w:tcPr>
          <w:p>
            <w:pPr>
              <w:jc w:val="right"/>
              <w:ind w:right="59"/>
              <w:spacing w:after="0" w:line="148" w:lineRule="exact"/>
              <w:rPr>
                <w:sz w:val="20"/>
                <w:szCs w:val="20"/>
                <w:color w:val="auto"/>
              </w:rPr>
            </w:pPr>
            <w:r>
              <w:rPr>
                <w:rFonts w:ascii="Arial" w:cs="Arial" w:eastAsia="Arial" w:hAnsi="Arial"/>
                <w:sz w:val="13"/>
                <w:szCs w:val="13"/>
                <w:color w:val="auto"/>
              </w:rPr>
              <w:t>52,705</w:t>
            </w: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35</w:t>
            </w:r>
          </w:p>
        </w:tc>
        <w:tc>
          <w:tcPr>
            <w:tcW w:w="120" w:type="dxa"/>
            <w:vAlign w:val="bottom"/>
          </w:tcPr>
          <w:p>
            <w:pPr>
              <w:spacing w:after="0"/>
              <w:rPr>
                <w:sz w:val="12"/>
                <w:szCs w:val="12"/>
                <w:color w:val="auto"/>
              </w:rPr>
            </w:pP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315,000</w:t>
            </w:r>
          </w:p>
        </w:tc>
        <w:tc>
          <w:tcPr>
            <w:tcW w:w="1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300" w:type="dxa"/>
            <w:vAlign w:val="bottom"/>
          </w:tcPr>
          <w:p>
            <w:pPr>
              <w:ind w:left="80"/>
              <w:spacing w:after="0" w:line="148" w:lineRule="exact"/>
              <w:rPr>
                <w:sz w:val="20"/>
                <w:szCs w:val="20"/>
                <w:color w:val="auto"/>
              </w:rPr>
            </w:pPr>
            <w:r>
              <w:rPr>
                <w:rFonts w:ascii="Arial" w:cs="Arial" w:eastAsia="Arial" w:hAnsi="Arial"/>
                <w:sz w:val="13"/>
                <w:szCs w:val="13"/>
                <w:color w:val="auto"/>
                <w:w w:val="96"/>
              </w:rPr>
              <w:t>AMC / Ulta / Old Navy / Barnes &amp; Noble</w:t>
            </w:r>
          </w:p>
        </w:tc>
      </w:tr>
      <w:tr>
        <w:trPr>
          <w:trHeight w:val="168"/>
        </w:trPr>
        <w:tc>
          <w:tcPr>
            <w:tcW w:w="1180" w:type="dxa"/>
            <w:vAlign w:val="bottom"/>
            <w:gridSpan w:val="5"/>
          </w:tcPr>
          <w:p>
            <w:pPr>
              <w:ind w:left="20"/>
              <w:spacing w:after="0"/>
              <w:rPr>
                <w:sz w:val="20"/>
                <w:szCs w:val="20"/>
                <w:color w:val="auto"/>
              </w:rPr>
            </w:pPr>
            <w:r>
              <w:rPr>
                <w:rFonts w:ascii="Arial" w:cs="Arial" w:eastAsia="Arial" w:hAnsi="Arial"/>
                <w:sz w:val="13"/>
                <w:szCs w:val="13"/>
                <w:color w:val="auto"/>
              </w:rPr>
              <w:t>White Marsh</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156"/>
        </w:trPr>
        <w:tc>
          <w:tcPr>
            <w:tcW w:w="1180" w:type="dxa"/>
            <w:vAlign w:val="bottom"/>
            <w:gridSpan w:val="5"/>
            <w:shd w:val="clear" w:color="auto" w:fill="CCEEFF"/>
          </w:tcPr>
          <w:p>
            <w:pPr>
              <w:ind w:left="20"/>
              <w:spacing w:after="0"/>
              <w:rPr>
                <w:sz w:val="20"/>
                <w:szCs w:val="20"/>
                <w:color w:val="auto"/>
              </w:rPr>
            </w:pPr>
            <w:r>
              <w:rPr>
                <w:rFonts w:ascii="Arial" w:cs="Arial" w:eastAsia="Arial" w:hAnsi="Arial"/>
                <w:sz w:val="13"/>
                <w:szCs w:val="13"/>
                <w:color w:val="auto"/>
              </w:rPr>
              <w:t>The Shoppes at</w:t>
            </w:r>
          </w:p>
        </w:tc>
        <w:tc>
          <w:tcPr>
            <w:tcW w:w="500" w:type="dxa"/>
            <w:vAlign w:val="bottom"/>
            <w:shd w:val="clear" w:color="auto" w:fill="CCEEFF"/>
          </w:tcPr>
          <w:p>
            <w:pPr>
              <w:spacing w:after="0"/>
              <w:rPr>
                <w:sz w:val="13"/>
                <w:szCs w:val="13"/>
                <w:color w:val="auto"/>
              </w:rPr>
            </w:pPr>
          </w:p>
        </w:tc>
        <w:tc>
          <w:tcPr>
            <w:tcW w:w="19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Baltimore, MD</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17,528</w:t>
            </w:r>
          </w:p>
        </w:tc>
        <w:tc>
          <w:tcPr>
            <w:tcW w:w="66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32,000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300" w:type="dxa"/>
            <w:vAlign w:val="bottom"/>
            <w:shd w:val="clear" w:color="auto" w:fill="CCEEFF"/>
          </w:tcPr>
          <w:p>
            <w:pPr>
              <w:spacing w:after="0"/>
              <w:rPr>
                <w:sz w:val="13"/>
                <w:szCs w:val="13"/>
                <w:color w:val="auto"/>
              </w:rPr>
            </w:pPr>
          </w:p>
        </w:tc>
      </w:tr>
      <w:tr>
        <w:trPr>
          <w:trHeight w:val="176"/>
        </w:trPr>
        <w:tc>
          <w:tcPr>
            <w:tcW w:w="1180" w:type="dxa"/>
            <w:vAlign w:val="bottom"/>
            <w:gridSpan w:val="5"/>
            <w:shd w:val="clear" w:color="auto" w:fill="CCEEFF"/>
          </w:tcPr>
          <w:p>
            <w:pPr>
              <w:ind w:left="20"/>
              <w:spacing w:after="0"/>
              <w:rPr>
                <w:sz w:val="20"/>
                <w:szCs w:val="20"/>
                <w:color w:val="auto"/>
              </w:rPr>
            </w:pPr>
            <w:r>
              <w:rPr>
                <w:rFonts w:ascii="Arial" w:cs="Arial" w:eastAsia="Arial" w:hAnsi="Arial"/>
                <w:sz w:val="13"/>
                <w:szCs w:val="13"/>
                <w:color w:val="auto"/>
              </w:rPr>
              <w:t>Nottingham Square</w:t>
            </w: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r>
    </w:tbl>
    <w:p>
      <w:pPr>
        <w:spacing w:after="0" w:line="200" w:lineRule="exact"/>
        <w:rPr>
          <w:sz w:val="20"/>
          <w:szCs w:val="20"/>
          <w:color w:val="auto"/>
        </w:rPr>
      </w:pPr>
    </w:p>
    <w:p>
      <w:pPr>
        <w:sectPr>
          <w:pgSz w:w="11900" w:h="16838" w:orient="portrait"/>
          <w:cols w:equalWidth="0" w:num="1">
            <w:col w:w="11280"/>
          </w:cols>
          <w:pgMar w:left="320" w:top="747" w:right="299" w:bottom="1440" w:gutter="0" w:footer="0" w:header="0"/>
        </w:sectPr>
      </w:pP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280"/>
          </w:cols>
          <w:pgMar w:left="320" w:top="747" w:right="299" w:bottom="1440" w:gutter="0" w:footer="0" w:header="0"/>
          <w:type w:val="continuous"/>
        </w:sectPr>
      </w:pPr>
    </w:p>
    <w:bookmarkStart w:id="29" w:name="page30"/>
    <w:bookmarkEnd w:id="29"/>
    <w:p>
      <w:pPr>
        <w:ind w:left="2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Real Estate Status Report</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September 30, 2017</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8"/>
              </w:rPr>
              <w:t>Mortgage</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60" w:type="dxa"/>
            <w:vAlign w:val="bottom"/>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and/or</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Capital</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1"/>
              </w:rPr>
              <w:t>Lease</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w:t>
            </w:r>
          </w:p>
        </w:tc>
        <w:tc>
          <w:tcPr>
            <w:tcW w:w="680" w:type="dxa"/>
            <w:vAlign w:val="bottom"/>
          </w:tcPr>
          <w:p>
            <w:pPr>
              <w:spacing w:after="0"/>
              <w:rPr>
                <w:sz w:val="11"/>
                <w:szCs w:val="11"/>
                <w:color w:val="auto"/>
              </w:rPr>
            </w:pPr>
          </w:p>
        </w:tc>
        <w:tc>
          <w:tcPr>
            <w:tcW w:w="58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Grocery</w:t>
            </w:r>
          </w:p>
        </w:tc>
        <w:tc>
          <w:tcPr>
            <w:tcW w:w="940" w:type="dxa"/>
            <w:vAlign w:val="bottom"/>
          </w:tcPr>
          <w:p>
            <w:pPr>
              <w:spacing w:after="0"/>
              <w:rPr>
                <w:sz w:val="11"/>
                <w:szCs w:val="11"/>
                <w:color w:val="auto"/>
              </w:rPr>
            </w:pPr>
          </w:p>
        </w:tc>
        <w:tc>
          <w:tcPr>
            <w:tcW w:w="22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Real Estate</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Obligation</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93"/>
              </w:rPr>
              <w:t>Leased</w:t>
            </w:r>
          </w:p>
        </w:tc>
        <w:tc>
          <w:tcPr>
            <w:tcW w:w="6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89"/>
              </w:rPr>
              <w:t>Residential</w:t>
            </w:r>
          </w:p>
        </w:tc>
        <w:tc>
          <w:tcPr>
            <w:tcW w:w="5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Anchor</w:t>
            </w:r>
          </w:p>
        </w:tc>
        <w:tc>
          <w:tcPr>
            <w:tcW w:w="940" w:type="dxa"/>
            <w:vAlign w:val="bottom"/>
          </w:tcPr>
          <w:p>
            <w:pPr>
              <w:ind w:left="100"/>
              <w:spacing w:after="0" w:line="135" w:lineRule="exact"/>
              <w:rPr>
                <w:sz w:val="20"/>
                <w:szCs w:val="20"/>
                <w:color w:val="auto"/>
              </w:rPr>
            </w:pPr>
            <w:r>
              <w:rPr>
                <w:rFonts w:ascii="Arial" w:cs="Arial" w:eastAsia="Arial" w:hAnsi="Arial"/>
                <w:sz w:val="13"/>
                <w:szCs w:val="13"/>
                <w:b w:val="1"/>
                <w:bCs w:val="1"/>
                <w:color w:val="auto"/>
              </w:rPr>
              <w:t>Grocery</w:t>
            </w:r>
          </w:p>
        </w:tc>
        <w:tc>
          <w:tcPr>
            <w:tcW w:w="2260" w:type="dxa"/>
            <w:vAlign w:val="bottom"/>
          </w:tcPr>
          <w:p>
            <w:pPr>
              <w:spacing w:after="0"/>
              <w:rPr>
                <w:sz w:val="11"/>
                <w:szCs w:val="11"/>
                <w:color w:val="auto"/>
              </w:rPr>
            </w:pPr>
          </w:p>
        </w:tc>
      </w:tr>
      <w:tr>
        <w:trPr>
          <w:trHeight w:val="174"/>
        </w:trPr>
        <w:tc>
          <w:tcPr>
            <w:tcW w:w="1180" w:type="dxa"/>
            <w:vAlign w:val="bottom"/>
            <w:tcBorders>
              <w:bottom w:val="single" w:sz="8" w:color="auto"/>
            </w:tcBorders>
            <w:gridSpan w:val="4"/>
          </w:tcPr>
          <w:p>
            <w:pPr>
              <w:ind w:left="20"/>
              <w:spacing w:after="0"/>
              <w:rPr>
                <w:sz w:val="20"/>
                <w:szCs w:val="20"/>
                <w:color w:val="auto"/>
              </w:rPr>
            </w:pPr>
            <w:r>
              <w:rPr>
                <w:rFonts w:ascii="Arial" w:cs="Arial" w:eastAsia="Arial" w:hAnsi="Arial"/>
                <w:sz w:val="13"/>
                <w:szCs w:val="13"/>
                <w:b w:val="1"/>
                <w:bCs w:val="1"/>
                <w:color w:val="auto"/>
              </w:rPr>
              <w:t>Property Name</w:t>
            </w:r>
          </w:p>
        </w:tc>
        <w:tc>
          <w:tcPr>
            <w:tcW w:w="2360" w:type="dxa"/>
            <w:vAlign w:val="bottom"/>
            <w:tcBorders>
              <w:bottom w:val="single" w:sz="8" w:color="auto"/>
            </w:tcBorders>
          </w:tcPr>
          <w:p>
            <w:pPr>
              <w:ind w:left="480"/>
              <w:spacing w:after="0"/>
              <w:rPr>
                <w:sz w:val="20"/>
                <w:szCs w:val="20"/>
                <w:color w:val="auto"/>
              </w:rPr>
            </w:pPr>
            <w:r>
              <w:rPr>
                <w:rFonts w:ascii="Arial" w:cs="Arial" w:eastAsia="Arial" w:hAnsi="Arial"/>
                <w:sz w:val="13"/>
                <w:szCs w:val="13"/>
                <w:b w:val="1"/>
                <w:bCs w:val="1"/>
                <w:color w:val="auto"/>
              </w:rPr>
              <w:t>MSA Description</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at Cost</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(1)</w:t>
            </w:r>
          </w:p>
        </w:tc>
        <w:tc>
          <w:tcPr>
            <w:tcW w:w="60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Acreage</w:t>
            </w:r>
          </w:p>
        </w:tc>
        <w:tc>
          <w:tcPr>
            <w:tcW w:w="800" w:type="dxa"/>
            <w:vAlign w:val="bottom"/>
            <w:tcBorders>
              <w:bottom w:val="single" w:sz="8" w:color="auto"/>
            </w:tcBorders>
            <w:gridSpan w:val="2"/>
          </w:tcPr>
          <w:p>
            <w:pPr>
              <w:ind w:left="120"/>
              <w:spacing w:after="0"/>
              <w:rPr>
                <w:sz w:val="20"/>
                <w:szCs w:val="20"/>
                <w:color w:val="auto"/>
              </w:rPr>
            </w:pPr>
            <w:r>
              <w:rPr>
                <w:rFonts w:ascii="Arial" w:cs="Arial" w:eastAsia="Arial" w:hAnsi="Arial"/>
                <w:sz w:val="13"/>
                <w:szCs w:val="13"/>
                <w:b w:val="1"/>
                <w:bCs w:val="1"/>
                <w:color w:val="auto"/>
              </w:rPr>
              <w:t>GLA (2)</w:t>
            </w:r>
          </w:p>
        </w:tc>
        <w:tc>
          <w:tcPr>
            <w:tcW w:w="50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(2)</w:t>
            </w:r>
          </w:p>
        </w:tc>
        <w:tc>
          <w:tcPr>
            <w:tcW w:w="6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Units</w:t>
            </w: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GLA</w:t>
            </w:r>
          </w:p>
        </w:tc>
        <w:tc>
          <w:tcPr>
            <w:tcW w:w="94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Anchor</w:t>
            </w:r>
          </w:p>
        </w:tc>
        <w:tc>
          <w:tcPr>
            <w:tcW w:w="226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Other Retail Tenants</w:t>
            </w:r>
          </w:p>
        </w:tc>
      </w:tr>
      <w:tr>
        <w:trPr>
          <w:trHeight w:val="13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60" w:type="dxa"/>
            <w:vAlign w:val="bottom"/>
          </w:tcPr>
          <w:p>
            <w:pPr>
              <w:spacing w:after="0"/>
              <w:rPr>
                <w:sz w:val="12"/>
                <w:szCs w:val="12"/>
                <w:color w:val="auto"/>
              </w:rPr>
            </w:pPr>
          </w:p>
        </w:tc>
      </w:tr>
      <w:tr>
        <w:trPr>
          <w:trHeight w:val="136"/>
        </w:trPr>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720" w:type="dxa"/>
            <w:vAlign w:val="bottom"/>
          </w:tcPr>
          <w:p>
            <w:pPr>
              <w:jc w:val="center"/>
              <w:spacing w:after="0"/>
              <w:rPr>
                <w:sz w:val="20"/>
                <w:szCs w:val="20"/>
                <w:color w:val="auto"/>
              </w:rPr>
            </w:pPr>
            <w:r>
              <w:rPr>
                <w:rFonts w:ascii="Arial" w:cs="Arial" w:eastAsia="Arial" w:hAnsi="Arial"/>
                <w:sz w:val="11"/>
                <w:szCs w:val="11"/>
                <w:color w:val="auto"/>
                <w:w w:val="88"/>
              </w:rPr>
              <w:t>(in thousands)</w:t>
            </w:r>
          </w:p>
        </w:tc>
        <w:tc>
          <w:tcPr>
            <w:tcW w:w="660" w:type="dxa"/>
            <w:vAlign w:val="bottom"/>
          </w:tcPr>
          <w:p>
            <w:pPr>
              <w:jc w:val="center"/>
              <w:spacing w:after="0"/>
              <w:rPr>
                <w:sz w:val="20"/>
                <w:szCs w:val="20"/>
                <w:color w:val="auto"/>
              </w:rPr>
            </w:pPr>
            <w:r>
              <w:rPr>
                <w:rFonts w:ascii="Arial" w:cs="Arial" w:eastAsia="Arial" w:hAnsi="Arial"/>
                <w:sz w:val="11"/>
                <w:szCs w:val="11"/>
                <w:color w:val="auto"/>
                <w:w w:val="84"/>
              </w:rPr>
              <w:t>thousands)</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60" w:type="dxa"/>
            <w:vAlign w:val="bottom"/>
          </w:tcPr>
          <w:p>
            <w:pPr>
              <w:spacing w:after="0"/>
              <w:rPr>
                <w:sz w:val="11"/>
                <w:szCs w:val="11"/>
                <w:color w:val="auto"/>
              </w:rPr>
            </w:pPr>
          </w:p>
        </w:tc>
      </w:tr>
      <w:tr>
        <w:trPr>
          <w:trHeight w:val="170"/>
        </w:trPr>
        <w:tc>
          <w:tcPr>
            <w:tcW w:w="1180" w:type="dxa"/>
            <w:vAlign w:val="bottom"/>
            <w:gridSpan w:val="4"/>
          </w:tcPr>
          <w:p>
            <w:pPr>
              <w:ind w:left="20"/>
              <w:spacing w:after="0"/>
              <w:rPr>
                <w:sz w:val="20"/>
                <w:szCs w:val="20"/>
                <w:color w:val="auto"/>
              </w:rPr>
            </w:pPr>
            <w:r>
              <w:rPr>
                <w:rFonts w:ascii="Arial" w:cs="Arial" w:eastAsia="Arial" w:hAnsi="Arial"/>
                <w:sz w:val="13"/>
                <w:szCs w:val="13"/>
                <w:color w:val="auto"/>
              </w:rPr>
              <w:t>Towson Residential</w:t>
            </w:r>
          </w:p>
        </w:tc>
        <w:tc>
          <w:tcPr>
            <w:tcW w:w="2360" w:type="dxa"/>
            <w:vAlign w:val="bottom"/>
          </w:tcPr>
          <w:p>
            <w:pPr>
              <w:ind w:left="480"/>
              <w:spacing w:after="0"/>
              <w:rPr>
                <w:sz w:val="20"/>
                <w:szCs w:val="20"/>
                <w:color w:val="auto"/>
              </w:rPr>
            </w:pPr>
            <w:r>
              <w:rPr>
                <w:rFonts w:ascii="Arial" w:cs="Arial" w:eastAsia="Arial" w:hAnsi="Arial"/>
                <w:sz w:val="13"/>
                <w:szCs w:val="13"/>
                <w:color w:val="auto"/>
              </w:rPr>
              <w:t>Baltimore, MD</w:t>
            </w: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19,924</w:t>
            </w:r>
          </w:p>
        </w:tc>
        <w:tc>
          <w:tcPr>
            <w:tcW w:w="660" w:type="dxa"/>
            <w:vAlign w:val="bottom"/>
          </w:tcPr>
          <w:p>
            <w:pPr>
              <w:spacing w:after="0"/>
              <w:rPr>
                <w:sz w:val="14"/>
                <w:szCs w:val="14"/>
                <w:color w:val="auto"/>
              </w:rPr>
            </w:pPr>
          </w:p>
        </w:tc>
        <w:tc>
          <w:tcPr>
            <w:tcW w:w="500" w:type="dxa"/>
            <w:vAlign w:val="bottom"/>
          </w:tcPr>
          <w:p>
            <w:pPr>
              <w:jc w:val="right"/>
              <w:ind w:right="7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4,000</w:t>
            </w: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100%</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105</w:t>
            </w: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60" w:type="dxa"/>
            <w:vAlign w:val="bottom"/>
          </w:tcPr>
          <w:p>
            <w:pPr>
              <w:spacing w:after="0"/>
              <w:rPr>
                <w:sz w:val="14"/>
                <w:szCs w:val="14"/>
                <w:color w:val="auto"/>
              </w:rPr>
            </w:pPr>
          </w:p>
        </w:tc>
      </w:tr>
      <w:tr>
        <w:trPr>
          <w:trHeight w:val="168"/>
        </w:trPr>
        <w:tc>
          <w:tcPr>
            <w:tcW w:w="1180" w:type="dxa"/>
            <w:vAlign w:val="bottom"/>
            <w:gridSpan w:val="4"/>
          </w:tcPr>
          <w:p>
            <w:pPr>
              <w:ind w:left="20"/>
              <w:spacing w:after="0"/>
              <w:rPr>
                <w:sz w:val="20"/>
                <w:szCs w:val="20"/>
                <w:color w:val="auto"/>
              </w:rPr>
            </w:pPr>
            <w:r>
              <w:rPr>
                <w:rFonts w:ascii="Arial" w:cs="Arial" w:eastAsia="Arial" w:hAnsi="Arial"/>
                <w:sz w:val="13"/>
                <w:szCs w:val="13"/>
                <w:color w:val="auto"/>
              </w:rPr>
              <w:t>(Flats @ 703)</w:t>
            </w:r>
          </w:p>
        </w:tc>
        <w:tc>
          <w:tcPr>
            <w:tcW w:w="2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60" w:type="dxa"/>
            <w:vAlign w:val="bottom"/>
          </w:tcPr>
          <w:p>
            <w:pPr>
              <w:spacing w:after="0"/>
              <w:rPr>
                <w:sz w:val="14"/>
                <w:szCs w:val="14"/>
                <w:color w:val="auto"/>
              </w:rPr>
            </w:pPr>
          </w:p>
        </w:tc>
      </w:tr>
      <w:tr>
        <w:trPr>
          <w:trHeight w:val="181"/>
        </w:trPr>
        <w:tc>
          <w:tcPr>
            <w:tcW w:w="1180" w:type="dxa"/>
            <w:vAlign w:val="bottom"/>
            <w:gridSpan w:val="4"/>
            <w:shd w:val="clear" w:color="auto" w:fill="CCEEFF"/>
          </w:tcPr>
          <w:p>
            <w:pPr>
              <w:ind w:left="20"/>
              <w:spacing w:after="0"/>
              <w:rPr>
                <w:sz w:val="20"/>
                <w:szCs w:val="20"/>
                <w:color w:val="auto"/>
              </w:rPr>
            </w:pPr>
            <w:r>
              <w:rPr>
                <w:rFonts w:ascii="Arial" w:cs="Arial" w:eastAsia="Arial" w:hAnsi="Arial"/>
                <w:sz w:val="13"/>
                <w:szCs w:val="13"/>
                <w:color w:val="auto"/>
              </w:rPr>
              <w:t>White Marsh Plaza</w:t>
            </w:r>
          </w:p>
        </w:tc>
        <w:tc>
          <w:tcPr>
            <w:tcW w:w="2360" w:type="dxa"/>
            <w:vAlign w:val="bottom"/>
            <w:shd w:val="clear" w:color="auto" w:fill="CCEEFF"/>
          </w:tcPr>
          <w:p>
            <w:pPr>
              <w:ind w:left="480"/>
              <w:spacing w:after="0"/>
              <w:rPr>
                <w:sz w:val="20"/>
                <w:szCs w:val="20"/>
                <w:color w:val="auto"/>
              </w:rPr>
            </w:pPr>
            <w:r>
              <w:rPr>
                <w:rFonts w:ascii="Arial" w:cs="Arial" w:eastAsia="Arial" w:hAnsi="Arial"/>
                <w:sz w:val="13"/>
                <w:szCs w:val="13"/>
                <w:color w:val="auto"/>
              </w:rPr>
              <w:t>Baltimore, MD</w:t>
            </w: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25,472</w:t>
            </w:r>
          </w:p>
        </w:tc>
        <w:tc>
          <w:tcPr>
            <w:tcW w:w="66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80,000</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54,000</w:t>
            </w:r>
          </w:p>
        </w:tc>
        <w:tc>
          <w:tcPr>
            <w:tcW w:w="9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Giant Food</w:t>
            </w:r>
          </w:p>
        </w:tc>
        <w:tc>
          <w:tcPr>
            <w:tcW w:w="2260" w:type="dxa"/>
            <w:vAlign w:val="bottom"/>
            <w:shd w:val="clear" w:color="auto" w:fill="CCEEFF"/>
          </w:tcPr>
          <w:p>
            <w:pPr>
              <w:spacing w:after="0"/>
              <w:rPr>
                <w:sz w:val="15"/>
                <w:szCs w:val="15"/>
                <w:color w:val="auto"/>
              </w:rPr>
            </w:pPr>
          </w:p>
        </w:tc>
      </w:tr>
      <w:tr>
        <w:trPr>
          <w:trHeight w:val="97"/>
        </w:trPr>
        <w:tc>
          <w:tcPr>
            <w:tcW w:w="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236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2260" w:type="dxa"/>
            <w:vAlign w:val="bottom"/>
            <w:shd w:val="clear" w:color="auto" w:fill="CCEEFF"/>
          </w:tcPr>
          <w:p>
            <w:pPr>
              <w:spacing w:after="0"/>
              <w:rPr>
                <w:sz w:val="8"/>
                <w:szCs w:val="8"/>
                <w:color w:val="auto"/>
              </w:rPr>
            </w:pPr>
          </w:p>
        </w:tc>
      </w:tr>
      <w:tr>
        <w:trPr>
          <w:trHeight w:val="173"/>
        </w:trPr>
        <w:tc>
          <w:tcPr>
            <w:tcW w:w="1180" w:type="dxa"/>
            <w:vAlign w:val="bottom"/>
            <w:gridSpan w:val="4"/>
          </w:tcPr>
          <w:p>
            <w:pPr>
              <w:ind w:left="20"/>
              <w:spacing w:after="0"/>
              <w:rPr>
                <w:sz w:val="20"/>
                <w:szCs w:val="20"/>
                <w:color w:val="auto"/>
              </w:rPr>
            </w:pPr>
            <w:r>
              <w:rPr>
                <w:rFonts w:ascii="Arial" w:cs="Arial" w:eastAsia="Arial" w:hAnsi="Arial"/>
                <w:sz w:val="13"/>
                <w:szCs w:val="13"/>
                <w:color w:val="auto"/>
              </w:rPr>
              <w:t>White Marsh Other</w:t>
            </w:r>
          </w:p>
        </w:tc>
        <w:tc>
          <w:tcPr>
            <w:tcW w:w="2360" w:type="dxa"/>
            <w:vAlign w:val="bottom"/>
          </w:tcPr>
          <w:p>
            <w:pPr>
              <w:ind w:left="480"/>
              <w:spacing w:after="0"/>
              <w:rPr>
                <w:sz w:val="20"/>
                <w:szCs w:val="20"/>
                <w:color w:val="auto"/>
              </w:rPr>
            </w:pPr>
            <w:r>
              <w:rPr>
                <w:rFonts w:ascii="Arial" w:cs="Arial" w:eastAsia="Arial" w:hAnsi="Arial"/>
                <w:sz w:val="13"/>
                <w:szCs w:val="13"/>
                <w:color w:val="auto"/>
              </w:rPr>
              <w:t>Baltimore, MD</w:t>
            </w: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36,261</w:t>
            </w:r>
          </w:p>
        </w:tc>
        <w:tc>
          <w:tcPr>
            <w:tcW w:w="660" w:type="dxa"/>
            <w:vAlign w:val="bottom"/>
          </w:tcPr>
          <w:p>
            <w:pPr>
              <w:spacing w:after="0"/>
              <w:rPr>
                <w:sz w:val="15"/>
                <w:szCs w:val="15"/>
                <w:color w:val="auto"/>
              </w:rPr>
            </w:pPr>
          </w:p>
        </w:tc>
        <w:tc>
          <w:tcPr>
            <w:tcW w:w="500" w:type="dxa"/>
            <w:vAlign w:val="bottom"/>
          </w:tcPr>
          <w:p>
            <w:pPr>
              <w:jc w:val="right"/>
              <w:ind w:right="77"/>
              <w:spacing w:after="0"/>
              <w:rPr>
                <w:sz w:val="20"/>
                <w:szCs w:val="20"/>
                <w:color w:val="auto"/>
              </w:rPr>
            </w:pPr>
            <w:r>
              <w:rPr>
                <w:rFonts w:ascii="Arial" w:cs="Arial" w:eastAsia="Arial" w:hAnsi="Arial"/>
                <w:sz w:val="13"/>
                <w:szCs w:val="13"/>
                <w:color w:val="auto"/>
              </w:rPr>
              <w:t>21</w:t>
            </w:r>
          </w:p>
        </w:tc>
        <w:tc>
          <w:tcPr>
            <w:tcW w:w="100" w:type="dxa"/>
            <w:vAlign w:val="bottom"/>
          </w:tcPr>
          <w:p>
            <w:pPr>
              <w:spacing w:after="0"/>
              <w:rPr>
                <w:sz w:val="15"/>
                <w:szCs w:val="15"/>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69,000</w:t>
            </w: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97%</w:t>
            </w: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60" w:type="dxa"/>
            <w:vAlign w:val="bottom"/>
          </w:tcPr>
          <w:p>
            <w:pPr>
              <w:spacing w:after="0"/>
              <w:rPr>
                <w:sz w:val="15"/>
                <w:szCs w:val="15"/>
                <w:color w:val="auto"/>
              </w:rPr>
            </w:pPr>
          </w:p>
        </w:tc>
      </w:tr>
      <w:tr>
        <w:trPr>
          <w:trHeight w:val="97"/>
        </w:trPr>
        <w:tc>
          <w:tcPr>
            <w:tcW w:w="20" w:type="dxa"/>
            <w:vAlign w:val="bottom"/>
            <w:tcBorders>
              <w:bottom w:val="single" w:sz="8" w:color="CCEEFF"/>
            </w:tcBorders>
          </w:tcPr>
          <w:p>
            <w:pPr>
              <w:spacing w:after="0"/>
              <w:rPr>
                <w:sz w:val="8"/>
                <w:szCs w:val="8"/>
                <w:color w:val="auto"/>
              </w:rPr>
            </w:pPr>
          </w:p>
        </w:tc>
        <w:tc>
          <w:tcPr>
            <w:tcW w:w="380" w:type="dxa"/>
            <w:vAlign w:val="bottom"/>
            <w:tcBorders>
              <w:bottom w:val="single" w:sz="8" w:color="CCEEFF"/>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660" w:type="dxa"/>
            <w:vAlign w:val="bottom"/>
            <w:tcBorders>
              <w:bottom w:val="single" w:sz="8" w:color="CCEEFF"/>
            </w:tcBorders>
          </w:tcPr>
          <w:p>
            <w:pPr>
              <w:spacing w:after="0"/>
              <w:rPr>
                <w:sz w:val="8"/>
                <w:szCs w:val="8"/>
                <w:color w:val="auto"/>
              </w:rPr>
            </w:pPr>
          </w:p>
        </w:tc>
        <w:tc>
          <w:tcPr>
            <w:tcW w:w="2360" w:type="dxa"/>
            <w:vAlign w:val="bottom"/>
            <w:tcBorders>
              <w:bottom w:val="single" w:sz="8" w:color="CCEEFF"/>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60" w:type="dxa"/>
            <w:vAlign w:val="bottom"/>
            <w:tcBorders>
              <w:bottom w:val="single" w:sz="8" w:color="CCEEFF"/>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80" w:type="dxa"/>
            <w:vAlign w:val="bottom"/>
            <w:tcBorders>
              <w:bottom w:val="single" w:sz="8" w:color="CCEEFF"/>
            </w:tcBorders>
          </w:tcPr>
          <w:p>
            <w:pPr>
              <w:spacing w:after="0"/>
              <w:rPr>
                <w:sz w:val="8"/>
                <w:szCs w:val="8"/>
                <w:color w:val="auto"/>
              </w:rPr>
            </w:pPr>
          </w:p>
        </w:tc>
        <w:tc>
          <w:tcPr>
            <w:tcW w:w="580" w:type="dxa"/>
            <w:vAlign w:val="bottom"/>
            <w:tcBorders>
              <w:bottom w:val="single" w:sz="8" w:color="CCEEFF"/>
            </w:tcBorders>
          </w:tcPr>
          <w:p>
            <w:pPr>
              <w:spacing w:after="0"/>
              <w:rPr>
                <w:sz w:val="8"/>
                <w:szCs w:val="8"/>
                <w:color w:val="auto"/>
              </w:rPr>
            </w:pPr>
          </w:p>
        </w:tc>
        <w:tc>
          <w:tcPr>
            <w:tcW w:w="940" w:type="dxa"/>
            <w:vAlign w:val="bottom"/>
            <w:tcBorders>
              <w:bottom w:val="single" w:sz="8" w:color="CCEEFF"/>
            </w:tcBorders>
          </w:tcPr>
          <w:p>
            <w:pPr>
              <w:spacing w:after="0"/>
              <w:rPr>
                <w:sz w:val="8"/>
                <w:szCs w:val="8"/>
                <w:color w:val="auto"/>
              </w:rPr>
            </w:pPr>
          </w:p>
        </w:tc>
        <w:tc>
          <w:tcPr>
            <w:tcW w:w="2260" w:type="dxa"/>
            <w:vAlign w:val="bottom"/>
            <w:tcBorders>
              <w:bottom w:val="single" w:sz="8" w:color="CCEEFF"/>
            </w:tcBorders>
          </w:tcPr>
          <w:p>
            <w:pPr>
              <w:spacing w:after="0"/>
              <w:rPr>
                <w:sz w:val="8"/>
                <w:szCs w:val="8"/>
                <w:color w:val="auto"/>
              </w:rPr>
            </w:pPr>
          </w:p>
        </w:tc>
      </w:tr>
      <w:tr>
        <w:trPr>
          <w:trHeight w:val="167"/>
        </w:trPr>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360" w:type="dxa"/>
            <w:vAlign w:val="bottom"/>
            <w:shd w:val="clear" w:color="auto" w:fill="CCEEFF"/>
          </w:tcPr>
          <w:p>
            <w:pPr>
              <w:ind w:left="480"/>
              <w:spacing w:after="0"/>
              <w:rPr>
                <w:sz w:val="20"/>
                <w:szCs w:val="20"/>
                <w:color w:val="auto"/>
              </w:rPr>
            </w:pPr>
            <w:r>
              <w:rPr>
                <w:rFonts w:ascii="Arial" w:cs="Arial" w:eastAsia="Arial" w:hAnsi="Arial"/>
                <w:sz w:val="13"/>
                <w:szCs w:val="13"/>
                <w:b w:val="1"/>
                <w:bCs w:val="1"/>
                <w:color w:val="auto"/>
              </w:rPr>
              <w:t>Total Baltimore</w:t>
            </w: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270,180</w:t>
            </w:r>
          </w:p>
        </w:tc>
        <w:tc>
          <w:tcPr>
            <w:tcW w:w="66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121</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96"/>
              </w:rPr>
              <w:t>1,139,000</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6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14"/>
                <w:szCs w:val="14"/>
                <w:color w:val="auto"/>
              </w:rPr>
            </w:pPr>
          </w:p>
        </w:tc>
      </w:tr>
      <w:tr>
        <w:trPr>
          <w:trHeight w:val="84"/>
        </w:trPr>
        <w:tc>
          <w:tcPr>
            <w:tcW w:w="2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236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2260" w:type="dxa"/>
            <w:vAlign w:val="bottom"/>
            <w:shd w:val="clear" w:color="auto" w:fill="CCEEFF"/>
          </w:tcPr>
          <w:p>
            <w:pPr>
              <w:spacing w:after="0"/>
              <w:rPr>
                <w:sz w:val="7"/>
                <w:szCs w:val="7"/>
                <w:color w:val="auto"/>
              </w:rPr>
            </w:pPr>
          </w:p>
        </w:tc>
      </w:tr>
      <w:tr>
        <w:trPr>
          <w:trHeight w:val="270"/>
        </w:trPr>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260" w:type="dxa"/>
            <w:vAlign w:val="bottom"/>
          </w:tcPr>
          <w:p>
            <w:pPr>
              <w:spacing w:after="0"/>
              <w:rPr>
                <w:sz w:val="23"/>
                <w:szCs w:val="23"/>
                <w:color w:val="auto"/>
              </w:rPr>
            </w:pPr>
          </w:p>
        </w:tc>
      </w:tr>
      <w:tr>
        <w:trPr>
          <w:trHeight w:val="149"/>
        </w:trPr>
        <w:tc>
          <w:tcPr>
            <w:tcW w:w="2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ind w:left="60"/>
              <w:spacing w:after="0"/>
              <w:rPr>
                <w:sz w:val="20"/>
                <w:szCs w:val="20"/>
                <w:color w:val="auto"/>
              </w:rPr>
            </w:pPr>
            <w:r>
              <w:rPr>
                <w:rFonts w:ascii="Arial" w:cs="Arial" w:eastAsia="Arial" w:hAnsi="Arial"/>
                <w:sz w:val="13"/>
                <w:szCs w:val="13"/>
                <w:b w:val="1"/>
                <w:bCs w:val="1"/>
                <w:color w:val="auto"/>
              </w:rPr>
              <w:t>Chicago</w:t>
            </w:r>
          </w:p>
        </w:tc>
        <w:tc>
          <w:tcPr>
            <w:tcW w:w="2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rPr>
                <w:sz w:val="12"/>
                <w:szCs w:val="12"/>
                <w:color w:val="auto"/>
              </w:rPr>
            </w:pPr>
          </w:p>
        </w:tc>
      </w:tr>
      <w:tr>
        <w:trPr>
          <w:trHeight w:val="102"/>
        </w:trPr>
        <w:tc>
          <w:tcPr>
            <w:tcW w:w="2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236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CCEEFF"/>
            </w:tcBorders>
            <w:shd w:val="clear" w:color="auto" w:fill="CCEEFF"/>
          </w:tcPr>
          <w:p>
            <w:pPr>
              <w:spacing w:after="0"/>
              <w:rPr>
                <w:sz w:val="8"/>
                <w:szCs w:val="8"/>
                <w:color w:val="auto"/>
              </w:rPr>
            </w:pPr>
          </w:p>
        </w:tc>
        <w:tc>
          <w:tcPr>
            <w:tcW w:w="940" w:type="dxa"/>
            <w:vAlign w:val="bottom"/>
            <w:tcBorders>
              <w:top w:val="single" w:sz="8" w:color="CCEEFF"/>
            </w:tcBorders>
            <w:shd w:val="clear" w:color="auto" w:fill="CCEEFF"/>
          </w:tcPr>
          <w:p>
            <w:pPr>
              <w:spacing w:after="0"/>
              <w:rPr>
                <w:sz w:val="8"/>
                <w:szCs w:val="8"/>
                <w:color w:val="auto"/>
              </w:rPr>
            </w:pPr>
          </w:p>
        </w:tc>
        <w:tc>
          <w:tcPr>
            <w:tcW w:w="2260" w:type="dxa"/>
            <w:vAlign w:val="bottom"/>
            <w:tcBorders>
              <w:top w:val="single" w:sz="8" w:color="CCEEFF"/>
            </w:tcBorders>
            <w:shd w:val="clear" w:color="auto" w:fill="CCEEFF"/>
          </w:tcPr>
          <w:p>
            <w:pPr>
              <w:spacing w:after="0"/>
              <w:rPr>
                <w:sz w:val="8"/>
                <w:szCs w:val="8"/>
                <w:color w:val="auto"/>
              </w:rPr>
            </w:pPr>
          </w:p>
        </w:tc>
      </w:tr>
      <w:tr>
        <w:trPr>
          <w:trHeight w:val="173"/>
        </w:trPr>
        <w:tc>
          <w:tcPr>
            <w:tcW w:w="1180" w:type="dxa"/>
            <w:vAlign w:val="bottom"/>
            <w:gridSpan w:val="4"/>
          </w:tcPr>
          <w:p>
            <w:pPr>
              <w:ind w:left="20"/>
              <w:spacing w:after="0"/>
              <w:rPr>
                <w:sz w:val="20"/>
                <w:szCs w:val="20"/>
                <w:color w:val="auto"/>
              </w:rPr>
            </w:pPr>
            <w:r>
              <w:rPr>
                <w:rFonts w:ascii="Arial" w:cs="Arial" w:eastAsia="Arial" w:hAnsi="Arial"/>
                <w:sz w:val="13"/>
                <w:szCs w:val="13"/>
                <w:color w:val="auto"/>
              </w:rPr>
              <w:t>Crossroads</w:t>
            </w:r>
          </w:p>
        </w:tc>
        <w:tc>
          <w:tcPr>
            <w:tcW w:w="2360" w:type="dxa"/>
            <w:vAlign w:val="bottom"/>
          </w:tcPr>
          <w:p>
            <w:pPr>
              <w:ind w:left="480"/>
              <w:spacing w:after="0"/>
              <w:rPr>
                <w:sz w:val="20"/>
                <w:szCs w:val="20"/>
                <w:color w:val="auto"/>
              </w:rPr>
            </w:pPr>
            <w:r>
              <w:rPr>
                <w:rFonts w:ascii="Arial" w:cs="Arial" w:eastAsia="Arial" w:hAnsi="Arial"/>
                <w:sz w:val="13"/>
                <w:szCs w:val="13"/>
                <w:color w:val="auto"/>
              </w:rPr>
              <w:t>Chicago, IL</w:t>
            </w: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32,260</w:t>
            </w:r>
          </w:p>
        </w:tc>
        <w:tc>
          <w:tcPr>
            <w:tcW w:w="660" w:type="dxa"/>
            <w:vAlign w:val="bottom"/>
          </w:tcPr>
          <w:p>
            <w:pPr>
              <w:spacing w:after="0"/>
              <w:rPr>
                <w:sz w:val="15"/>
                <w:szCs w:val="15"/>
                <w:color w:val="auto"/>
              </w:rPr>
            </w:pPr>
          </w:p>
        </w:tc>
        <w:tc>
          <w:tcPr>
            <w:tcW w:w="500" w:type="dxa"/>
            <w:vAlign w:val="bottom"/>
          </w:tcPr>
          <w:p>
            <w:pPr>
              <w:jc w:val="right"/>
              <w:ind w:right="77"/>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15"/>
                <w:szCs w:val="15"/>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168,000</w:t>
            </w: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83%</w:t>
            </w: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60" w:type="dxa"/>
            <w:vAlign w:val="bottom"/>
          </w:tcPr>
          <w:p>
            <w:pPr>
              <w:ind w:left="40"/>
              <w:spacing w:after="0"/>
              <w:rPr>
                <w:sz w:val="20"/>
                <w:szCs w:val="20"/>
                <w:color w:val="auto"/>
              </w:rPr>
            </w:pPr>
            <w:r>
              <w:rPr>
                <w:rFonts w:ascii="Arial" w:cs="Arial" w:eastAsia="Arial" w:hAnsi="Arial"/>
                <w:sz w:val="13"/>
                <w:szCs w:val="13"/>
                <w:color w:val="auto"/>
              </w:rPr>
              <w:t>L.A. Fitness / Binny's / Guitar Center</w:t>
            </w:r>
          </w:p>
        </w:tc>
      </w:tr>
      <w:tr>
        <w:trPr>
          <w:trHeight w:val="97"/>
        </w:trPr>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940" w:type="dxa"/>
            <w:vAlign w:val="bottom"/>
          </w:tcPr>
          <w:p>
            <w:pPr>
              <w:spacing w:after="0"/>
              <w:rPr>
                <w:sz w:val="8"/>
                <w:szCs w:val="8"/>
                <w:color w:val="auto"/>
              </w:rPr>
            </w:pPr>
          </w:p>
        </w:tc>
        <w:tc>
          <w:tcPr>
            <w:tcW w:w="2260" w:type="dxa"/>
            <w:vAlign w:val="bottom"/>
          </w:tcPr>
          <w:p>
            <w:pPr>
              <w:spacing w:after="0"/>
              <w:rPr>
                <w:sz w:val="8"/>
                <w:szCs w:val="8"/>
                <w:color w:val="auto"/>
              </w:rPr>
            </w:pPr>
          </w:p>
        </w:tc>
      </w:tr>
      <w:tr>
        <w:trPr>
          <w:trHeight w:val="148"/>
        </w:trPr>
        <w:tc>
          <w:tcPr>
            <w:tcW w:w="1180" w:type="dxa"/>
            <w:vAlign w:val="bottom"/>
            <w:gridSpan w:val="4"/>
            <w:shd w:val="clear" w:color="auto" w:fill="CCEEFF"/>
          </w:tcPr>
          <w:p>
            <w:pPr>
              <w:ind w:left="20"/>
              <w:spacing w:after="0" w:line="148" w:lineRule="exact"/>
              <w:rPr>
                <w:sz w:val="20"/>
                <w:szCs w:val="20"/>
                <w:color w:val="auto"/>
              </w:rPr>
            </w:pPr>
            <w:r>
              <w:rPr>
                <w:rFonts w:ascii="Arial" w:cs="Arial" w:eastAsia="Arial" w:hAnsi="Arial"/>
                <w:sz w:val="13"/>
                <w:szCs w:val="13"/>
                <w:color w:val="auto"/>
              </w:rPr>
              <w:t>Finley Square</w:t>
            </w:r>
          </w:p>
        </w:tc>
        <w:tc>
          <w:tcPr>
            <w:tcW w:w="2360" w:type="dxa"/>
            <w:vAlign w:val="bottom"/>
            <w:shd w:val="clear" w:color="auto" w:fill="CCEEFF"/>
          </w:tcPr>
          <w:p>
            <w:pPr>
              <w:ind w:left="480"/>
              <w:spacing w:after="0" w:line="148" w:lineRule="exact"/>
              <w:rPr>
                <w:sz w:val="20"/>
                <w:szCs w:val="20"/>
                <w:color w:val="auto"/>
              </w:rPr>
            </w:pPr>
            <w:r>
              <w:rPr>
                <w:rFonts w:ascii="Arial" w:cs="Arial" w:eastAsia="Arial" w:hAnsi="Arial"/>
                <w:sz w:val="13"/>
                <w:szCs w:val="13"/>
                <w:color w:val="auto"/>
              </w:rPr>
              <w:t>Chicago, IL</w:t>
            </w:r>
          </w:p>
        </w:tc>
        <w:tc>
          <w:tcPr>
            <w:tcW w:w="72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37,730</w:t>
            </w:r>
          </w:p>
        </w:tc>
        <w:tc>
          <w:tcPr>
            <w:tcW w:w="66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77"/>
              <w:spacing w:after="0" w:line="148" w:lineRule="exact"/>
              <w:rPr>
                <w:sz w:val="20"/>
                <w:szCs w:val="20"/>
                <w:color w:val="auto"/>
              </w:rPr>
            </w:pPr>
            <w:r>
              <w:rPr>
                <w:rFonts w:ascii="Arial" w:cs="Arial" w:eastAsia="Arial" w:hAnsi="Arial"/>
                <w:sz w:val="13"/>
                <w:szCs w:val="13"/>
                <w:color w:val="auto"/>
              </w:rPr>
              <w:t>21</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278,000</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87%</w:t>
            </w: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6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Bed, Bath &amp; Beyond / Buy Buy Baby /</w:t>
            </w:r>
          </w:p>
        </w:tc>
      </w:tr>
      <w:tr>
        <w:trPr>
          <w:trHeight w:val="176"/>
        </w:trPr>
        <w:tc>
          <w:tcPr>
            <w:tcW w:w="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3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Petsmart / Portillo's</w:t>
            </w:r>
          </w:p>
        </w:tc>
      </w:tr>
      <w:tr>
        <w:trPr>
          <w:trHeight w:val="148"/>
        </w:trPr>
        <w:tc>
          <w:tcPr>
            <w:tcW w:w="1180" w:type="dxa"/>
            <w:vAlign w:val="bottom"/>
            <w:gridSpan w:val="4"/>
          </w:tcPr>
          <w:p>
            <w:pPr>
              <w:ind w:left="20"/>
              <w:spacing w:after="0" w:line="148" w:lineRule="exact"/>
              <w:rPr>
                <w:sz w:val="20"/>
                <w:szCs w:val="20"/>
                <w:color w:val="auto"/>
              </w:rPr>
            </w:pPr>
            <w:r>
              <w:rPr>
                <w:rFonts w:ascii="Arial" w:cs="Arial" w:eastAsia="Arial" w:hAnsi="Arial"/>
                <w:sz w:val="13"/>
                <w:szCs w:val="13"/>
                <w:color w:val="auto"/>
              </w:rPr>
              <w:t>Garden Market</w:t>
            </w:r>
          </w:p>
        </w:tc>
        <w:tc>
          <w:tcPr>
            <w:tcW w:w="2360" w:type="dxa"/>
            <w:vAlign w:val="bottom"/>
          </w:tcPr>
          <w:p>
            <w:pPr>
              <w:ind w:left="480"/>
              <w:spacing w:after="0" w:line="148" w:lineRule="exact"/>
              <w:rPr>
                <w:sz w:val="20"/>
                <w:szCs w:val="20"/>
                <w:color w:val="auto"/>
              </w:rPr>
            </w:pPr>
            <w:r>
              <w:rPr>
                <w:rFonts w:ascii="Arial" w:cs="Arial" w:eastAsia="Arial" w:hAnsi="Arial"/>
                <w:sz w:val="13"/>
                <w:szCs w:val="13"/>
                <w:color w:val="auto"/>
              </w:rPr>
              <w:t>Chicago, IL</w:t>
            </w:r>
          </w:p>
        </w:tc>
        <w:tc>
          <w:tcPr>
            <w:tcW w:w="72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14,330</w:t>
            </w:r>
          </w:p>
        </w:tc>
        <w:tc>
          <w:tcPr>
            <w:tcW w:w="660" w:type="dxa"/>
            <w:vAlign w:val="bottom"/>
          </w:tcPr>
          <w:p>
            <w:pPr>
              <w:spacing w:after="0"/>
              <w:rPr>
                <w:sz w:val="12"/>
                <w:szCs w:val="12"/>
                <w:color w:val="auto"/>
              </w:rPr>
            </w:pPr>
          </w:p>
        </w:tc>
        <w:tc>
          <w:tcPr>
            <w:tcW w:w="500" w:type="dxa"/>
            <w:vAlign w:val="bottom"/>
          </w:tcPr>
          <w:p>
            <w:pPr>
              <w:jc w:val="right"/>
              <w:ind w:right="77"/>
              <w:spacing w:after="0" w:line="148" w:lineRule="exact"/>
              <w:rPr>
                <w:sz w:val="20"/>
                <w:szCs w:val="20"/>
                <w:color w:val="auto"/>
              </w:rPr>
            </w:pPr>
            <w:r>
              <w:rPr>
                <w:rFonts w:ascii="Arial" w:cs="Arial" w:eastAsia="Arial" w:hAnsi="Arial"/>
                <w:sz w:val="13"/>
                <w:szCs w:val="13"/>
                <w:color w:val="auto"/>
              </w:rPr>
              <w:t>2</w:t>
            </w:r>
          </w:p>
        </w:tc>
        <w:tc>
          <w:tcPr>
            <w:tcW w:w="100" w:type="dxa"/>
            <w:vAlign w:val="bottom"/>
          </w:tcPr>
          <w:p>
            <w:pPr>
              <w:spacing w:after="0"/>
              <w:rPr>
                <w:sz w:val="12"/>
                <w:szCs w:val="12"/>
                <w:color w:val="auto"/>
              </w:rPr>
            </w:pP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140,000</w:t>
            </w:r>
          </w:p>
        </w:tc>
        <w:tc>
          <w:tcPr>
            <w:tcW w:w="100" w:type="dxa"/>
            <w:vAlign w:val="bottom"/>
          </w:tcPr>
          <w:p>
            <w:pPr>
              <w:spacing w:after="0"/>
              <w:rPr>
                <w:sz w:val="12"/>
                <w:szCs w:val="12"/>
                <w:color w:val="auto"/>
              </w:rPr>
            </w:pP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99%</w:t>
            </w:r>
          </w:p>
        </w:tc>
        <w:tc>
          <w:tcPr>
            <w:tcW w:w="680" w:type="dxa"/>
            <w:vAlign w:val="bottom"/>
          </w:tcPr>
          <w:p>
            <w:pPr>
              <w:spacing w:after="0"/>
              <w:rPr>
                <w:sz w:val="12"/>
                <w:szCs w:val="12"/>
                <w:color w:val="auto"/>
              </w:rPr>
            </w:pPr>
          </w:p>
        </w:tc>
        <w:tc>
          <w:tcPr>
            <w:tcW w:w="580" w:type="dxa"/>
            <w:vAlign w:val="bottom"/>
          </w:tcPr>
          <w:p>
            <w:pPr>
              <w:jc w:val="center"/>
              <w:spacing w:after="0" w:line="148" w:lineRule="exact"/>
              <w:rPr>
                <w:sz w:val="20"/>
                <w:szCs w:val="20"/>
                <w:color w:val="auto"/>
              </w:rPr>
            </w:pPr>
            <w:r>
              <w:rPr>
                <w:rFonts w:ascii="Arial" w:cs="Arial" w:eastAsia="Arial" w:hAnsi="Arial"/>
                <w:sz w:val="13"/>
                <w:szCs w:val="13"/>
                <w:color w:val="auto"/>
                <w:w w:val="90"/>
              </w:rPr>
              <w:t>63,000</w:t>
            </w:r>
          </w:p>
        </w:tc>
        <w:tc>
          <w:tcPr>
            <w:tcW w:w="940" w:type="dxa"/>
            <w:vAlign w:val="bottom"/>
          </w:tcPr>
          <w:p>
            <w:pPr>
              <w:ind w:left="100"/>
              <w:spacing w:after="0" w:line="148" w:lineRule="exact"/>
              <w:rPr>
                <w:sz w:val="20"/>
                <w:szCs w:val="20"/>
                <w:color w:val="auto"/>
              </w:rPr>
            </w:pPr>
            <w:r>
              <w:rPr>
                <w:rFonts w:ascii="Arial" w:cs="Arial" w:eastAsia="Arial" w:hAnsi="Arial"/>
                <w:sz w:val="13"/>
                <w:szCs w:val="13"/>
                <w:color w:val="auto"/>
                <w:w w:val="88"/>
              </w:rPr>
              <w:t>Mariano's Fresh</w:t>
            </w:r>
          </w:p>
        </w:tc>
        <w:tc>
          <w:tcPr>
            <w:tcW w:w="2260" w:type="dxa"/>
            <w:vAlign w:val="bottom"/>
          </w:tcPr>
          <w:p>
            <w:pPr>
              <w:ind w:left="40"/>
              <w:spacing w:after="0" w:line="148" w:lineRule="exact"/>
              <w:rPr>
                <w:sz w:val="20"/>
                <w:szCs w:val="20"/>
                <w:color w:val="auto"/>
              </w:rPr>
            </w:pPr>
            <w:r>
              <w:rPr>
                <w:rFonts w:ascii="Arial" w:cs="Arial" w:eastAsia="Arial" w:hAnsi="Arial"/>
                <w:sz w:val="13"/>
                <w:szCs w:val="13"/>
                <w:color w:val="auto"/>
              </w:rPr>
              <w:t>Walgreens</w:t>
            </w:r>
          </w:p>
        </w:tc>
      </w:tr>
      <w:tr>
        <w:trPr>
          <w:trHeight w:val="168"/>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ind w:left="100"/>
              <w:spacing w:after="0"/>
              <w:rPr>
                <w:sz w:val="20"/>
                <w:szCs w:val="20"/>
                <w:color w:val="auto"/>
              </w:rPr>
            </w:pPr>
            <w:r>
              <w:rPr>
                <w:rFonts w:ascii="Arial" w:cs="Arial" w:eastAsia="Arial" w:hAnsi="Arial"/>
                <w:sz w:val="13"/>
                <w:szCs w:val="13"/>
                <w:color w:val="auto"/>
              </w:rPr>
              <w:t>Market</w:t>
            </w:r>
          </w:p>
        </w:tc>
        <w:tc>
          <w:tcPr>
            <w:tcW w:w="2260" w:type="dxa"/>
            <w:vAlign w:val="bottom"/>
          </w:tcPr>
          <w:p>
            <w:pPr>
              <w:spacing w:after="0"/>
              <w:rPr>
                <w:sz w:val="14"/>
                <w:szCs w:val="14"/>
                <w:color w:val="auto"/>
              </w:rPr>
            </w:pPr>
          </w:p>
        </w:tc>
      </w:tr>
      <w:tr>
        <w:trPr>
          <w:trHeight w:val="181"/>
        </w:trPr>
        <w:tc>
          <w:tcPr>
            <w:tcW w:w="1180" w:type="dxa"/>
            <w:vAlign w:val="bottom"/>
            <w:gridSpan w:val="4"/>
            <w:shd w:val="clear" w:color="auto" w:fill="CCEEFF"/>
          </w:tcPr>
          <w:p>
            <w:pPr>
              <w:ind w:left="20"/>
              <w:spacing w:after="0"/>
              <w:rPr>
                <w:sz w:val="20"/>
                <w:szCs w:val="20"/>
                <w:color w:val="auto"/>
              </w:rPr>
            </w:pPr>
            <w:r>
              <w:rPr>
                <w:rFonts w:ascii="Arial" w:cs="Arial" w:eastAsia="Arial" w:hAnsi="Arial"/>
                <w:sz w:val="13"/>
                <w:szCs w:val="13"/>
                <w:color w:val="auto"/>
              </w:rPr>
              <w:t>Riverpoint Center</w:t>
            </w:r>
          </w:p>
        </w:tc>
        <w:tc>
          <w:tcPr>
            <w:tcW w:w="2360" w:type="dxa"/>
            <w:vAlign w:val="bottom"/>
            <w:shd w:val="clear" w:color="auto" w:fill="CCEEFF"/>
          </w:tcPr>
          <w:p>
            <w:pPr>
              <w:ind w:left="480"/>
              <w:spacing w:after="0"/>
              <w:rPr>
                <w:sz w:val="20"/>
                <w:szCs w:val="20"/>
                <w:color w:val="auto"/>
              </w:rPr>
            </w:pPr>
            <w:r>
              <w:rPr>
                <w:rFonts w:ascii="Arial" w:cs="Arial" w:eastAsia="Arial" w:hAnsi="Arial"/>
                <w:sz w:val="13"/>
                <w:szCs w:val="13"/>
                <w:color w:val="auto"/>
              </w:rPr>
              <w:t>Chicago, IL</w:t>
            </w: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119,997</w:t>
            </w:r>
          </w:p>
        </w:tc>
        <w:tc>
          <w:tcPr>
            <w:tcW w:w="66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211,000</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86,000</w:t>
            </w:r>
          </w:p>
        </w:tc>
        <w:tc>
          <w:tcPr>
            <w:tcW w:w="9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Jewel Osco</w:t>
            </w:r>
          </w:p>
        </w:tc>
        <w:tc>
          <w:tcPr>
            <w:tcW w:w="2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Marshalls / Old Navy</w:t>
            </w:r>
          </w:p>
        </w:tc>
      </w:tr>
      <w:tr>
        <w:trPr>
          <w:trHeight w:val="97"/>
        </w:trPr>
        <w:tc>
          <w:tcPr>
            <w:tcW w:w="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2360" w:type="dxa"/>
            <w:vAlign w:val="bottom"/>
            <w:shd w:val="clear" w:color="auto" w:fill="CCEEFF"/>
          </w:tcPr>
          <w:p>
            <w:pPr>
              <w:spacing w:after="0"/>
              <w:rPr>
                <w:sz w:val="8"/>
                <w:szCs w:val="8"/>
                <w:color w:val="auto"/>
              </w:rPr>
            </w:pPr>
          </w:p>
        </w:tc>
        <w:tc>
          <w:tcPr>
            <w:tcW w:w="720" w:type="dxa"/>
            <w:vAlign w:val="bottom"/>
            <w:tcBorders>
              <w:bottom w:val="single" w:sz="8" w:color="auto"/>
            </w:tcBorders>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500" w:type="dxa"/>
            <w:vAlign w:val="bottom"/>
            <w:tcBorders>
              <w:bottom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tcBorders>
              <w:bottom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tcBorders>
              <w:bottom w:val="single" w:sz="8" w:color="auto"/>
            </w:tcBorders>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2260" w:type="dxa"/>
            <w:vAlign w:val="bottom"/>
            <w:shd w:val="clear" w:color="auto" w:fill="CCEEFF"/>
          </w:tcPr>
          <w:p>
            <w:pPr>
              <w:spacing w:after="0"/>
              <w:rPr>
                <w:sz w:val="8"/>
                <w:szCs w:val="8"/>
                <w:color w:val="auto"/>
              </w:rPr>
            </w:pPr>
          </w:p>
        </w:tc>
      </w:tr>
      <w:tr>
        <w:trPr>
          <w:trHeight w:val="167"/>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360" w:type="dxa"/>
            <w:vAlign w:val="bottom"/>
          </w:tcPr>
          <w:p>
            <w:pPr>
              <w:ind w:left="480"/>
              <w:spacing w:after="0"/>
              <w:rPr>
                <w:sz w:val="20"/>
                <w:szCs w:val="20"/>
                <w:color w:val="auto"/>
              </w:rPr>
            </w:pPr>
            <w:r>
              <w:rPr>
                <w:rFonts w:ascii="Arial" w:cs="Arial" w:eastAsia="Arial" w:hAnsi="Arial"/>
                <w:sz w:val="13"/>
                <w:szCs w:val="13"/>
                <w:b w:val="1"/>
                <w:bCs w:val="1"/>
                <w:color w:val="auto"/>
              </w:rPr>
              <w:t>Total Chicago</w:t>
            </w: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204,317</w:t>
            </w:r>
          </w:p>
        </w:tc>
        <w:tc>
          <w:tcPr>
            <w:tcW w:w="660" w:type="dxa"/>
            <w:vAlign w:val="bottom"/>
          </w:tcPr>
          <w:p>
            <w:pPr>
              <w:spacing w:after="0"/>
              <w:rPr>
                <w:sz w:val="14"/>
                <w:szCs w:val="14"/>
                <w:color w:val="auto"/>
              </w:rPr>
            </w:pPr>
          </w:p>
        </w:tc>
        <w:tc>
          <w:tcPr>
            <w:tcW w:w="500" w:type="dxa"/>
            <w:vAlign w:val="bottom"/>
          </w:tcPr>
          <w:p>
            <w:pPr>
              <w:jc w:val="right"/>
              <w:ind w:right="77"/>
              <w:spacing w:after="0"/>
              <w:rPr>
                <w:sz w:val="20"/>
                <w:szCs w:val="20"/>
                <w:color w:val="auto"/>
              </w:rPr>
            </w:pPr>
            <w:r>
              <w:rPr>
                <w:rFonts w:ascii="Arial" w:cs="Arial" w:eastAsia="Arial" w:hAnsi="Arial"/>
                <w:sz w:val="13"/>
                <w:szCs w:val="13"/>
                <w:color w:val="auto"/>
              </w:rPr>
              <w:t>54</w:t>
            </w:r>
          </w:p>
        </w:tc>
        <w:tc>
          <w:tcPr>
            <w:tcW w:w="10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797,000</w:t>
            </w: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91%</w:t>
            </w: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60" w:type="dxa"/>
            <w:vAlign w:val="bottom"/>
          </w:tcPr>
          <w:p>
            <w:pPr>
              <w:spacing w:after="0"/>
              <w:rPr>
                <w:sz w:val="14"/>
                <w:szCs w:val="14"/>
                <w:color w:val="auto"/>
              </w:rPr>
            </w:pPr>
          </w:p>
        </w:tc>
      </w:tr>
      <w:tr>
        <w:trPr>
          <w:trHeight w:val="84"/>
        </w:trPr>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3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940" w:type="dxa"/>
            <w:vAlign w:val="bottom"/>
          </w:tcPr>
          <w:p>
            <w:pPr>
              <w:spacing w:after="0"/>
              <w:rPr>
                <w:sz w:val="7"/>
                <w:szCs w:val="7"/>
                <w:color w:val="auto"/>
              </w:rPr>
            </w:pPr>
          </w:p>
        </w:tc>
        <w:tc>
          <w:tcPr>
            <w:tcW w:w="2260" w:type="dxa"/>
            <w:vAlign w:val="bottom"/>
          </w:tcPr>
          <w:p>
            <w:pPr>
              <w:spacing w:after="0"/>
              <w:rPr>
                <w:sz w:val="7"/>
                <w:szCs w:val="7"/>
                <w:color w:val="auto"/>
              </w:rPr>
            </w:pPr>
          </w:p>
        </w:tc>
      </w:tr>
      <w:tr>
        <w:trPr>
          <w:trHeight w:val="270"/>
        </w:trPr>
        <w:tc>
          <w:tcPr>
            <w:tcW w:w="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236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260" w:type="dxa"/>
            <w:vAlign w:val="bottom"/>
            <w:shd w:val="clear" w:color="auto" w:fill="CCEEFF"/>
          </w:tcPr>
          <w:p>
            <w:pPr>
              <w:spacing w:after="0"/>
              <w:rPr>
                <w:sz w:val="23"/>
                <w:szCs w:val="23"/>
                <w:color w:val="auto"/>
              </w:rPr>
            </w:pPr>
          </w:p>
        </w:tc>
      </w:tr>
      <w:tr>
        <w:trPr>
          <w:trHeight w:val="149"/>
        </w:trPr>
        <w:tc>
          <w:tcPr>
            <w:tcW w:w="20" w:type="dxa"/>
            <w:vAlign w:val="bottom"/>
          </w:tcPr>
          <w:p>
            <w:pPr>
              <w:spacing w:after="0"/>
              <w:rPr>
                <w:sz w:val="12"/>
                <w:szCs w:val="12"/>
                <w:color w:val="auto"/>
              </w:rPr>
            </w:pPr>
          </w:p>
        </w:tc>
        <w:tc>
          <w:tcPr>
            <w:tcW w:w="1160" w:type="dxa"/>
            <w:vAlign w:val="bottom"/>
            <w:gridSpan w:val="3"/>
          </w:tcPr>
          <w:p>
            <w:pPr>
              <w:ind w:left="60"/>
              <w:spacing w:after="0"/>
              <w:rPr>
                <w:sz w:val="20"/>
                <w:szCs w:val="20"/>
                <w:color w:val="auto"/>
              </w:rPr>
            </w:pPr>
            <w:r>
              <w:rPr>
                <w:rFonts w:ascii="Arial" w:cs="Arial" w:eastAsia="Arial" w:hAnsi="Arial"/>
                <w:sz w:val="13"/>
                <w:szCs w:val="13"/>
                <w:b w:val="1"/>
                <w:bCs w:val="1"/>
                <w:color w:val="auto"/>
              </w:rPr>
              <w:t>Other</w:t>
            </w:r>
          </w:p>
        </w:tc>
        <w:tc>
          <w:tcPr>
            <w:tcW w:w="2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60" w:type="dxa"/>
            <w:vAlign w:val="bottom"/>
          </w:tcPr>
          <w:p>
            <w:pPr>
              <w:spacing w:after="0"/>
              <w:rPr>
                <w:sz w:val="12"/>
                <w:szCs w:val="12"/>
                <w:color w:val="auto"/>
              </w:rPr>
            </w:pPr>
          </w:p>
        </w:tc>
      </w:tr>
      <w:tr>
        <w:trPr>
          <w:trHeight w:val="102"/>
        </w:trPr>
        <w:tc>
          <w:tcPr>
            <w:tcW w:w="20" w:type="dxa"/>
            <w:vAlign w:val="bottom"/>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940" w:type="dxa"/>
            <w:vAlign w:val="bottom"/>
          </w:tcPr>
          <w:p>
            <w:pPr>
              <w:spacing w:after="0"/>
              <w:rPr>
                <w:sz w:val="8"/>
                <w:szCs w:val="8"/>
                <w:color w:val="auto"/>
              </w:rPr>
            </w:pPr>
          </w:p>
        </w:tc>
        <w:tc>
          <w:tcPr>
            <w:tcW w:w="2260" w:type="dxa"/>
            <w:vAlign w:val="bottom"/>
          </w:tcPr>
          <w:p>
            <w:pPr>
              <w:spacing w:after="0"/>
              <w:rPr>
                <w:sz w:val="8"/>
                <w:szCs w:val="8"/>
                <w:color w:val="auto"/>
              </w:rPr>
            </w:pPr>
          </w:p>
        </w:tc>
      </w:tr>
      <w:tr>
        <w:trPr>
          <w:trHeight w:val="148"/>
        </w:trPr>
        <w:tc>
          <w:tcPr>
            <w:tcW w:w="1180" w:type="dxa"/>
            <w:vAlign w:val="bottom"/>
            <w:gridSpan w:val="4"/>
            <w:shd w:val="clear" w:color="auto" w:fill="CCEEFF"/>
          </w:tcPr>
          <w:p>
            <w:pPr>
              <w:ind w:left="20"/>
              <w:spacing w:after="0" w:line="148" w:lineRule="exact"/>
              <w:rPr>
                <w:sz w:val="20"/>
                <w:szCs w:val="20"/>
                <w:color w:val="auto"/>
              </w:rPr>
            </w:pPr>
            <w:r>
              <w:rPr>
                <w:rFonts w:ascii="Arial" w:cs="Arial" w:eastAsia="Arial" w:hAnsi="Arial"/>
                <w:sz w:val="13"/>
                <w:szCs w:val="13"/>
                <w:color w:val="auto"/>
              </w:rPr>
              <w:t>Barracks Road</w:t>
            </w:r>
          </w:p>
        </w:tc>
        <w:tc>
          <w:tcPr>
            <w:tcW w:w="2360" w:type="dxa"/>
            <w:vAlign w:val="bottom"/>
            <w:shd w:val="clear" w:color="auto" w:fill="CCEEFF"/>
          </w:tcPr>
          <w:p>
            <w:pPr>
              <w:ind w:left="480"/>
              <w:spacing w:after="0" w:line="148" w:lineRule="exact"/>
              <w:rPr>
                <w:sz w:val="20"/>
                <w:szCs w:val="20"/>
                <w:color w:val="auto"/>
              </w:rPr>
            </w:pPr>
            <w:r>
              <w:rPr>
                <w:rFonts w:ascii="Arial" w:cs="Arial" w:eastAsia="Arial" w:hAnsi="Arial"/>
                <w:sz w:val="13"/>
                <w:szCs w:val="13"/>
                <w:color w:val="auto"/>
              </w:rPr>
              <w:t>Charlottesville, VA</w:t>
            </w:r>
          </w:p>
        </w:tc>
        <w:tc>
          <w:tcPr>
            <w:tcW w:w="72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66,552</w:t>
            </w:r>
          </w:p>
        </w:tc>
        <w:tc>
          <w:tcPr>
            <w:tcW w:w="66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77"/>
              <w:spacing w:after="0" w:line="148" w:lineRule="exact"/>
              <w:rPr>
                <w:sz w:val="20"/>
                <w:szCs w:val="20"/>
                <w:color w:val="auto"/>
              </w:rPr>
            </w:pPr>
            <w:r>
              <w:rPr>
                <w:rFonts w:ascii="Arial" w:cs="Arial" w:eastAsia="Arial" w:hAnsi="Arial"/>
                <w:sz w:val="13"/>
                <w:szCs w:val="13"/>
                <w:color w:val="auto"/>
              </w:rPr>
              <w:t>40</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498,000</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98%</w:t>
            </w: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90"/>
              </w:rPr>
              <w:t>99,000</w:t>
            </w:r>
          </w:p>
        </w:tc>
        <w:tc>
          <w:tcPr>
            <w:tcW w:w="940" w:type="dxa"/>
            <w:vAlign w:val="bottom"/>
            <w:shd w:val="clear" w:color="auto" w:fill="CCEEFF"/>
          </w:tcPr>
          <w:p>
            <w:pPr>
              <w:ind w:left="100"/>
              <w:spacing w:after="0" w:line="148" w:lineRule="exact"/>
              <w:rPr>
                <w:sz w:val="20"/>
                <w:szCs w:val="20"/>
                <w:color w:val="auto"/>
              </w:rPr>
            </w:pPr>
            <w:r>
              <w:rPr>
                <w:rFonts w:ascii="Arial" w:cs="Arial" w:eastAsia="Arial" w:hAnsi="Arial"/>
                <w:sz w:val="13"/>
                <w:szCs w:val="13"/>
                <w:color w:val="auto"/>
                <w:w w:val="98"/>
              </w:rPr>
              <w:t>Harris Teeter /</w:t>
            </w:r>
          </w:p>
        </w:tc>
        <w:tc>
          <w:tcPr>
            <w:tcW w:w="226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Anthropologie / Nike / Bed, Bath &amp;</w:t>
            </w:r>
          </w:p>
        </w:tc>
      </w:tr>
      <w:tr>
        <w:trPr>
          <w:trHeight w:val="176"/>
        </w:trPr>
        <w:tc>
          <w:tcPr>
            <w:tcW w:w="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3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Kroger</w:t>
            </w:r>
          </w:p>
        </w:tc>
        <w:tc>
          <w:tcPr>
            <w:tcW w:w="2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Beyond / Old Navy</w:t>
            </w:r>
          </w:p>
        </w:tc>
      </w:tr>
      <w:tr>
        <w:trPr>
          <w:trHeight w:val="173"/>
        </w:trPr>
        <w:tc>
          <w:tcPr>
            <w:tcW w:w="1180" w:type="dxa"/>
            <w:vAlign w:val="bottom"/>
            <w:gridSpan w:val="4"/>
          </w:tcPr>
          <w:p>
            <w:pPr>
              <w:ind w:left="20"/>
              <w:spacing w:after="0"/>
              <w:rPr>
                <w:sz w:val="20"/>
                <w:szCs w:val="20"/>
                <w:color w:val="auto"/>
              </w:rPr>
            </w:pPr>
            <w:r>
              <w:rPr>
                <w:rFonts w:ascii="Arial" w:cs="Arial" w:eastAsia="Arial" w:hAnsi="Arial"/>
                <w:sz w:val="13"/>
                <w:szCs w:val="13"/>
                <w:color w:val="auto"/>
              </w:rPr>
              <w:t>Bristol Plaza</w:t>
            </w:r>
          </w:p>
        </w:tc>
        <w:tc>
          <w:tcPr>
            <w:tcW w:w="2360" w:type="dxa"/>
            <w:vAlign w:val="bottom"/>
          </w:tcPr>
          <w:p>
            <w:pPr>
              <w:ind w:left="480"/>
              <w:spacing w:after="0"/>
              <w:rPr>
                <w:sz w:val="20"/>
                <w:szCs w:val="20"/>
                <w:color w:val="auto"/>
              </w:rPr>
            </w:pPr>
            <w:r>
              <w:rPr>
                <w:rFonts w:ascii="Arial" w:cs="Arial" w:eastAsia="Arial" w:hAnsi="Arial"/>
                <w:sz w:val="13"/>
                <w:szCs w:val="13"/>
                <w:color w:val="auto"/>
              </w:rPr>
              <w:t>Hartford, CT</w:t>
            </w: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31,553</w:t>
            </w:r>
          </w:p>
        </w:tc>
        <w:tc>
          <w:tcPr>
            <w:tcW w:w="660" w:type="dxa"/>
            <w:vAlign w:val="bottom"/>
          </w:tcPr>
          <w:p>
            <w:pPr>
              <w:spacing w:after="0"/>
              <w:rPr>
                <w:sz w:val="15"/>
                <w:szCs w:val="15"/>
                <w:color w:val="auto"/>
              </w:rPr>
            </w:pPr>
          </w:p>
        </w:tc>
        <w:tc>
          <w:tcPr>
            <w:tcW w:w="500" w:type="dxa"/>
            <w:vAlign w:val="bottom"/>
          </w:tcPr>
          <w:p>
            <w:pPr>
              <w:jc w:val="right"/>
              <w:ind w:right="77"/>
              <w:spacing w:after="0"/>
              <w:rPr>
                <w:sz w:val="20"/>
                <w:szCs w:val="20"/>
                <w:color w:val="auto"/>
              </w:rPr>
            </w:pPr>
            <w:r>
              <w:rPr>
                <w:rFonts w:ascii="Arial" w:cs="Arial" w:eastAsia="Arial" w:hAnsi="Arial"/>
                <w:sz w:val="13"/>
                <w:szCs w:val="13"/>
                <w:color w:val="auto"/>
              </w:rPr>
              <w:t>22</w:t>
            </w:r>
          </w:p>
        </w:tc>
        <w:tc>
          <w:tcPr>
            <w:tcW w:w="100" w:type="dxa"/>
            <w:vAlign w:val="bottom"/>
          </w:tcPr>
          <w:p>
            <w:pPr>
              <w:spacing w:after="0"/>
              <w:rPr>
                <w:sz w:val="15"/>
                <w:szCs w:val="15"/>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266,000</w:t>
            </w: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97%</w:t>
            </w:r>
          </w:p>
        </w:tc>
        <w:tc>
          <w:tcPr>
            <w:tcW w:w="68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Arial" w:cs="Arial" w:eastAsia="Arial" w:hAnsi="Arial"/>
                <w:sz w:val="13"/>
                <w:szCs w:val="13"/>
                <w:color w:val="auto"/>
                <w:w w:val="90"/>
              </w:rPr>
              <w:t>74,000</w:t>
            </w:r>
          </w:p>
        </w:tc>
        <w:tc>
          <w:tcPr>
            <w:tcW w:w="940" w:type="dxa"/>
            <w:vAlign w:val="bottom"/>
          </w:tcPr>
          <w:p>
            <w:pPr>
              <w:ind w:left="100"/>
              <w:spacing w:after="0"/>
              <w:rPr>
                <w:sz w:val="20"/>
                <w:szCs w:val="20"/>
                <w:color w:val="auto"/>
              </w:rPr>
            </w:pPr>
            <w:r>
              <w:rPr>
                <w:rFonts w:ascii="Arial" w:cs="Arial" w:eastAsia="Arial" w:hAnsi="Arial"/>
                <w:sz w:val="13"/>
                <w:szCs w:val="13"/>
                <w:color w:val="auto"/>
              </w:rPr>
              <w:t>Stop &amp; Shop</w:t>
            </w:r>
          </w:p>
        </w:tc>
        <w:tc>
          <w:tcPr>
            <w:tcW w:w="2260" w:type="dxa"/>
            <w:vAlign w:val="bottom"/>
          </w:tcPr>
          <w:p>
            <w:pPr>
              <w:ind w:left="40"/>
              <w:spacing w:after="0"/>
              <w:rPr>
                <w:sz w:val="20"/>
                <w:szCs w:val="20"/>
                <w:color w:val="auto"/>
              </w:rPr>
            </w:pPr>
            <w:r>
              <w:rPr>
                <w:rFonts w:ascii="Arial" w:cs="Arial" w:eastAsia="Arial" w:hAnsi="Arial"/>
                <w:sz w:val="13"/>
                <w:szCs w:val="13"/>
                <w:color w:val="auto"/>
              </w:rPr>
              <w:t>TJ Maxx</w:t>
            </w:r>
          </w:p>
        </w:tc>
      </w:tr>
      <w:tr>
        <w:trPr>
          <w:trHeight w:val="97"/>
        </w:trPr>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940" w:type="dxa"/>
            <w:vAlign w:val="bottom"/>
          </w:tcPr>
          <w:p>
            <w:pPr>
              <w:spacing w:after="0"/>
              <w:rPr>
                <w:sz w:val="8"/>
                <w:szCs w:val="8"/>
                <w:color w:val="auto"/>
              </w:rPr>
            </w:pPr>
          </w:p>
        </w:tc>
        <w:tc>
          <w:tcPr>
            <w:tcW w:w="2260" w:type="dxa"/>
            <w:vAlign w:val="bottom"/>
          </w:tcPr>
          <w:p>
            <w:pPr>
              <w:spacing w:after="0"/>
              <w:rPr>
                <w:sz w:val="8"/>
                <w:szCs w:val="8"/>
                <w:color w:val="auto"/>
              </w:rPr>
            </w:pPr>
          </w:p>
        </w:tc>
      </w:tr>
      <w:tr>
        <w:trPr>
          <w:trHeight w:val="173"/>
        </w:trPr>
        <w:tc>
          <w:tcPr>
            <w:tcW w:w="1180" w:type="dxa"/>
            <w:vAlign w:val="bottom"/>
            <w:gridSpan w:val="4"/>
            <w:shd w:val="clear" w:color="auto" w:fill="CCEEFF"/>
          </w:tcPr>
          <w:p>
            <w:pPr>
              <w:ind w:left="20"/>
              <w:spacing w:after="0"/>
              <w:rPr>
                <w:sz w:val="20"/>
                <w:szCs w:val="20"/>
                <w:color w:val="auto"/>
              </w:rPr>
            </w:pPr>
            <w:r>
              <w:rPr>
                <w:rFonts w:ascii="Arial" w:cs="Arial" w:eastAsia="Arial" w:hAnsi="Arial"/>
                <w:sz w:val="13"/>
                <w:szCs w:val="13"/>
                <w:color w:val="auto"/>
              </w:rPr>
              <w:t>Eastgate Crossing</w:t>
            </w:r>
          </w:p>
        </w:tc>
        <w:tc>
          <w:tcPr>
            <w:tcW w:w="2360" w:type="dxa"/>
            <w:vAlign w:val="bottom"/>
            <w:shd w:val="clear" w:color="auto" w:fill="CCEEFF"/>
          </w:tcPr>
          <w:p>
            <w:pPr>
              <w:ind w:left="480"/>
              <w:spacing w:after="0"/>
              <w:rPr>
                <w:sz w:val="20"/>
                <w:szCs w:val="20"/>
                <w:color w:val="auto"/>
              </w:rPr>
            </w:pPr>
            <w:r>
              <w:rPr>
                <w:rFonts w:ascii="Arial" w:cs="Arial" w:eastAsia="Arial" w:hAnsi="Arial"/>
                <w:sz w:val="13"/>
                <w:szCs w:val="13"/>
                <w:color w:val="auto"/>
                <w:w w:val="99"/>
              </w:rPr>
              <w:t>Raleigh-Durham-Chapel Hill, NC</w:t>
            </w: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32,975</w:t>
            </w:r>
          </w:p>
        </w:tc>
        <w:tc>
          <w:tcPr>
            <w:tcW w:w="66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158,000</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13,000</w:t>
            </w:r>
          </w:p>
        </w:tc>
        <w:tc>
          <w:tcPr>
            <w:tcW w:w="9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Trader Joe's</w:t>
            </w:r>
          </w:p>
        </w:tc>
        <w:tc>
          <w:tcPr>
            <w:tcW w:w="2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Ulta / Stein Mart / Petco</w:t>
            </w:r>
          </w:p>
        </w:tc>
      </w:tr>
      <w:tr>
        <w:trPr>
          <w:trHeight w:val="97"/>
        </w:trPr>
        <w:tc>
          <w:tcPr>
            <w:tcW w:w="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236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2260" w:type="dxa"/>
            <w:vAlign w:val="bottom"/>
            <w:shd w:val="clear" w:color="auto" w:fill="CCEEFF"/>
          </w:tcPr>
          <w:p>
            <w:pPr>
              <w:spacing w:after="0"/>
              <w:rPr>
                <w:sz w:val="8"/>
                <w:szCs w:val="8"/>
                <w:color w:val="auto"/>
              </w:rPr>
            </w:pPr>
          </w:p>
        </w:tc>
      </w:tr>
      <w:tr>
        <w:trPr>
          <w:trHeight w:val="173"/>
        </w:trPr>
        <w:tc>
          <w:tcPr>
            <w:tcW w:w="1180" w:type="dxa"/>
            <w:vAlign w:val="bottom"/>
            <w:gridSpan w:val="4"/>
          </w:tcPr>
          <w:p>
            <w:pPr>
              <w:ind w:left="20"/>
              <w:spacing w:after="0"/>
              <w:rPr>
                <w:sz w:val="20"/>
                <w:szCs w:val="20"/>
                <w:color w:val="auto"/>
              </w:rPr>
            </w:pPr>
            <w:r>
              <w:rPr>
                <w:rFonts w:ascii="Arial" w:cs="Arial" w:eastAsia="Arial" w:hAnsi="Arial"/>
                <w:sz w:val="13"/>
                <w:szCs w:val="13"/>
                <w:color w:val="auto"/>
              </w:rPr>
              <w:t>Gratiot Plaza</w:t>
            </w:r>
          </w:p>
        </w:tc>
        <w:tc>
          <w:tcPr>
            <w:tcW w:w="2360" w:type="dxa"/>
            <w:vAlign w:val="bottom"/>
          </w:tcPr>
          <w:p>
            <w:pPr>
              <w:ind w:left="480"/>
              <w:spacing w:after="0"/>
              <w:rPr>
                <w:sz w:val="20"/>
                <w:szCs w:val="20"/>
                <w:color w:val="auto"/>
              </w:rPr>
            </w:pPr>
            <w:r>
              <w:rPr>
                <w:rFonts w:ascii="Arial" w:cs="Arial" w:eastAsia="Arial" w:hAnsi="Arial"/>
                <w:sz w:val="13"/>
                <w:szCs w:val="13"/>
                <w:color w:val="auto"/>
              </w:rPr>
              <w:t>Detroit, MI</w:t>
            </w: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19,821</w:t>
            </w:r>
          </w:p>
        </w:tc>
        <w:tc>
          <w:tcPr>
            <w:tcW w:w="660" w:type="dxa"/>
            <w:vAlign w:val="bottom"/>
          </w:tcPr>
          <w:p>
            <w:pPr>
              <w:spacing w:after="0"/>
              <w:rPr>
                <w:sz w:val="15"/>
                <w:szCs w:val="15"/>
                <w:color w:val="auto"/>
              </w:rPr>
            </w:pPr>
          </w:p>
        </w:tc>
        <w:tc>
          <w:tcPr>
            <w:tcW w:w="500" w:type="dxa"/>
            <w:vAlign w:val="bottom"/>
          </w:tcPr>
          <w:p>
            <w:pPr>
              <w:jc w:val="right"/>
              <w:ind w:right="77"/>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15"/>
                <w:szCs w:val="15"/>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217,000</w:t>
            </w: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100%</w:t>
            </w:r>
          </w:p>
        </w:tc>
        <w:tc>
          <w:tcPr>
            <w:tcW w:w="68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Arial" w:cs="Arial" w:eastAsia="Arial" w:hAnsi="Arial"/>
                <w:sz w:val="13"/>
                <w:szCs w:val="13"/>
                <w:color w:val="auto"/>
                <w:w w:val="90"/>
              </w:rPr>
              <w:t>69,000</w:t>
            </w:r>
          </w:p>
        </w:tc>
        <w:tc>
          <w:tcPr>
            <w:tcW w:w="940" w:type="dxa"/>
            <w:vAlign w:val="bottom"/>
          </w:tcPr>
          <w:p>
            <w:pPr>
              <w:ind w:left="100"/>
              <w:spacing w:after="0"/>
              <w:rPr>
                <w:sz w:val="20"/>
                <w:szCs w:val="20"/>
                <w:color w:val="auto"/>
              </w:rPr>
            </w:pPr>
            <w:r>
              <w:rPr>
                <w:rFonts w:ascii="Arial" w:cs="Arial" w:eastAsia="Arial" w:hAnsi="Arial"/>
                <w:sz w:val="13"/>
                <w:szCs w:val="13"/>
                <w:color w:val="auto"/>
              </w:rPr>
              <w:t>Kroger</w:t>
            </w:r>
          </w:p>
        </w:tc>
        <w:tc>
          <w:tcPr>
            <w:tcW w:w="2260" w:type="dxa"/>
            <w:vAlign w:val="bottom"/>
          </w:tcPr>
          <w:p>
            <w:pPr>
              <w:ind w:left="40"/>
              <w:spacing w:after="0"/>
              <w:rPr>
                <w:sz w:val="20"/>
                <w:szCs w:val="20"/>
                <w:color w:val="auto"/>
              </w:rPr>
            </w:pPr>
            <w:r>
              <w:rPr>
                <w:rFonts w:ascii="Arial" w:cs="Arial" w:eastAsia="Arial" w:hAnsi="Arial"/>
                <w:sz w:val="13"/>
                <w:szCs w:val="13"/>
                <w:color w:val="auto"/>
                <w:w w:val="99"/>
              </w:rPr>
              <w:t>Bed, Bath &amp; Beyond / Best Buy / DSW</w:t>
            </w:r>
          </w:p>
        </w:tc>
      </w:tr>
      <w:tr>
        <w:trPr>
          <w:trHeight w:val="97"/>
        </w:trPr>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940" w:type="dxa"/>
            <w:vAlign w:val="bottom"/>
          </w:tcPr>
          <w:p>
            <w:pPr>
              <w:spacing w:after="0"/>
              <w:rPr>
                <w:sz w:val="8"/>
                <w:szCs w:val="8"/>
                <w:color w:val="auto"/>
              </w:rPr>
            </w:pPr>
          </w:p>
        </w:tc>
        <w:tc>
          <w:tcPr>
            <w:tcW w:w="2260" w:type="dxa"/>
            <w:vAlign w:val="bottom"/>
          </w:tcPr>
          <w:p>
            <w:pPr>
              <w:spacing w:after="0"/>
              <w:rPr>
                <w:sz w:val="8"/>
                <w:szCs w:val="8"/>
                <w:color w:val="auto"/>
              </w:rPr>
            </w:pPr>
          </w:p>
        </w:tc>
      </w:tr>
      <w:tr>
        <w:trPr>
          <w:trHeight w:val="173"/>
        </w:trPr>
        <w:tc>
          <w:tcPr>
            <w:tcW w:w="1180" w:type="dxa"/>
            <w:vAlign w:val="bottom"/>
            <w:gridSpan w:val="4"/>
            <w:shd w:val="clear" w:color="auto" w:fill="CCEEFF"/>
          </w:tcPr>
          <w:p>
            <w:pPr>
              <w:ind w:left="20"/>
              <w:spacing w:after="0"/>
              <w:rPr>
                <w:sz w:val="20"/>
                <w:szCs w:val="20"/>
                <w:color w:val="auto"/>
              </w:rPr>
            </w:pPr>
            <w:r>
              <w:rPr>
                <w:rFonts w:ascii="Arial" w:cs="Arial" w:eastAsia="Arial" w:hAnsi="Arial"/>
                <w:sz w:val="13"/>
                <w:szCs w:val="13"/>
                <w:color w:val="auto"/>
              </w:rPr>
              <w:t>Lancaster</w:t>
            </w:r>
          </w:p>
        </w:tc>
        <w:tc>
          <w:tcPr>
            <w:tcW w:w="23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(6)   Lancaster, PA</w:t>
            </w: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13,905</w:t>
            </w: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4,907</w:t>
            </w:r>
          </w:p>
        </w:tc>
        <w:tc>
          <w:tcPr>
            <w:tcW w:w="5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127,000</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75,000</w:t>
            </w:r>
          </w:p>
        </w:tc>
        <w:tc>
          <w:tcPr>
            <w:tcW w:w="9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Giant Food</w:t>
            </w:r>
          </w:p>
        </w:tc>
        <w:tc>
          <w:tcPr>
            <w:tcW w:w="2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Michaels</w:t>
            </w:r>
          </w:p>
        </w:tc>
      </w:tr>
      <w:tr>
        <w:trPr>
          <w:trHeight w:val="97"/>
        </w:trPr>
        <w:tc>
          <w:tcPr>
            <w:tcW w:w="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236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2260" w:type="dxa"/>
            <w:vAlign w:val="bottom"/>
            <w:shd w:val="clear" w:color="auto" w:fill="CCEEFF"/>
          </w:tcPr>
          <w:p>
            <w:pPr>
              <w:spacing w:after="0"/>
              <w:rPr>
                <w:sz w:val="8"/>
                <w:szCs w:val="8"/>
                <w:color w:val="auto"/>
              </w:rPr>
            </w:pPr>
          </w:p>
        </w:tc>
      </w:tr>
      <w:tr>
        <w:trPr>
          <w:trHeight w:val="173"/>
        </w:trPr>
        <w:tc>
          <w:tcPr>
            <w:tcW w:w="1180" w:type="dxa"/>
            <w:vAlign w:val="bottom"/>
            <w:gridSpan w:val="4"/>
          </w:tcPr>
          <w:p>
            <w:pPr>
              <w:ind w:left="20"/>
              <w:spacing w:after="0"/>
              <w:rPr>
                <w:sz w:val="20"/>
                <w:szCs w:val="20"/>
                <w:color w:val="auto"/>
              </w:rPr>
            </w:pPr>
            <w:r>
              <w:rPr>
                <w:rFonts w:ascii="Arial" w:cs="Arial" w:eastAsia="Arial" w:hAnsi="Arial"/>
                <w:sz w:val="13"/>
                <w:szCs w:val="13"/>
                <w:color w:val="auto"/>
              </w:rPr>
              <w:t>29th Place</w:t>
            </w:r>
          </w:p>
        </w:tc>
        <w:tc>
          <w:tcPr>
            <w:tcW w:w="2360" w:type="dxa"/>
            <w:vAlign w:val="bottom"/>
          </w:tcPr>
          <w:p>
            <w:pPr>
              <w:ind w:left="480"/>
              <w:spacing w:after="0"/>
              <w:rPr>
                <w:sz w:val="20"/>
                <w:szCs w:val="20"/>
                <w:color w:val="auto"/>
              </w:rPr>
            </w:pPr>
            <w:r>
              <w:rPr>
                <w:rFonts w:ascii="Arial" w:cs="Arial" w:eastAsia="Arial" w:hAnsi="Arial"/>
                <w:sz w:val="13"/>
                <w:szCs w:val="13"/>
                <w:color w:val="auto"/>
              </w:rPr>
              <w:t>Charlottesville, VA</w:t>
            </w: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40,948</w:t>
            </w:r>
          </w:p>
        </w:tc>
        <w:tc>
          <w:tcPr>
            <w:tcW w:w="660" w:type="dxa"/>
            <w:vAlign w:val="bottom"/>
          </w:tcPr>
          <w:p>
            <w:pPr>
              <w:jc w:val="right"/>
              <w:ind w:right="39"/>
              <w:spacing w:after="0"/>
              <w:rPr>
                <w:sz w:val="20"/>
                <w:szCs w:val="20"/>
                <w:color w:val="auto"/>
              </w:rPr>
            </w:pPr>
            <w:r>
              <w:rPr>
                <w:rFonts w:ascii="Arial" w:cs="Arial" w:eastAsia="Arial" w:hAnsi="Arial"/>
                <w:sz w:val="13"/>
                <w:szCs w:val="13"/>
                <w:color w:val="auto"/>
              </w:rPr>
              <w:t>4,395</w:t>
            </w:r>
          </w:p>
        </w:tc>
        <w:tc>
          <w:tcPr>
            <w:tcW w:w="500" w:type="dxa"/>
            <w:vAlign w:val="bottom"/>
          </w:tcPr>
          <w:p>
            <w:pPr>
              <w:jc w:val="right"/>
              <w:ind w:right="77"/>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15"/>
                <w:szCs w:val="15"/>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169,000</w:t>
            </w: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97%</w:t>
            </w: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60" w:type="dxa"/>
            <w:vAlign w:val="bottom"/>
          </w:tcPr>
          <w:p>
            <w:pPr>
              <w:ind w:left="40"/>
              <w:spacing w:after="0"/>
              <w:rPr>
                <w:sz w:val="20"/>
                <w:szCs w:val="20"/>
                <w:color w:val="auto"/>
              </w:rPr>
            </w:pPr>
            <w:r>
              <w:rPr>
                <w:rFonts w:ascii="Arial" w:cs="Arial" w:eastAsia="Arial" w:hAnsi="Arial"/>
                <w:sz w:val="13"/>
                <w:szCs w:val="13"/>
                <w:color w:val="auto"/>
                <w:w w:val="92"/>
              </w:rPr>
              <w:t>HomeGoods / DSW / Stein Mart / Staples</w:t>
            </w:r>
          </w:p>
        </w:tc>
      </w:tr>
      <w:tr>
        <w:trPr>
          <w:trHeight w:val="97"/>
        </w:trPr>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940" w:type="dxa"/>
            <w:vAlign w:val="bottom"/>
          </w:tcPr>
          <w:p>
            <w:pPr>
              <w:spacing w:after="0"/>
              <w:rPr>
                <w:sz w:val="8"/>
                <w:szCs w:val="8"/>
                <w:color w:val="auto"/>
              </w:rPr>
            </w:pPr>
          </w:p>
        </w:tc>
        <w:tc>
          <w:tcPr>
            <w:tcW w:w="2260" w:type="dxa"/>
            <w:vAlign w:val="bottom"/>
          </w:tcPr>
          <w:p>
            <w:pPr>
              <w:spacing w:after="0"/>
              <w:rPr>
                <w:sz w:val="8"/>
                <w:szCs w:val="8"/>
                <w:color w:val="auto"/>
              </w:rPr>
            </w:pPr>
          </w:p>
        </w:tc>
      </w:tr>
      <w:tr>
        <w:trPr>
          <w:trHeight w:val="148"/>
        </w:trPr>
        <w:tc>
          <w:tcPr>
            <w:tcW w:w="1180" w:type="dxa"/>
            <w:vAlign w:val="bottom"/>
            <w:gridSpan w:val="4"/>
            <w:shd w:val="clear" w:color="auto" w:fill="CCEEFF"/>
          </w:tcPr>
          <w:p>
            <w:pPr>
              <w:ind w:left="20"/>
              <w:spacing w:after="0" w:line="148" w:lineRule="exact"/>
              <w:rPr>
                <w:sz w:val="20"/>
                <w:szCs w:val="20"/>
                <w:color w:val="auto"/>
              </w:rPr>
            </w:pPr>
            <w:r>
              <w:rPr>
                <w:rFonts w:ascii="Arial" w:cs="Arial" w:eastAsia="Arial" w:hAnsi="Arial"/>
                <w:sz w:val="13"/>
                <w:szCs w:val="13"/>
                <w:color w:val="auto"/>
              </w:rPr>
              <w:t>Willow Lawn</w:t>
            </w:r>
          </w:p>
        </w:tc>
        <w:tc>
          <w:tcPr>
            <w:tcW w:w="2360" w:type="dxa"/>
            <w:vAlign w:val="bottom"/>
            <w:shd w:val="clear" w:color="auto" w:fill="CCEEFF"/>
          </w:tcPr>
          <w:p>
            <w:pPr>
              <w:ind w:left="480"/>
              <w:spacing w:after="0" w:line="148" w:lineRule="exact"/>
              <w:rPr>
                <w:sz w:val="20"/>
                <w:szCs w:val="20"/>
                <w:color w:val="auto"/>
              </w:rPr>
            </w:pPr>
            <w:r>
              <w:rPr>
                <w:rFonts w:ascii="Arial" w:cs="Arial" w:eastAsia="Arial" w:hAnsi="Arial"/>
                <w:sz w:val="13"/>
                <w:szCs w:val="13"/>
                <w:color w:val="auto"/>
              </w:rPr>
              <w:t>Richmond-Petersburg, VA</w:t>
            </w:r>
          </w:p>
        </w:tc>
        <w:tc>
          <w:tcPr>
            <w:tcW w:w="72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95,625</w:t>
            </w:r>
          </w:p>
        </w:tc>
        <w:tc>
          <w:tcPr>
            <w:tcW w:w="66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77"/>
              <w:spacing w:after="0" w:line="148" w:lineRule="exact"/>
              <w:rPr>
                <w:sz w:val="20"/>
                <w:szCs w:val="20"/>
                <w:color w:val="auto"/>
              </w:rPr>
            </w:pPr>
            <w:r>
              <w:rPr>
                <w:rFonts w:ascii="Arial" w:cs="Arial" w:eastAsia="Arial" w:hAnsi="Arial"/>
                <w:sz w:val="13"/>
                <w:szCs w:val="13"/>
                <w:color w:val="auto"/>
              </w:rPr>
              <w:t>37</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463,000</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97%</w:t>
            </w: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90"/>
              </w:rPr>
              <w:t>66,000</w:t>
            </w:r>
          </w:p>
        </w:tc>
        <w:tc>
          <w:tcPr>
            <w:tcW w:w="940" w:type="dxa"/>
            <w:vAlign w:val="bottom"/>
            <w:shd w:val="clear" w:color="auto" w:fill="CCEEFF"/>
          </w:tcPr>
          <w:p>
            <w:pPr>
              <w:ind w:left="100"/>
              <w:spacing w:after="0" w:line="148" w:lineRule="exact"/>
              <w:rPr>
                <w:sz w:val="20"/>
                <w:szCs w:val="20"/>
                <w:color w:val="auto"/>
              </w:rPr>
            </w:pPr>
            <w:r>
              <w:rPr>
                <w:rFonts w:ascii="Arial" w:cs="Arial" w:eastAsia="Arial" w:hAnsi="Arial"/>
                <w:sz w:val="13"/>
                <w:szCs w:val="13"/>
                <w:color w:val="auto"/>
              </w:rPr>
              <w:t>Kroger</w:t>
            </w:r>
          </w:p>
        </w:tc>
        <w:tc>
          <w:tcPr>
            <w:tcW w:w="226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w w:val="94"/>
              </w:rPr>
              <w:t>Old Navy / Ross Dress For Less / Gold's</w:t>
            </w:r>
          </w:p>
        </w:tc>
      </w:tr>
      <w:tr>
        <w:trPr>
          <w:trHeight w:val="176"/>
        </w:trPr>
        <w:tc>
          <w:tcPr>
            <w:tcW w:w="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360" w:type="dxa"/>
            <w:vAlign w:val="bottom"/>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Gym / DSW</w:t>
            </w:r>
          </w:p>
        </w:tc>
      </w:tr>
      <w:tr>
        <w:trPr>
          <w:trHeight w:val="167"/>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360" w:type="dxa"/>
            <w:vAlign w:val="bottom"/>
          </w:tcPr>
          <w:p>
            <w:pPr>
              <w:ind w:left="480"/>
              <w:spacing w:after="0"/>
              <w:rPr>
                <w:sz w:val="20"/>
                <w:szCs w:val="20"/>
                <w:color w:val="auto"/>
              </w:rPr>
            </w:pPr>
            <w:r>
              <w:rPr>
                <w:rFonts w:ascii="Arial" w:cs="Arial" w:eastAsia="Arial" w:hAnsi="Arial"/>
                <w:sz w:val="13"/>
                <w:szCs w:val="13"/>
                <w:b w:val="1"/>
                <w:bCs w:val="1"/>
                <w:color w:val="auto"/>
              </w:rPr>
              <w:t>Total Other</w:t>
            </w: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301,379</w:t>
            </w:r>
          </w:p>
        </w:tc>
        <w:tc>
          <w:tcPr>
            <w:tcW w:w="660" w:type="dxa"/>
            <w:vAlign w:val="bottom"/>
          </w:tcPr>
          <w:p>
            <w:pPr>
              <w:spacing w:after="0"/>
              <w:rPr>
                <w:sz w:val="14"/>
                <w:szCs w:val="14"/>
                <w:color w:val="auto"/>
              </w:rPr>
            </w:pPr>
          </w:p>
        </w:tc>
        <w:tc>
          <w:tcPr>
            <w:tcW w:w="500" w:type="dxa"/>
            <w:vAlign w:val="bottom"/>
          </w:tcPr>
          <w:p>
            <w:pPr>
              <w:jc w:val="right"/>
              <w:ind w:right="77"/>
              <w:spacing w:after="0"/>
              <w:rPr>
                <w:sz w:val="20"/>
                <w:szCs w:val="20"/>
                <w:color w:val="auto"/>
              </w:rPr>
            </w:pPr>
            <w:r>
              <w:rPr>
                <w:rFonts w:ascii="Arial" w:cs="Arial" w:eastAsia="Arial" w:hAnsi="Arial"/>
                <w:sz w:val="13"/>
                <w:szCs w:val="13"/>
                <w:color w:val="auto"/>
              </w:rPr>
              <w:t>162</w:t>
            </w:r>
          </w:p>
        </w:tc>
        <w:tc>
          <w:tcPr>
            <w:tcW w:w="10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w w:val="96"/>
              </w:rPr>
              <w:t>1,898,000</w:t>
            </w: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98%</w:t>
            </w: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60" w:type="dxa"/>
            <w:vAlign w:val="bottom"/>
          </w:tcPr>
          <w:p>
            <w:pPr>
              <w:spacing w:after="0"/>
              <w:rPr>
                <w:sz w:val="14"/>
                <w:szCs w:val="14"/>
                <w:color w:val="auto"/>
              </w:rPr>
            </w:pPr>
          </w:p>
        </w:tc>
      </w:tr>
      <w:tr>
        <w:trPr>
          <w:trHeight w:val="84"/>
        </w:trPr>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3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940" w:type="dxa"/>
            <w:vAlign w:val="bottom"/>
          </w:tcPr>
          <w:p>
            <w:pPr>
              <w:spacing w:after="0"/>
              <w:rPr>
                <w:sz w:val="7"/>
                <w:szCs w:val="7"/>
                <w:color w:val="auto"/>
              </w:rPr>
            </w:pPr>
          </w:p>
        </w:tc>
        <w:tc>
          <w:tcPr>
            <w:tcW w:w="2260" w:type="dxa"/>
            <w:vAlign w:val="bottom"/>
          </w:tcPr>
          <w:p>
            <w:pPr>
              <w:spacing w:after="0"/>
              <w:rPr>
                <w:sz w:val="7"/>
                <w:szCs w:val="7"/>
                <w:color w:val="auto"/>
              </w:rPr>
            </w:pPr>
          </w:p>
        </w:tc>
      </w:tr>
      <w:tr>
        <w:trPr>
          <w:trHeight w:val="135"/>
        </w:trPr>
        <w:tc>
          <w:tcPr>
            <w:tcW w:w="2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spacing w:after="0"/>
              <w:rPr>
                <w:sz w:val="11"/>
                <w:szCs w:val="11"/>
                <w:color w:val="auto"/>
              </w:rPr>
            </w:pPr>
          </w:p>
        </w:tc>
        <w:tc>
          <w:tcPr>
            <w:tcW w:w="236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spacing w:after="0"/>
              <w:rPr>
                <w:sz w:val="11"/>
                <w:szCs w:val="11"/>
                <w:color w:val="auto"/>
              </w:rPr>
            </w:pPr>
          </w:p>
        </w:tc>
        <w:tc>
          <w:tcPr>
            <w:tcW w:w="940" w:type="dxa"/>
            <w:vAlign w:val="bottom"/>
            <w:tcBorders>
              <w:bottom w:val="single" w:sz="8" w:color="auto"/>
            </w:tcBorders>
            <w:shd w:val="clear" w:color="auto" w:fill="CCEEFF"/>
          </w:tcPr>
          <w:p>
            <w:pPr>
              <w:spacing w:after="0"/>
              <w:rPr>
                <w:sz w:val="11"/>
                <w:szCs w:val="11"/>
                <w:color w:val="auto"/>
              </w:rPr>
            </w:pPr>
          </w:p>
        </w:tc>
        <w:tc>
          <w:tcPr>
            <w:tcW w:w="2260" w:type="dxa"/>
            <w:vAlign w:val="bottom"/>
            <w:tcBorders>
              <w:bottom w:val="single" w:sz="8" w:color="auto"/>
            </w:tcBorders>
            <w:shd w:val="clear" w:color="auto" w:fill="CCEEFF"/>
          </w:tcPr>
          <w:p>
            <w:pPr>
              <w:spacing w:after="0"/>
              <w:rPr>
                <w:sz w:val="11"/>
                <w:szCs w:val="11"/>
                <w:color w:val="auto"/>
              </w:rPr>
            </w:pPr>
          </w:p>
        </w:tc>
      </w:tr>
      <w:tr>
        <w:trPr>
          <w:trHeight w:val="167"/>
        </w:trPr>
        <w:tc>
          <w:tcPr>
            <w:tcW w:w="1180" w:type="dxa"/>
            <w:vAlign w:val="bottom"/>
            <w:gridSpan w:val="4"/>
          </w:tcPr>
          <w:p>
            <w:pPr>
              <w:ind w:left="20"/>
              <w:spacing w:after="0"/>
              <w:rPr>
                <w:sz w:val="20"/>
                <w:szCs w:val="20"/>
                <w:color w:val="auto"/>
              </w:rPr>
            </w:pPr>
            <w:r>
              <w:rPr>
                <w:rFonts w:ascii="Arial" w:cs="Arial" w:eastAsia="Arial" w:hAnsi="Arial"/>
                <w:sz w:val="13"/>
                <w:szCs w:val="13"/>
                <w:b w:val="1"/>
                <w:bCs w:val="1"/>
                <w:color w:val="auto"/>
              </w:rPr>
              <w:t>Grand Total</w:t>
            </w:r>
          </w:p>
        </w:tc>
        <w:tc>
          <w:tcPr>
            <w:tcW w:w="2360" w:type="dxa"/>
            <w:vAlign w:val="bottom"/>
          </w:tcPr>
          <w:p>
            <w:pPr>
              <w:spacing w:after="0"/>
              <w:rPr>
                <w:sz w:val="14"/>
                <w:szCs w:val="14"/>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b w:val="1"/>
                <w:bCs w:val="1"/>
                <w:color w:val="auto"/>
                <w:w w:val="84"/>
              </w:rPr>
              <w:t>$ 7,528,610</w:t>
            </w:r>
          </w:p>
        </w:tc>
        <w:tc>
          <w:tcPr>
            <w:tcW w:w="660" w:type="dxa"/>
            <w:vAlign w:val="bottom"/>
          </w:tcPr>
          <w:p>
            <w:pPr>
              <w:jc w:val="right"/>
              <w:ind w:right="39"/>
              <w:spacing w:after="0"/>
              <w:rPr>
                <w:sz w:val="20"/>
                <w:szCs w:val="20"/>
                <w:color w:val="auto"/>
              </w:rPr>
            </w:pPr>
            <w:r>
              <w:rPr>
                <w:rFonts w:ascii="Arial" w:cs="Arial" w:eastAsia="Arial" w:hAnsi="Arial"/>
                <w:sz w:val="13"/>
                <w:szCs w:val="13"/>
                <w:b w:val="1"/>
                <w:bCs w:val="1"/>
                <w:color w:val="auto"/>
                <w:w w:val="93"/>
              </w:rPr>
              <w:t>$ 564,574</w:t>
            </w:r>
          </w:p>
        </w:tc>
        <w:tc>
          <w:tcPr>
            <w:tcW w:w="500" w:type="dxa"/>
            <w:vAlign w:val="bottom"/>
          </w:tcPr>
          <w:p>
            <w:pPr>
              <w:jc w:val="right"/>
              <w:ind w:right="77"/>
              <w:spacing w:after="0"/>
              <w:rPr>
                <w:sz w:val="20"/>
                <w:szCs w:val="20"/>
                <w:color w:val="auto"/>
              </w:rPr>
            </w:pPr>
            <w:r>
              <w:rPr>
                <w:rFonts w:ascii="Arial" w:cs="Arial" w:eastAsia="Arial" w:hAnsi="Arial"/>
                <w:sz w:val="13"/>
                <w:szCs w:val="13"/>
                <w:b w:val="1"/>
                <w:bCs w:val="1"/>
                <w:color w:val="auto"/>
              </w:rPr>
              <w:t>1,966</w:t>
            </w:r>
          </w:p>
        </w:tc>
        <w:tc>
          <w:tcPr>
            <w:tcW w:w="10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b w:val="1"/>
                <w:bCs w:val="1"/>
                <w:color w:val="auto"/>
                <w:w w:val="86"/>
              </w:rPr>
              <w:t>24,063,000</w:t>
            </w: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b w:val="1"/>
                <w:bCs w:val="1"/>
                <w:color w:val="auto"/>
              </w:rPr>
              <w:t>95%</w:t>
            </w:r>
          </w:p>
        </w:tc>
        <w:tc>
          <w:tcPr>
            <w:tcW w:w="680" w:type="dxa"/>
            <w:vAlign w:val="bottom"/>
          </w:tcPr>
          <w:p>
            <w:pPr>
              <w:jc w:val="right"/>
              <w:ind w:right="57"/>
              <w:spacing w:after="0"/>
              <w:rPr>
                <w:sz w:val="20"/>
                <w:szCs w:val="20"/>
                <w:color w:val="auto"/>
              </w:rPr>
            </w:pPr>
            <w:r>
              <w:rPr>
                <w:rFonts w:ascii="Arial" w:cs="Arial" w:eastAsia="Arial" w:hAnsi="Arial"/>
                <w:sz w:val="13"/>
                <w:szCs w:val="13"/>
                <w:b w:val="1"/>
                <w:bCs w:val="1"/>
                <w:color w:val="auto"/>
              </w:rPr>
              <w:t>2,052</w:t>
            </w: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60" w:type="dxa"/>
            <w:vAlign w:val="bottom"/>
          </w:tcPr>
          <w:p>
            <w:pPr>
              <w:spacing w:after="0"/>
              <w:rPr>
                <w:sz w:val="14"/>
                <w:szCs w:val="14"/>
                <w:color w:val="auto"/>
              </w:rPr>
            </w:pPr>
          </w:p>
        </w:tc>
      </w:tr>
      <w:tr>
        <w:trPr>
          <w:trHeight w:val="97"/>
        </w:trPr>
        <w:tc>
          <w:tcPr>
            <w:tcW w:w="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3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260" w:type="dxa"/>
            <w:vAlign w:val="bottom"/>
            <w:tcBorders>
              <w:bottom w:val="single" w:sz="8" w:color="auto"/>
            </w:tcBorders>
          </w:tcPr>
          <w:p>
            <w:pPr>
              <w:spacing w:after="0"/>
              <w:rPr>
                <w:sz w:val="8"/>
                <w:szCs w:val="8"/>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Notes:</w:t>
      </w:r>
    </w:p>
    <w:p>
      <w:pPr>
        <w:spacing w:after="0" w:line="50" w:lineRule="exact"/>
        <w:rPr>
          <w:sz w:val="20"/>
          <w:szCs w:val="20"/>
          <w:color w:val="auto"/>
        </w:rPr>
      </w:pPr>
    </w:p>
    <w:p>
      <w:pPr>
        <w:ind w:left="580" w:right="80" w:hanging="571"/>
        <w:spacing w:after="0" w:line="239" w:lineRule="auto"/>
        <w:tabs>
          <w:tab w:leader="none" w:pos="5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mortgage or capital lease obligations differ from the total reported on the consolidated balance sheet due to the unamortized discount, premium, and/or debt issuance costs on certain mortgages payable.</w:t>
      </w:r>
    </w:p>
    <w:p>
      <w:pPr>
        <w:spacing w:after="0" w:line="30" w:lineRule="exact"/>
        <w:rPr>
          <w:rFonts w:ascii="Arial" w:cs="Arial" w:eastAsia="Arial" w:hAnsi="Arial"/>
          <w:sz w:val="14"/>
          <w:szCs w:val="14"/>
          <w:color w:val="auto"/>
        </w:rPr>
      </w:pPr>
    </w:p>
    <w:p>
      <w:pPr>
        <w:ind w:left="580" w:right="400" w:hanging="571"/>
        <w:spacing w:after="0" w:line="239" w:lineRule="auto"/>
        <w:tabs>
          <w:tab w:leader="none" w:pos="5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Represents the GLA and the percentage leased of the commercial portion of the property. Some of our properties include office space which is included in this square footage. Excludes newly created redevelopment square footage not yet in service, as well as residential and hotel square footage.</w:t>
      </w:r>
    </w:p>
    <w:p>
      <w:pPr>
        <w:spacing w:after="0" w:line="30" w:lineRule="exact"/>
        <w:rPr>
          <w:rFonts w:ascii="Arial" w:cs="Arial" w:eastAsia="Arial" w:hAnsi="Arial"/>
          <w:sz w:val="14"/>
          <w:szCs w:val="14"/>
          <w:color w:val="auto"/>
        </w:rPr>
      </w:pPr>
    </w:p>
    <w:p>
      <w:pPr>
        <w:ind w:left="580" w:hanging="571"/>
        <w:spacing w:after="0"/>
        <w:tabs>
          <w:tab w:leader="none" w:pos="5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Trust has a controlling financial interest in this property.</w:t>
      </w:r>
    </w:p>
    <w:p>
      <w:pPr>
        <w:spacing w:after="0" w:line="41" w:lineRule="exact"/>
        <w:rPr>
          <w:rFonts w:ascii="Arial" w:cs="Arial" w:eastAsia="Arial" w:hAnsi="Arial"/>
          <w:sz w:val="14"/>
          <w:szCs w:val="14"/>
          <w:color w:val="auto"/>
        </w:rPr>
      </w:pPr>
    </w:p>
    <w:p>
      <w:pPr>
        <w:ind w:left="580" w:hanging="571"/>
        <w:spacing w:after="0"/>
        <w:tabs>
          <w:tab w:leader="none" w:pos="5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Portion of property is currently under development. See further discussion in the Assembly Row and Pike &amp; Rose schedules.</w:t>
      </w:r>
    </w:p>
    <w:p>
      <w:pPr>
        <w:spacing w:after="0" w:line="41" w:lineRule="exact"/>
        <w:rPr>
          <w:rFonts w:ascii="Arial" w:cs="Arial" w:eastAsia="Arial" w:hAnsi="Arial"/>
          <w:sz w:val="14"/>
          <w:szCs w:val="14"/>
          <w:color w:val="auto"/>
        </w:rPr>
      </w:pPr>
    </w:p>
    <w:p>
      <w:pPr>
        <w:ind w:left="580" w:right="420" w:hanging="571"/>
        <w:spacing w:after="0" w:line="239" w:lineRule="auto"/>
        <w:tabs>
          <w:tab w:leader="none" w:pos="5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All or a portion of the property is owned in a "downREIT" partnership, of which a wholly owned subsidiary of the Trust is the sole general partner, with third party partners holding operating partnership units.</w:t>
      </w:r>
    </w:p>
    <w:p>
      <w:pPr>
        <w:spacing w:after="0" w:line="30" w:lineRule="exact"/>
        <w:rPr>
          <w:rFonts w:ascii="Arial" w:cs="Arial" w:eastAsia="Arial" w:hAnsi="Arial"/>
          <w:sz w:val="14"/>
          <w:szCs w:val="14"/>
          <w:color w:val="auto"/>
        </w:rPr>
      </w:pPr>
    </w:p>
    <w:p>
      <w:pPr>
        <w:ind w:left="580" w:hanging="571"/>
        <w:spacing w:after="0"/>
        <w:tabs>
          <w:tab w:leader="none" w:pos="5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All or a portion of property subject to capital lease obligation.</w:t>
      </w:r>
    </w:p>
    <w:p>
      <w:pPr>
        <w:spacing w:after="0" w:line="41" w:lineRule="exact"/>
        <w:rPr>
          <w:rFonts w:ascii="Arial" w:cs="Arial" w:eastAsia="Arial" w:hAnsi="Arial"/>
          <w:sz w:val="14"/>
          <w:szCs w:val="14"/>
          <w:color w:val="auto"/>
        </w:rPr>
      </w:pPr>
    </w:p>
    <w:p>
      <w:pPr>
        <w:ind w:left="580" w:hanging="571"/>
        <w:spacing w:after="0"/>
        <w:tabs>
          <w:tab w:leader="none" w:pos="5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This property includes interests in five buildings in addition to our initial acquisition.</w:t>
      </w:r>
    </w:p>
    <w:p>
      <w:pPr>
        <w:spacing w:after="0" w:line="41" w:lineRule="exact"/>
        <w:rPr>
          <w:rFonts w:ascii="Arial" w:cs="Arial" w:eastAsia="Arial" w:hAnsi="Arial"/>
          <w:sz w:val="14"/>
          <w:szCs w:val="14"/>
          <w:color w:val="auto"/>
        </w:rPr>
      </w:pPr>
    </w:p>
    <w:p>
      <w:pPr>
        <w:ind w:left="580" w:hanging="571"/>
        <w:spacing w:after="0"/>
        <w:tabs>
          <w:tab w:leader="none" w:pos="5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Property under redevelopment; see further discussion on page 21.</w:t>
      </w:r>
    </w:p>
    <w:p>
      <w:pPr>
        <w:spacing w:after="0" w:line="200" w:lineRule="exact"/>
        <w:rPr>
          <w:sz w:val="20"/>
          <w:szCs w:val="20"/>
          <w:color w:val="auto"/>
        </w:rPr>
      </w:pPr>
    </w:p>
    <w:p>
      <w:pPr>
        <w:spacing w:after="0" w:line="2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80"/>
          </w:cols>
          <w:pgMar w:left="320" w:top="747" w:right="299" w:bottom="1440" w:gutter="0" w:footer="0" w:header="0"/>
        </w:sectPr>
      </w:pPr>
    </w:p>
    <w:bookmarkStart w:id="30" w:name="page31"/>
    <w:bookmarkEnd w:id="30"/>
    <w:p>
      <w:pPr>
        <w:ind w:left="20"/>
        <w:spacing w:after="0"/>
        <w:rPr>
          <w:sz w:val="20"/>
          <w:szCs w:val="20"/>
          <w:color w:val="auto"/>
        </w:rPr>
      </w:pPr>
      <w:r>
        <w:rPr>
          <w:rFonts w:ascii="Arial" w:cs="Arial" w:eastAsia="Arial" w:hAnsi="Arial"/>
          <w:sz w:val="16"/>
          <w:szCs w:val="16"/>
          <w:b w:val="1"/>
          <w:bCs w:val="1"/>
          <w:color w:val="auto"/>
        </w:rPr>
        <w:t>Federal Realty Investment Trust</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Retail Leasing Summary (1)</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September 30, 2017</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4"/>
          <w:szCs w:val="14"/>
          <w:b w:val="1"/>
          <w:bCs w:val="1"/>
          <w:u w:val="single" w:color="auto"/>
          <w:color w:val="auto"/>
        </w:rPr>
        <w:t>Total Lease Summary - Comparable (2)</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90"/>
              </w:rPr>
              <w:t>Straight-lined</w:t>
            </w:r>
          </w:p>
        </w:tc>
        <w:tc>
          <w:tcPr>
            <w:tcW w:w="7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4"/>
              </w:rPr>
              <w:t>Weighted</w:t>
            </w: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jc w:val="center"/>
              <w:ind w:right="15"/>
              <w:spacing w:after="0"/>
              <w:rPr>
                <w:sz w:val="20"/>
                <w:szCs w:val="20"/>
                <w:color w:val="auto"/>
              </w:rPr>
            </w:pPr>
            <w:r>
              <w:rPr>
                <w:rFonts w:ascii="Arial" w:cs="Arial" w:eastAsia="Arial" w:hAnsi="Arial"/>
                <w:sz w:val="11"/>
                <w:szCs w:val="11"/>
                <w:b w:val="1"/>
                <w:bCs w:val="1"/>
                <w:color w:val="auto"/>
                <w:w w:val="88"/>
              </w:rPr>
              <w:t>Tenant</w:t>
            </w:r>
          </w:p>
        </w:tc>
        <w:tc>
          <w:tcPr>
            <w:tcW w:w="36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Number of</w:t>
            </w:r>
          </w:p>
        </w:tc>
        <w:tc>
          <w:tcPr>
            <w:tcW w:w="98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94"/>
              </w:rPr>
              <w:t>% of</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tcPr>
          <w:p>
            <w:pPr>
              <w:jc w:val="right"/>
              <w:ind w:right="220"/>
              <w:spacing w:after="0" w:line="122" w:lineRule="exact"/>
              <w:rPr>
                <w:sz w:val="20"/>
                <w:szCs w:val="20"/>
                <w:color w:val="auto"/>
              </w:rPr>
            </w:pPr>
            <w:r>
              <w:rPr>
                <w:rFonts w:ascii="Arial" w:cs="Arial" w:eastAsia="Arial" w:hAnsi="Arial"/>
                <w:sz w:val="11"/>
                <w:szCs w:val="11"/>
                <w:b w:val="1"/>
                <w:bCs w:val="1"/>
                <w:color w:val="auto"/>
                <w:w w:val="91"/>
              </w:rPr>
              <w:t>Contractual</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3"/>
              </w:rPr>
              <w:t>Prior Rent</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8"/>
              </w:rPr>
              <w:t>Cash Basis %</w:t>
            </w:r>
          </w:p>
        </w:tc>
        <w:tc>
          <w:tcPr>
            <w:tcW w:w="120" w:type="dxa"/>
            <w:vAlign w:val="bottom"/>
          </w:tcPr>
          <w:p>
            <w:pPr>
              <w:spacing w:after="0"/>
              <w:rPr>
                <w:sz w:val="10"/>
                <w:szCs w:val="10"/>
                <w:color w:val="auto"/>
              </w:rPr>
            </w:pPr>
          </w:p>
        </w:tc>
        <w:tc>
          <w:tcPr>
            <w:tcW w:w="82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9"/>
              </w:rPr>
              <w:t>Basis %</w:t>
            </w: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7"/>
              </w:rPr>
              <w:t>Average</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8"/>
              </w:rPr>
              <w:t>Tenant</w:t>
            </w:r>
          </w:p>
        </w:tc>
        <w:tc>
          <w:tcPr>
            <w:tcW w:w="100" w:type="dxa"/>
            <w:vAlign w:val="bottom"/>
          </w:tcPr>
          <w:p>
            <w:pPr>
              <w:spacing w:after="0"/>
              <w:rPr>
                <w:sz w:val="10"/>
                <w:szCs w:val="10"/>
                <w:color w:val="auto"/>
              </w:rPr>
            </w:pPr>
          </w:p>
        </w:tc>
        <w:tc>
          <w:tcPr>
            <w:tcW w:w="880" w:type="dxa"/>
            <w:vAlign w:val="bottom"/>
          </w:tcPr>
          <w:p>
            <w:pPr>
              <w:jc w:val="center"/>
              <w:ind w:right="15"/>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36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0"/>
              </w:rPr>
              <w:t>Leases</w:t>
            </w:r>
          </w:p>
        </w:tc>
        <w:tc>
          <w:tcPr>
            <w:tcW w:w="98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Comparable</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tcPr>
          <w:p>
            <w:pPr>
              <w:jc w:val="right"/>
              <w:ind w:right="220"/>
              <w:spacing w:after="0" w:line="122" w:lineRule="exact"/>
              <w:rPr>
                <w:sz w:val="20"/>
                <w:szCs w:val="20"/>
                <w:color w:val="auto"/>
              </w:rPr>
            </w:pPr>
            <w:r>
              <w:rPr>
                <w:rFonts w:ascii="Arial" w:cs="Arial" w:eastAsia="Arial" w:hAnsi="Arial"/>
                <w:sz w:val="11"/>
                <w:szCs w:val="11"/>
                <w:b w:val="1"/>
                <w:bCs w:val="1"/>
                <w:color w:val="auto"/>
                <w:w w:val="90"/>
              </w:rPr>
              <w:t>Rent (3) Per</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(4) Per Sq.</w:t>
            </w:r>
          </w:p>
        </w:tc>
        <w:tc>
          <w:tcPr>
            <w:tcW w:w="8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9"/>
              </w:rPr>
              <w:t>Annual Increase</w:t>
            </w:r>
          </w:p>
        </w:tc>
        <w:tc>
          <w:tcPr>
            <w:tcW w:w="120" w:type="dxa"/>
            <w:vAlign w:val="bottom"/>
          </w:tcPr>
          <w:p>
            <w:pPr>
              <w:spacing w:after="0"/>
              <w:rPr>
                <w:sz w:val="10"/>
                <w:szCs w:val="10"/>
                <w:color w:val="auto"/>
              </w:rPr>
            </w:pPr>
          </w:p>
        </w:tc>
        <w:tc>
          <w:tcPr>
            <w:tcW w:w="82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Increase Over</w:t>
            </w:r>
          </w:p>
        </w:tc>
        <w:tc>
          <w:tcPr>
            <w:tcW w:w="94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Increase Over</w:t>
            </w: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Lease Term</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9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8"/>
              </w:rPr>
              <w:t>Incentives Per Sq.</w:t>
            </w:r>
          </w:p>
        </w:tc>
        <w:tc>
          <w:tcPr>
            <w:tcW w:w="360" w:type="dxa"/>
            <w:vAlign w:val="bottom"/>
          </w:tcPr>
          <w:p>
            <w:pPr>
              <w:spacing w:after="0"/>
              <w:rPr>
                <w:sz w:val="10"/>
                <w:szCs w:val="10"/>
                <w:color w:val="auto"/>
              </w:rPr>
            </w:pPr>
          </w:p>
        </w:tc>
      </w:tr>
      <w:tr>
        <w:trPr>
          <w:trHeight w:val="140"/>
        </w:trPr>
        <w:tc>
          <w:tcPr>
            <w:tcW w:w="20" w:type="dxa"/>
            <w:vAlign w:val="bottom"/>
          </w:tcPr>
          <w:p>
            <w:pPr>
              <w:spacing w:after="0"/>
              <w:rPr>
                <w:sz w:val="12"/>
                <w:szCs w:val="12"/>
                <w:color w:val="auto"/>
              </w:rPr>
            </w:pPr>
          </w:p>
        </w:tc>
        <w:tc>
          <w:tcPr>
            <w:tcW w:w="1240" w:type="dxa"/>
            <w:vAlign w:val="bottom"/>
          </w:tcPr>
          <w:p>
            <w:pPr>
              <w:jc w:val="right"/>
              <w:ind w:right="371"/>
              <w:spacing w:after="0"/>
              <w:rPr>
                <w:sz w:val="20"/>
                <w:szCs w:val="20"/>
                <w:color w:val="auto"/>
              </w:rPr>
            </w:pPr>
            <w:r>
              <w:rPr>
                <w:rFonts w:ascii="Arial" w:cs="Arial" w:eastAsia="Arial" w:hAnsi="Arial"/>
                <w:sz w:val="11"/>
                <w:szCs w:val="11"/>
                <w:b w:val="1"/>
                <w:bCs w:val="1"/>
                <w:color w:val="auto"/>
              </w:rPr>
              <w:t>Quarter</w:t>
            </w:r>
          </w:p>
        </w:tc>
        <w:tc>
          <w:tcPr>
            <w:tcW w:w="7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1"/>
              </w:rPr>
              <w:t>Signed</w:t>
            </w:r>
          </w:p>
        </w:tc>
        <w:tc>
          <w:tcPr>
            <w:tcW w:w="980" w:type="dxa"/>
            <w:vAlign w:val="bottom"/>
            <w:gridSpan w:val="4"/>
          </w:tcPr>
          <w:p>
            <w:pPr>
              <w:jc w:val="center"/>
              <w:ind w:right="140"/>
              <w:spacing w:after="0"/>
              <w:rPr>
                <w:sz w:val="20"/>
                <w:szCs w:val="20"/>
                <w:color w:val="auto"/>
              </w:rPr>
            </w:pPr>
            <w:r>
              <w:rPr>
                <w:rFonts w:ascii="Arial" w:cs="Arial" w:eastAsia="Arial" w:hAnsi="Arial"/>
                <w:sz w:val="11"/>
                <w:szCs w:val="11"/>
                <w:b w:val="1"/>
                <w:bCs w:val="1"/>
                <w:color w:val="auto"/>
                <w:w w:val="83"/>
              </w:rPr>
              <w:t>Leases Signed</w:t>
            </w:r>
          </w:p>
        </w:tc>
        <w:tc>
          <w:tcPr>
            <w:tcW w:w="880" w:type="dxa"/>
            <w:vAlign w:val="bottom"/>
            <w:gridSpan w:val="2"/>
          </w:tcPr>
          <w:p>
            <w:pPr>
              <w:ind w:left="100"/>
              <w:spacing w:after="0"/>
              <w:rPr>
                <w:sz w:val="20"/>
                <w:szCs w:val="20"/>
                <w:color w:val="auto"/>
              </w:rPr>
            </w:pPr>
            <w:r>
              <w:rPr>
                <w:rFonts w:ascii="Arial" w:cs="Arial" w:eastAsia="Arial" w:hAnsi="Arial"/>
                <w:sz w:val="11"/>
                <w:szCs w:val="11"/>
                <w:b w:val="1"/>
                <w:bCs w:val="1"/>
                <w:color w:val="auto"/>
              </w:rPr>
              <w:t>GLA Signed</w:t>
            </w:r>
          </w:p>
        </w:tc>
        <w:tc>
          <w:tcPr>
            <w:tcW w:w="100" w:type="dxa"/>
            <w:vAlign w:val="bottom"/>
          </w:tcPr>
          <w:p>
            <w:pPr>
              <w:spacing w:after="0"/>
              <w:rPr>
                <w:sz w:val="12"/>
                <w:szCs w:val="12"/>
                <w:color w:val="auto"/>
              </w:rPr>
            </w:pPr>
          </w:p>
        </w:tc>
        <w:tc>
          <w:tcPr>
            <w:tcW w:w="800" w:type="dxa"/>
            <w:vAlign w:val="bottom"/>
            <w:gridSpan w:val="3"/>
          </w:tcPr>
          <w:p>
            <w:pPr>
              <w:ind w:left="140"/>
              <w:spacing w:after="0"/>
              <w:rPr>
                <w:sz w:val="20"/>
                <w:szCs w:val="20"/>
                <w:color w:val="auto"/>
              </w:rPr>
            </w:pPr>
            <w:r>
              <w:rPr>
                <w:rFonts w:ascii="Arial" w:cs="Arial" w:eastAsia="Arial" w:hAnsi="Arial"/>
                <w:sz w:val="11"/>
                <w:szCs w:val="11"/>
                <w:b w:val="1"/>
                <w:bCs w:val="1"/>
                <w:color w:val="auto"/>
              </w:rPr>
              <w:t>Sq. Ft.</w:t>
            </w:r>
          </w:p>
        </w:tc>
        <w:tc>
          <w:tcPr>
            <w:tcW w:w="6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Ft.</w:t>
            </w:r>
          </w:p>
        </w:tc>
        <w:tc>
          <w:tcPr>
            <w:tcW w:w="140" w:type="dxa"/>
            <w:vAlign w:val="bottom"/>
          </w:tcPr>
          <w:p>
            <w:pPr>
              <w:spacing w:after="0"/>
              <w:rPr>
                <w:sz w:val="12"/>
                <w:szCs w:val="12"/>
                <w:color w:val="auto"/>
              </w:rPr>
            </w:pPr>
          </w:p>
        </w:tc>
        <w:tc>
          <w:tcPr>
            <w:tcW w:w="740" w:type="dxa"/>
            <w:vAlign w:val="bottom"/>
          </w:tcPr>
          <w:p>
            <w:pPr>
              <w:jc w:val="center"/>
              <w:ind w:right="52"/>
              <w:spacing w:after="0"/>
              <w:rPr>
                <w:sz w:val="20"/>
                <w:szCs w:val="20"/>
                <w:color w:val="auto"/>
              </w:rPr>
            </w:pPr>
            <w:r>
              <w:rPr>
                <w:rFonts w:ascii="Arial" w:cs="Arial" w:eastAsia="Arial" w:hAnsi="Arial"/>
                <w:sz w:val="11"/>
                <w:szCs w:val="11"/>
                <w:b w:val="1"/>
                <w:bCs w:val="1"/>
                <w:color w:val="auto"/>
                <w:w w:val="91"/>
              </w:rPr>
              <w:t>in Rent</w:t>
            </w:r>
          </w:p>
        </w:tc>
        <w:tc>
          <w:tcPr>
            <w:tcW w:w="120" w:type="dxa"/>
            <w:vAlign w:val="bottom"/>
          </w:tcPr>
          <w:p>
            <w:pPr>
              <w:spacing w:after="0"/>
              <w:rPr>
                <w:sz w:val="12"/>
                <w:szCs w:val="12"/>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3"/>
              </w:rPr>
              <w:t>Prior Rent</w:t>
            </w:r>
          </w:p>
        </w:tc>
        <w:tc>
          <w:tcPr>
            <w:tcW w:w="120" w:type="dxa"/>
            <w:vAlign w:val="bottom"/>
          </w:tcPr>
          <w:p>
            <w:pPr>
              <w:spacing w:after="0"/>
              <w:rPr>
                <w:sz w:val="12"/>
                <w:szCs w:val="12"/>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3"/>
              </w:rPr>
              <w:t>Prior Rent</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rPr>
              <w:t>(5)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8"/>
              </w:rPr>
              <w:t>Incentives (6)</w:t>
            </w:r>
          </w:p>
        </w:tc>
        <w:tc>
          <w:tcPr>
            <w:tcW w:w="100" w:type="dxa"/>
            <w:vAlign w:val="bottom"/>
          </w:tcPr>
          <w:p>
            <w:pPr>
              <w:spacing w:after="0"/>
              <w:rPr>
                <w:sz w:val="12"/>
                <w:szCs w:val="12"/>
                <w:color w:val="auto"/>
              </w:rPr>
            </w:pPr>
          </w:p>
        </w:tc>
        <w:tc>
          <w:tcPr>
            <w:tcW w:w="880" w:type="dxa"/>
            <w:vAlign w:val="bottom"/>
          </w:tcPr>
          <w:p>
            <w:pPr>
              <w:jc w:val="center"/>
              <w:ind w:right="15"/>
              <w:spacing w:after="0"/>
              <w:rPr>
                <w:sz w:val="20"/>
                <w:szCs w:val="20"/>
                <w:color w:val="auto"/>
              </w:rPr>
            </w:pPr>
            <w:r>
              <w:rPr>
                <w:rFonts w:ascii="Arial" w:cs="Arial" w:eastAsia="Arial" w:hAnsi="Arial"/>
                <w:sz w:val="11"/>
                <w:szCs w:val="11"/>
                <w:b w:val="1"/>
                <w:bCs w:val="1"/>
                <w:color w:val="auto"/>
                <w:w w:val="88"/>
              </w:rPr>
              <w:t>Ft.</w:t>
            </w:r>
          </w:p>
        </w:tc>
        <w:tc>
          <w:tcPr>
            <w:tcW w:w="360" w:type="dxa"/>
            <w:vAlign w:val="bottom"/>
          </w:tcPr>
          <w:p>
            <w:pPr>
              <w:spacing w:after="0"/>
              <w:rPr>
                <w:sz w:val="12"/>
                <w:szCs w:val="12"/>
                <w:color w:val="auto"/>
              </w:rPr>
            </w:pP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3rd Quarter 2017</w:t>
            </w:r>
          </w:p>
        </w:tc>
        <w:tc>
          <w:tcPr>
            <w:tcW w:w="5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82</w:t>
            </w: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100%</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399,619</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38.24</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$ 33.43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w w:val="99"/>
              </w:rPr>
              <w:t>1,922,439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7.4</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10,411,714</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26.05</w:t>
            </w:r>
          </w:p>
        </w:tc>
        <w:tc>
          <w:tcPr>
            <w:tcW w:w="360" w:type="dxa"/>
            <w:vAlign w:val="bottom"/>
            <w:shd w:val="clear" w:color="auto" w:fill="CCEEFF"/>
          </w:tcPr>
          <w:p>
            <w:pPr>
              <w:spacing w:after="0"/>
              <w:rPr>
                <w:sz w:val="21"/>
                <w:szCs w:val="21"/>
                <w:color w:val="auto"/>
              </w:rPr>
            </w:pPr>
          </w:p>
        </w:tc>
      </w:tr>
      <w:tr>
        <w:trPr>
          <w:trHeight w:val="264"/>
        </w:trPr>
        <w:tc>
          <w:tcPr>
            <w:tcW w:w="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2nd Quarter 2017</w:t>
            </w:r>
          </w:p>
        </w:tc>
        <w:tc>
          <w:tcPr>
            <w:tcW w:w="580" w:type="dxa"/>
            <w:vAlign w:val="bottom"/>
          </w:tcPr>
          <w:p>
            <w:pPr>
              <w:jc w:val="right"/>
              <w:ind w:right="55"/>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100%</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jc w:val="right"/>
              <w:ind w:right="51"/>
              <w:spacing w:after="0"/>
              <w:rPr>
                <w:sz w:val="20"/>
                <w:szCs w:val="20"/>
                <w:color w:val="auto"/>
              </w:rPr>
            </w:pPr>
            <w:r>
              <w:rPr>
                <w:rFonts w:ascii="Arial" w:cs="Arial" w:eastAsia="Arial" w:hAnsi="Arial"/>
                <w:sz w:val="14"/>
                <w:szCs w:val="14"/>
                <w:color w:val="auto"/>
              </w:rPr>
              <w:t>397,555</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45.55</w:t>
            </w:r>
          </w:p>
        </w:tc>
        <w:tc>
          <w:tcPr>
            <w:tcW w:w="120" w:type="dxa"/>
            <w:vAlign w:val="bottom"/>
          </w:tcPr>
          <w:p>
            <w:pPr>
              <w:spacing w:after="0"/>
              <w:rPr>
                <w:sz w:val="22"/>
                <w:szCs w:val="22"/>
                <w:color w:val="auto"/>
              </w:rPr>
            </w:pPr>
          </w:p>
        </w:tc>
        <w:tc>
          <w:tcPr>
            <w:tcW w:w="540" w:type="dxa"/>
            <w:vAlign w:val="bottom"/>
          </w:tcPr>
          <w:p>
            <w:pPr>
              <w:jc w:val="right"/>
              <w:ind w:right="35"/>
              <w:spacing w:after="0"/>
              <w:rPr>
                <w:sz w:val="20"/>
                <w:szCs w:val="20"/>
                <w:color w:val="auto"/>
              </w:rPr>
            </w:pPr>
            <w:r>
              <w:rPr>
                <w:rFonts w:ascii="Arial" w:cs="Arial" w:eastAsia="Arial" w:hAnsi="Arial"/>
                <w:sz w:val="14"/>
                <w:szCs w:val="14"/>
                <w:color w:val="auto"/>
                <w:w w:val="89"/>
              </w:rPr>
              <w:t>$ 40.16</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w w:val="99"/>
              </w:rPr>
              <w:t>2,144,347</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22"/>
                <w:szCs w:val="22"/>
                <w:color w:val="auto"/>
              </w:rPr>
            </w:pPr>
          </w:p>
        </w:tc>
        <w:tc>
          <w:tcPr>
            <w:tcW w:w="660" w:type="dxa"/>
            <w:vAlign w:val="bottom"/>
          </w:tcPr>
          <w:p>
            <w:pPr>
              <w:jc w:val="right"/>
              <w:ind w:right="36"/>
              <w:spacing w:after="0"/>
              <w:rPr>
                <w:sz w:val="20"/>
                <w:szCs w:val="20"/>
                <w:color w:val="auto"/>
              </w:rPr>
            </w:pPr>
            <w:r>
              <w:rPr>
                <w:rFonts w:ascii="Arial" w:cs="Arial" w:eastAsia="Arial" w:hAnsi="Arial"/>
                <w:sz w:val="14"/>
                <w:szCs w:val="14"/>
                <w:color w:val="auto"/>
              </w:rPr>
              <w:t>9.6</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18,524,282</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5"/>
              <w:spacing w:after="0"/>
              <w:rPr>
                <w:sz w:val="20"/>
                <w:szCs w:val="20"/>
                <w:color w:val="auto"/>
              </w:rPr>
            </w:pPr>
            <w:r>
              <w:rPr>
                <w:rFonts w:ascii="Arial" w:cs="Arial" w:eastAsia="Arial" w:hAnsi="Arial"/>
                <w:sz w:val="14"/>
                <w:szCs w:val="14"/>
                <w:color w:val="auto"/>
              </w:rPr>
              <w:t>46.60</w:t>
            </w:r>
          </w:p>
        </w:tc>
        <w:tc>
          <w:tcPr>
            <w:tcW w:w="360" w:type="dxa"/>
            <w:vAlign w:val="bottom"/>
          </w:tcPr>
          <w:p>
            <w:pPr>
              <w:spacing w:after="0"/>
              <w:rPr>
                <w:sz w:val="22"/>
                <w:szCs w:val="22"/>
                <w:color w:val="auto"/>
              </w:rPr>
            </w:pPr>
          </w:p>
        </w:tc>
      </w:tr>
      <w:tr>
        <w:trPr>
          <w:trHeight w:val="276"/>
        </w:trPr>
        <w:tc>
          <w:tcPr>
            <w:tcW w:w="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1st Quarter 2017</w:t>
            </w:r>
          </w:p>
        </w:tc>
        <w:tc>
          <w:tcPr>
            <w:tcW w:w="5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102</w:t>
            </w: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100%</w:t>
            </w: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523,869</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34.91</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$ 31.31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w w:val="99"/>
              </w:rPr>
              <w:t>1,884,636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8.1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19,672,170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37.55</w:t>
            </w:r>
          </w:p>
        </w:tc>
        <w:tc>
          <w:tcPr>
            <w:tcW w:w="3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w:t>
            </w:r>
          </w:p>
        </w:tc>
      </w:tr>
      <w:tr>
        <w:trPr>
          <w:trHeight w:val="264"/>
        </w:trPr>
        <w:tc>
          <w:tcPr>
            <w:tcW w:w="2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4th Quarter 2016</w:t>
            </w:r>
          </w:p>
        </w:tc>
        <w:tc>
          <w:tcPr>
            <w:tcW w:w="5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color w:val="auto"/>
              </w:rPr>
              <w:t>77</w:t>
            </w:r>
          </w:p>
        </w:tc>
        <w:tc>
          <w:tcPr>
            <w:tcW w:w="12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100%</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274,622</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37.10</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w w:val="89"/>
              </w:rPr>
              <w:t>$ 32.27</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w w:val="99"/>
              </w:rPr>
              <w:t>1,325,040</w:t>
            </w:r>
          </w:p>
        </w:tc>
        <w:tc>
          <w:tcPr>
            <w:tcW w:w="12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7.2</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9,874,657</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35.96</w:t>
            </w:r>
          </w:p>
        </w:tc>
        <w:tc>
          <w:tcPr>
            <w:tcW w:w="3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w:t>
            </w: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Total - 12 months</w:t>
            </w:r>
          </w:p>
        </w:tc>
        <w:tc>
          <w:tcPr>
            <w:tcW w:w="5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4"/>
                <w:szCs w:val="14"/>
                <w:color w:val="auto"/>
              </w:rPr>
              <w:t>361</w:t>
            </w: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100%</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1,595,665</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38.77</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w w:val="89"/>
              </w:rPr>
              <w:t>$ 34.21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w w:val="99"/>
              </w:rPr>
              <w:t>7,276,462</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4"/>
                <w:szCs w:val="14"/>
                <w:color w:val="auto"/>
              </w:rPr>
              <w:t>8.2</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58,482,823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4"/>
                <w:szCs w:val="14"/>
                <w:color w:val="auto"/>
              </w:rPr>
              <w:t>36.65</w:t>
            </w:r>
          </w:p>
        </w:tc>
        <w:tc>
          <w:tcPr>
            <w:tcW w:w="360" w:type="dxa"/>
            <w:vAlign w:val="bottom"/>
            <w:tcBorders>
              <w:bottom w:val="single" w:sz="8" w:color="auto"/>
            </w:tcBorders>
            <w:shd w:val="clear" w:color="auto" w:fill="CCEEFF"/>
          </w:tcPr>
          <w:p>
            <w:pPr>
              <w:spacing w:after="0"/>
              <w:rPr>
                <w:sz w:val="23"/>
                <w:szCs w:val="23"/>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2920" w:type="dxa"/>
            <w:vAlign w:val="bottom"/>
            <w:gridSpan w:val="7"/>
          </w:tcPr>
          <w:p>
            <w:pPr>
              <w:spacing w:after="0"/>
              <w:rPr>
                <w:sz w:val="20"/>
                <w:szCs w:val="20"/>
                <w:color w:val="auto"/>
              </w:rPr>
            </w:pPr>
            <w:r>
              <w:rPr>
                <w:rFonts w:ascii="Arial" w:cs="Arial" w:eastAsia="Arial" w:hAnsi="Arial"/>
                <w:sz w:val="14"/>
                <w:szCs w:val="14"/>
                <w:b w:val="1"/>
                <w:bCs w:val="1"/>
                <w:color w:val="auto"/>
              </w:rPr>
              <w:t>New Lease Summary - Comparable (2)</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55"/>
        </w:trPr>
        <w:tc>
          <w:tcPr>
            <w:tcW w:w="20" w:type="dxa"/>
            <w:vAlign w:val="bottom"/>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90"/>
              </w:rPr>
              <w:t>Straight-lined</w:t>
            </w:r>
          </w:p>
        </w:tc>
        <w:tc>
          <w:tcPr>
            <w:tcW w:w="7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4"/>
              </w:rPr>
              <w:t>Weighted</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center"/>
              <w:ind w:right="15"/>
              <w:spacing w:after="0"/>
              <w:rPr>
                <w:sz w:val="20"/>
                <w:szCs w:val="20"/>
                <w:color w:val="auto"/>
              </w:rPr>
            </w:pPr>
            <w:r>
              <w:rPr>
                <w:rFonts w:ascii="Arial" w:cs="Arial" w:eastAsia="Arial" w:hAnsi="Arial"/>
                <w:sz w:val="11"/>
                <w:szCs w:val="11"/>
                <w:b w:val="1"/>
                <w:bCs w:val="1"/>
                <w:color w:val="auto"/>
                <w:w w:val="88"/>
              </w:rPr>
              <w:t>Tenant</w:t>
            </w:r>
          </w:p>
        </w:tc>
        <w:tc>
          <w:tcPr>
            <w:tcW w:w="360" w:type="dxa"/>
            <w:vAlign w:val="bottom"/>
          </w:tcPr>
          <w:p>
            <w:pPr>
              <w:spacing w:after="0"/>
              <w:rPr>
                <w:sz w:val="13"/>
                <w:szCs w:val="13"/>
                <w:color w:val="auto"/>
              </w:rPr>
            </w:pPr>
          </w:p>
        </w:tc>
      </w:tr>
      <w:tr>
        <w:trPr>
          <w:trHeight w:val="122"/>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Number of</w:t>
            </w:r>
          </w:p>
        </w:tc>
        <w:tc>
          <w:tcPr>
            <w:tcW w:w="98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94"/>
              </w:rPr>
              <w:t>% of</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tcPr>
          <w:p>
            <w:pPr>
              <w:jc w:val="right"/>
              <w:ind w:right="220"/>
              <w:spacing w:after="0" w:line="122" w:lineRule="exact"/>
              <w:rPr>
                <w:sz w:val="20"/>
                <w:szCs w:val="20"/>
                <w:color w:val="auto"/>
              </w:rPr>
            </w:pPr>
            <w:r>
              <w:rPr>
                <w:rFonts w:ascii="Arial" w:cs="Arial" w:eastAsia="Arial" w:hAnsi="Arial"/>
                <w:sz w:val="11"/>
                <w:szCs w:val="11"/>
                <w:b w:val="1"/>
                <w:bCs w:val="1"/>
                <w:color w:val="auto"/>
                <w:w w:val="91"/>
              </w:rPr>
              <w:t>Contractual</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3"/>
              </w:rPr>
              <w:t>Prior Rent</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8"/>
              </w:rPr>
              <w:t>Cash Basis %</w:t>
            </w:r>
          </w:p>
        </w:tc>
        <w:tc>
          <w:tcPr>
            <w:tcW w:w="120" w:type="dxa"/>
            <w:vAlign w:val="bottom"/>
          </w:tcPr>
          <w:p>
            <w:pPr>
              <w:spacing w:after="0"/>
              <w:rPr>
                <w:sz w:val="10"/>
                <w:szCs w:val="10"/>
                <w:color w:val="auto"/>
              </w:rPr>
            </w:pPr>
          </w:p>
        </w:tc>
        <w:tc>
          <w:tcPr>
            <w:tcW w:w="82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9"/>
              </w:rPr>
              <w:t>Basis %</w:t>
            </w: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7"/>
              </w:rPr>
              <w:t>Average</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8"/>
              </w:rPr>
              <w:t>Tenant</w:t>
            </w:r>
          </w:p>
        </w:tc>
        <w:tc>
          <w:tcPr>
            <w:tcW w:w="100" w:type="dxa"/>
            <w:vAlign w:val="bottom"/>
          </w:tcPr>
          <w:p>
            <w:pPr>
              <w:spacing w:after="0"/>
              <w:rPr>
                <w:sz w:val="10"/>
                <w:szCs w:val="10"/>
                <w:color w:val="auto"/>
              </w:rPr>
            </w:pPr>
          </w:p>
        </w:tc>
        <w:tc>
          <w:tcPr>
            <w:tcW w:w="880" w:type="dxa"/>
            <w:vAlign w:val="bottom"/>
          </w:tcPr>
          <w:p>
            <w:pPr>
              <w:jc w:val="center"/>
              <w:ind w:right="15"/>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36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0"/>
              </w:rPr>
              <w:t>Leases</w:t>
            </w:r>
          </w:p>
        </w:tc>
        <w:tc>
          <w:tcPr>
            <w:tcW w:w="98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Comparable</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tcPr>
          <w:p>
            <w:pPr>
              <w:jc w:val="right"/>
              <w:ind w:right="220"/>
              <w:spacing w:after="0" w:line="122" w:lineRule="exact"/>
              <w:rPr>
                <w:sz w:val="20"/>
                <w:szCs w:val="20"/>
                <w:color w:val="auto"/>
              </w:rPr>
            </w:pPr>
            <w:r>
              <w:rPr>
                <w:rFonts w:ascii="Arial" w:cs="Arial" w:eastAsia="Arial" w:hAnsi="Arial"/>
                <w:sz w:val="11"/>
                <w:szCs w:val="11"/>
                <w:b w:val="1"/>
                <w:bCs w:val="1"/>
                <w:color w:val="auto"/>
                <w:w w:val="90"/>
              </w:rPr>
              <w:t>Rent (3) Per</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(4) Per Sq.</w:t>
            </w:r>
          </w:p>
        </w:tc>
        <w:tc>
          <w:tcPr>
            <w:tcW w:w="8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9"/>
              </w:rPr>
              <w:t>Annual Increase</w:t>
            </w:r>
          </w:p>
        </w:tc>
        <w:tc>
          <w:tcPr>
            <w:tcW w:w="120" w:type="dxa"/>
            <w:vAlign w:val="bottom"/>
          </w:tcPr>
          <w:p>
            <w:pPr>
              <w:spacing w:after="0"/>
              <w:rPr>
                <w:sz w:val="10"/>
                <w:szCs w:val="10"/>
                <w:color w:val="auto"/>
              </w:rPr>
            </w:pPr>
          </w:p>
        </w:tc>
        <w:tc>
          <w:tcPr>
            <w:tcW w:w="82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Increase Over</w:t>
            </w:r>
          </w:p>
        </w:tc>
        <w:tc>
          <w:tcPr>
            <w:tcW w:w="94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Increase Over</w:t>
            </w: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Lease Term</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9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8"/>
              </w:rPr>
              <w:t>Incentives Per Sq.</w:t>
            </w:r>
          </w:p>
        </w:tc>
        <w:tc>
          <w:tcPr>
            <w:tcW w:w="360" w:type="dxa"/>
            <w:vAlign w:val="bottom"/>
          </w:tcPr>
          <w:p>
            <w:pPr>
              <w:spacing w:after="0"/>
              <w:rPr>
                <w:sz w:val="10"/>
                <w:szCs w:val="10"/>
                <w:color w:val="auto"/>
              </w:rPr>
            </w:pPr>
          </w:p>
        </w:tc>
      </w:tr>
      <w:tr>
        <w:trPr>
          <w:trHeight w:val="140"/>
        </w:trPr>
        <w:tc>
          <w:tcPr>
            <w:tcW w:w="20" w:type="dxa"/>
            <w:vAlign w:val="bottom"/>
          </w:tcPr>
          <w:p>
            <w:pPr>
              <w:spacing w:after="0"/>
              <w:rPr>
                <w:sz w:val="12"/>
                <w:szCs w:val="12"/>
                <w:color w:val="auto"/>
              </w:rPr>
            </w:pPr>
          </w:p>
        </w:tc>
        <w:tc>
          <w:tcPr>
            <w:tcW w:w="1240" w:type="dxa"/>
            <w:vAlign w:val="bottom"/>
          </w:tcPr>
          <w:p>
            <w:pPr>
              <w:jc w:val="right"/>
              <w:ind w:right="371"/>
              <w:spacing w:after="0"/>
              <w:rPr>
                <w:sz w:val="20"/>
                <w:szCs w:val="20"/>
                <w:color w:val="auto"/>
              </w:rPr>
            </w:pPr>
            <w:r>
              <w:rPr>
                <w:rFonts w:ascii="Arial" w:cs="Arial" w:eastAsia="Arial" w:hAnsi="Arial"/>
                <w:sz w:val="11"/>
                <w:szCs w:val="11"/>
                <w:b w:val="1"/>
                <w:bCs w:val="1"/>
                <w:color w:val="auto"/>
              </w:rPr>
              <w:t>Quarter</w:t>
            </w:r>
          </w:p>
        </w:tc>
        <w:tc>
          <w:tcPr>
            <w:tcW w:w="7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1"/>
              </w:rPr>
              <w:t>Signed</w:t>
            </w:r>
          </w:p>
        </w:tc>
        <w:tc>
          <w:tcPr>
            <w:tcW w:w="980" w:type="dxa"/>
            <w:vAlign w:val="bottom"/>
            <w:gridSpan w:val="4"/>
          </w:tcPr>
          <w:p>
            <w:pPr>
              <w:jc w:val="center"/>
              <w:ind w:right="140"/>
              <w:spacing w:after="0"/>
              <w:rPr>
                <w:sz w:val="20"/>
                <w:szCs w:val="20"/>
                <w:color w:val="auto"/>
              </w:rPr>
            </w:pPr>
            <w:r>
              <w:rPr>
                <w:rFonts w:ascii="Arial" w:cs="Arial" w:eastAsia="Arial" w:hAnsi="Arial"/>
                <w:sz w:val="11"/>
                <w:szCs w:val="11"/>
                <w:b w:val="1"/>
                <w:bCs w:val="1"/>
                <w:color w:val="auto"/>
                <w:w w:val="83"/>
              </w:rPr>
              <w:t>Leases Signed</w:t>
            </w:r>
          </w:p>
        </w:tc>
        <w:tc>
          <w:tcPr>
            <w:tcW w:w="880" w:type="dxa"/>
            <w:vAlign w:val="bottom"/>
            <w:gridSpan w:val="2"/>
          </w:tcPr>
          <w:p>
            <w:pPr>
              <w:ind w:left="100"/>
              <w:spacing w:after="0"/>
              <w:rPr>
                <w:sz w:val="20"/>
                <w:szCs w:val="20"/>
                <w:color w:val="auto"/>
              </w:rPr>
            </w:pPr>
            <w:r>
              <w:rPr>
                <w:rFonts w:ascii="Arial" w:cs="Arial" w:eastAsia="Arial" w:hAnsi="Arial"/>
                <w:sz w:val="11"/>
                <w:szCs w:val="11"/>
                <w:b w:val="1"/>
                <w:bCs w:val="1"/>
                <w:color w:val="auto"/>
              </w:rPr>
              <w:t>GLA Signed</w:t>
            </w:r>
          </w:p>
        </w:tc>
        <w:tc>
          <w:tcPr>
            <w:tcW w:w="100" w:type="dxa"/>
            <w:vAlign w:val="bottom"/>
          </w:tcPr>
          <w:p>
            <w:pPr>
              <w:spacing w:after="0"/>
              <w:rPr>
                <w:sz w:val="12"/>
                <w:szCs w:val="12"/>
                <w:color w:val="auto"/>
              </w:rPr>
            </w:pPr>
          </w:p>
        </w:tc>
        <w:tc>
          <w:tcPr>
            <w:tcW w:w="800" w:type="dxa"/>
            <w:vAlign w:val="bottom"/>
            <w:gridSpan w:val="3"/>
          </w:tcPr>
          <w:p>
            <w:pPr>
              <w:ind w:left="140"/>
              <w:spacing w:after="0"/>
              <w:rPr>
                <w:sz w:val="20"/>
                <w:szCs w:val="20"/>
                <w:color w:val="auto"/>
              </w:rPr>
            </w:pPr>
            <w:r>
              <w:rPr>
                <w:rFonts w:ascii="Arial" w:cs="Arial" w:eastAsia="Arial" w:hAnsi="Arial"/>
                <w:sz w:val="11"/>
                <w:szCs w:val="11"/>
                <w:b w:val="1"/>
                <w:bCs w:val="1"/>
                <w:color w:val="auto"/>
              </w:rPr>
              <w:t>Sq. Ft.</w:t>
            </w:r>
          </w:p>
        </w:tc>
        <w:tc>
          <w:tcPr>
            <w:tcW w:w="6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Ft.</w:t>
            </w:r>
          </w:p>
        </w:tc>
        <w:tc>
          <w:tcPr>
            <w:tcW w:w="140" w:type="dxa"/>
            <w:vAlign w:val="bottom"/>
          </w:tcPr>
          <w:p>
            <w:pPr>
              <w:spacing w:after="0"/>
              <w:rPr>
                <w:sz w:val="12"/>
                <w:szCs w:val="12"/>
                <w:color w:val="auto"/>
              </w:rPr>
            </w:pPr>
          </w:p>
        </w:tc>
        <w:tc>
          <w:tcPr>
            <w:tcW w:w="740" w:type="dxa"/>
            <w:vAlign w:val="bottom"/>
          </w:tcPr>
          <w:p>
            <w:pPr>
              <w:jc w:val="center"/>
              <w:ind w:right="52"/>
              <w:spacing w:after="0"/>
              <w:rPr>
                <w:sz w:val="20"/>
                <w:szCs w:val="20"/>
                <w:color w:val="auto"/>
              </w:rPr>
            </w:pPr>
            <w:r>
              <w:rPr>
                <w:rFonts w:ascii="Arial" w:cs="Arial" w:eastAsia="Arial" w:hAnsi="Arial"/>
                <w:sz w:val="11"/>
                <w:szCs w:val="11"/>
                <w:b w:val="1"/>
                <w:bCs w:val="1"/>
                <w:color w:val="auto"/>
                <w:w w:val="91"/>
              </w:rPr>
              <w:t>in Rent</w:t>
            </w:r>
          </w:p>
        </w:tc>
        <w:tc>
          <w:tcPr>
            <w:tcW w:w="120" w:type="dxa"/>
            <w:vAlign w:val="bottom"/>
          </w:tcPr>
          <w:p>
            <w:pPr>
              <w:spacing w:after="0"/>
              <w:rPr>
                <w:sz w:val="12"/>
                <w:szCs w:val="12"/>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3"/>
              </w:rPr>
              <w:t>Prior Rent</w:t>
            </w:r>
          </w:p>
        </w:tc>
        <w:tc>
          <w:tcPr>
            <w:tcW w:w="120" w:type="dxa"/>
            <w:vAlign w:val="bottom"/>
          </w:tcPr>
          <w:p>
            <w:pPr>
              <w:spacing w:after="0"/>
              <w:rPr>
                <w:sz w:val="12"/>
                <w:szCs w:val="12"/>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3"/>
              </w:rPr>
              <w:t>Prior Rent</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rPr>
              <w:t>(5)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8"/>
              </w:rPr>
              <w:t>Incentives (6)</w:t>
            </w:r>
          </w:p>
        </w:tc>
        <w:tc>
          <w:tcPr>
            <w:tcW w:w="100" w:type="dxa"/>
            <w:vAlign w:val="bottom"/>
          </w:tcPr>
          <w:p>
            <w:pPr>
              <w:spacing w:after="0"/>
              <w:rPr>
                <w:sz w:val="12"/>
                <w:szCs w:val="12"/>
                <w:color w:val="auto"/>
              </w:rPr>
            </w:pPr>
          </w:p>
        </w:tc>
        <w:tc>
          <w:tcPr>
            <w:tcW w:w="880" w:type="dxa"/>
            <w:vAlign w:val="bottom"/>
          </w:tcPr>
          <w:p>
            <w:pPr>
              <w:jc w:val="center"/>
              <w:ind w:right="15"/>
              <w:spacing w:after="0"/>
              <w:rPr>
                <w:sz w:val="20"/>
                <w:szCs w:val="20"/>
                <w:color w:val="auto"/>
              </w:rPr>
            </w:pPr>
            <w:r>
              <w:rPr>
                <w:rFonts w:ascii="Arial" w:cs="Arial" w:eastAsia="Arial" w:hAnsi="Arial"/>
                <w:sz w:val="11"/>
                <w:szCs w:val="11"/>
                <w:b w:val="1"/>
                <w:bCs w:val="1"/>
                <w:color w:val="auto"/>
                <w:w w:val="88"/>
              </w:rPr>
              <w:t>Ft.</w:t>
            </w:r>
          </w:p>
        </w:tc>
        <w:tc>
          <w:tcPr>
            <w:tcW w:w="360" w:type="dxa"/>
            <w:vAlign w:val="bottom"/>
          </w:tcPr>
          <w:p>
            <w:pPr>
              <w:spacing w:after="0"/>
              <w:rPr>
                <w:sz w:val="12"/>
                <w:szCs w:val="12"/>
                <w:color w:val="auto"/>
              </w:rPr>
            </w:pP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3rd Quarter 2017</w:t>
            </w:r>
          </w:p>
        </w:tc>
        <w:tc>
          <w:tcPr>
            <w:tcW w:w="5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36</w:t>
            </w: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44%</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165,289</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40.97</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$ 33.19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w w:val="99"/>
              </w:rPr>
              <w:t>1,285,427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8.4</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8,563,714</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51.81</w:t>
            </w:r>
          </w:p>
        </w:tc>
        <w:tc>
          <w:tcPr>
            <w:tcW w:w="360" w:type="dxa"/>
            <w:vAlign w:val="bottom"/>
            <w:shd w:val="clear" w:color="auto" w:fill="CCEEFF"/>
          </w:tcPr>
          <w:p>
            <w:pPr>
              <w:spacing w:after="0"/>
              <w:rPr>
                <w:sz w:val="21"/>
                <w:szCs w:val="21"/>
                <w:color w:val="auto"/>
              </w:rPr>
            </w:pPr>
          </w:p>
        </w:tc>
      </w:tr>
      <w:tr>
        <w:trPr>
          <w:trHeight w:val="264"/>
        </w:trPr>
        <w:tc>
          <w:tcPr>
            <w:tcW w:w="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2nd Quarter 2017</w:t>
            </w:r>
          </w:p>
        </w:tc>
        <w:tc>
          <w:tcPr>
            <w:tcW w:w="580" w:type="dxa"/>
            <w:vAlign w:val="bottom"/>
          </w:tcPr>
          <w:p>
            <w:pPr>
              <w:jc w:val="right"/>
              <w:ind w:right="55"/>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37%</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jc w:val="right"/>
              <w:ind w:right="51"/>
              <w:spacing w:after="0"/>
              <w:rPr>
                <w:sz w:val="20"/>
                <w:szCs w:val="20"/>
                <w:color w:val="auto"/>
              </w:rPr>
            </w:pPr>
            <w:r>
              <w:rPr>
                <w:rFonts w:ascii="Arial" w:cs="Arial" w:eastAsia="Arial" w:hAnsi="Arial"/>
                <w:sz w:val="14"/>
                <w:szCs w:val="14"/>
                <w:color w:val="auto"/>
              </w:rPr>
              <w:t>161,605</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34.63</w:t>
            </w:r>
          </w:p>
        </w:tc>
        <w:tc>
          <w:tcPr>
            <w:tcW w:w="120" w:type="dxa"/>
            <w:vAlign w:val="bottom"/>
          </w:tcPr>
          <w:p>
            <w:pPr>
              <w:spacing w:after="0"/>
              <w:rPr>
                <w:sz w:val="22"/>
                <w:szCs w:val="22"/>
                <w:color w:val="auto"/>
              </w:rPr>
            </w:pPr>
          </w:p>
        </w:tc>
        <w:tc>
          <w:tcPr>
            <w:tcW w:w="540" w:type="dxa"/>
            <w:vAlign w:val="bottom"/>
          </w:tcPr>
          <w:p>
            <w:pPr>
              <w:jc w:val="right"/>
              <w:ind w:right="35"/>
              <w:spacing w:after="0"/>
              <w:rPr>
                <w:sz w:val="20"/>
                <w:szCs w:val="20"/>
                <w:color w:val="auto"/>
              </w:rPr>
            </w:pPr>
            <w:r>
              <w:rPr>
                <w:rFonts w:ascii="Arial" w:cs="Arial" w:eastAsia="Arial" w:hAnsi="Arial"/>
                <w:sz w:val="14"/>
                <w:szCs w:val="14"/>
                <w:color w:val="auto"/>
                <w:w w:val="89"/>
              </w:rPr>
              <w:t>$ 29.36</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850,568</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2"/>
                <w:szCs w:val="22"/>
                <w:color w:val="auto"/>
              </w:rPr>
            </w:pPr>
          </w:p>
        </w:tc>
        <w:tc>
          <w:tcPr>
            <w:tcW w:w="660" w:type="dxa"/>
            <w:vAlign w:val="bottom"/>
          </w:tcPr>
          <w:p>
            <w:pPr>
              <w:jc w:val="right"/>
              <w:ind w:right="36"/>
              <w:spacing w:after="0"/>
              <w:rPr>
                <w:sz w:val="20"/>
                <w:szCs w:val="20"/>
                <w:color w:val="auto"/>
              </w:rPr>
            </w:pPr>
            <w:r>
              <w:rPr>
                <w:rFonts w:ascii="Arial" w:cs="Arial" w:eastAsia="Arial" w:hAnsi="Arial"/>
                <w:sz w:val="14"/>
                <w:szCs w:val="14"/>
                <w:color w:val="auto"/>
              </w:rPr>
              <w:t>8.9</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10,708,134</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5"/>
              <w:spacing w:after="0"/>
              <w:rPr>
                <w:sz w:val="20"/>
                <w:szCs w:val="20"/>
                <w:color w:val="auto"/>
              </w:rPr>
            </w:pPr>
            <w:r>
              <w:rPr>
                <w:rFonts w:ascii="Arial" w:cs="Arial" w:eastAsia="Arial" w:hAnsi="Arial"/>
                <w:sz w:val="14"/>
                <w:szCs w:val="14"/>
                <w:color w:val="auto"/>
              </w:rPr>
              <w:t>66.26</w:t>
            </w:r>
          </w:p>
        </w:tc>
        <w:tc>
          <w:tcPr>
            <w:tcW w:w="360" w:type="dxa"/>
            <w:vAlign w:val="bottom"/>
          </w:tcPr>
          <w:p>
            <w:pPr>
              <w:spacing w:after="0"/>
              <w:rPr>
                <w:sz w:val="22"/>
                <w:szCs w:val="22"/>
                <w:color w:val="auto"/>
              </w:rPr>
            </w:pPr>
          </w:p>
        </w:tc>
      </w:tr>
      <w:tr>
        <w:trPr>
          <w:trHeight w:val="276"/>
        </w:trPr>
        <w:tc>
          <w:tcPr>
            <w:tcW w:w="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1st Quarter 2017</w:t>
            </w:r>
          </w:p>
        </w:tc>
        <w:tc>
          <w:tcPr>
            <w:tcW w:w="5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44%</w:t>
            </w: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288,388</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35.45</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$ 30.21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w w:val="99"/>
              </w:rPr>
              <w:t>1,509,806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10.2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19,226,044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66.67</w:t>
            </w:r>
          </w:p>
        </w:tc>
        <w:tc>
          <w:tcPr>
            <w:tcW w:w="3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w:t>
            </w:r>
          </w:p>
        </w:tc>
      </w:tr>
      <w:tr>
        <w:trPr>
          <w:trHeight w:val="264"/>
        </w:trPr>
        <w:tc>
          <w:tcPr>
            <w:tcW w:w="2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4th Quarter 2016</w:t>
            </w:r>
          </w:p>
        </w:tc>
        <w:tc>
          <w:tcPr>
            <w:tcW w:w="5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color w:val="auto"/>
              </w:rPr>
              <w:t>28</w:t>
            </w:r>
          </w:p>
        </w:tc>
        <w:tc>
          <w:tcPr>
            <w:tcW w:w="12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36%</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115,640</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45.50</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w w:val="89"/>
              </w:rPr>
              <w:t>$ 34.45</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w w:val="99"/>
              </w:rPr>
              <w:t>1,278,167</w:t>
            </w:r>
          </w:p>
        </w:tc>
        <w:tc>
          <w:tcPr>
            <w:tcW w:w="12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w:t>
            </w: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9.6</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9,592,450</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82.95</w:t>
            </w:r>
          </w:p>
        </w:tc>
        <w:tc>
          <w:tcPr>
            <w:tcW w:w="3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w:t>
            </w: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Total - 12 months</w:t>
            </w:r>
          </w:p>
        </w:tc>
        <w:tc>
          <w:tcPr>
            <w:tcW w:w="5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4"/>
                <w:szCs w:val="14"/>
                <w:color w:val="auto"/>
              </w:rPr>
              <w:t>146</w:t>
            </w: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40%</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730,922</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38.11</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w w:val="89"/>
              </w:rPr>
              <w:t>$ 31.37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w w:val="99"/>
              </w:rPr>
              <w:t>4,923,968</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4"/>
                <w:szCs w:val="14"/>
                <w:color w:val="auto"/>
              </w:rPr>
              <w:t>9.4</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48,090,342</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4"/>
                <w:szCs w:val="14"/>
                <w:color w:val="auto"/>
              </w:rPr>
              <w:t>65.79</w:t>
            </w:r>
          </w:p>
        </w:tc>
        <w:tc>
          <w:tcPr>
            <w:tcW w:w="360" w:type="dxa"/>
            <w:vAlign w:val="bottom"/>
            <w:tcBorders>
              <w:bottom w:val="single" w:sz="8" w:color="auto"/>
            </w:tcBorders>
            <w:shd w:val="clear" w:color="auto" w:fill="CCEEFF"/>
          </w:tcPr>
          <w:p>
            <w:pPr>
              <w:spacing w:after="0"/>
              <w:rPr>
                <w:sz w:val="23"/>
                <w:szCs w:val="23"/>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2920" w:type="dxa"/>
            <w:vAlign w:val="bottom"/>
            <w:gridSpan w:val="7"/>
          </w:tcPr>
          <w:p>
            <w:pPr>
              <w:spacing w:after="0"/>
              <w:rPr>
                <w:sz w:val="20"/>
                <w:szCs w:val="20"/>
                <w:color w:val="auto"/>
              </w:rPr>
            </w:pPr>
            <w:r>
              <w:rPr>
                <w:rFonts w:ascii="Arial" w:cs="Arial" w:eastAsia="Arial" w:hAnsi="Arial"/>
                <w:sz w:val="14"/>
                <w:szCs w:val="14"/>
                <w:b w:val="1"/>
                <w:bCs w:val="1"/>
                <w:color w:val="auto"/>
                <w:w w:val="95"/>
              </w:rPr>
              <w:t>Renewal Lease Summary - Comparable (2) (9)</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55"/>
        </w:trPr>
        <w:tc>
          <w:tcPr>
            <w:tcW w:w="20" w:type="dxa"/>
            <w:vAlign w:val="bottom"/>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90"/>
              </w:rPr>
              <w:t>Straight-lined</w:t>
            </w:r>
          </w:p>
        </w:tc>
        <w:tc>
          <w:tcPr>
            <w:tcW w:w="7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4"/>
              </w:rPr>
              <w:t>Weighted</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center"/>
              <w:ind w:right="15"/>
              <w:spacing w:after="0"/>
              <w:rPr>
                <w:sz w:val="20"/>
                <w:szCs w:val="20"/>
                <w:color w:val="auto"/>
              </w:rPr>
            </w:pPr>
            <w:r>
              <w:rPr>
                <w:rFonts w:ascii="Arial" w:cs="Arial" w:eastAsia="Arial" w:hAnsi="Arial"/>
                <w:sz w:val="11"/>
                <w:szCs w:val="11"/>
                <w:b w:val="1"/>
                <w:bCs w:val="1"/>
                <w:color w:val="auto"/>
                <w:w w:val="88"/>
              </w:rPr>
              <w:t>Tenant</w:t>
            </w:r>
          </w:p>
        </w:tc>
        <w:tc>
          <w:tcPr>
            <w:tcW w:w="360" w:type="dxa"/>
            <w:vAlign w:val="bottom"/>
          </w:tcPr>
          <w:p>
            <w:pPr>
              <w:spacing w:after="0"/>
              <w:rPr>
                <w:sz w:val="13"/>
                <w:szCs w:val="13"/>
                <w:color w:val="auto"/>
              </w:rPr>
            </w:pPr>
          </w:p>
        </w:tc>
      </w:tr>
      <w:tr>
        <w:trPr>
          <w:trHeight w:val="122"/>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Number of</w:t>
            </w:r>
          </w:p>
        </w:tc>
        <w:tc>
          <w:tcPr>
            <w:tcW w:w="98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94"/>
              </w:rPr>
              <w:t>% of</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tcPr>
          <w:p>
            <w:pPr>
              <w:jc w:val="right"/>
              <w:ind w:right="220"/>
              <w:spacing w:after="0" w:line="122" w:lineRule="exact"/>
              <w:rPr>
                <w:sz w:val="20"/>
                <w:szCs w:val="20"/>
                <w:color w:val="auto"/>
              </w:rPr>
            </w:pPr>
            <w:r>
              <w:rPr>
                <w:rFonts w:ascii="Arial" w:cs="Arial" w:eastAsia="Arial" w:hAnsi="Arial"/>
                <w:sz w:val="11"/>
                <w:szCs w:val="11"/>
                <w:b w:val="1"/>
                <w:bCs w:val="1"/>
                <w:color w:val="auto"/>
                <w:w w:val="91"/>
              </w:rPr>
              <w:t>Contractual</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3"/>
              </w:rPr>
              <w:t>Prior Rent</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8"/>
              </w:rPr>
              <w:t>Cash Basis %</w:t>
            </w:r>
          </w:p>
        </w:tc>
        <w:tc>
          <w:tcPr>
            <w:tcW w:w="120" w:type="dxa"/>
            <w:vAlign w:val="bottom"/>
          </w:tcPr>
          <w:p>
            <w:pPr>
              <w:spacing w:after="0"/>
              <w:rPr>
                <w:sz w:val="10"/>
                <w:szCs w:val="10"/>
                <w:color w:val="auto"/>
              </w:rPr>
            </w:pPr>
          </w:p>
        </w:tc>
        <w:tc>
          <w:tcPr>
            <w:tcW w:w="82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9"/>
              </w:rPr>
              <w:t>Basis %</w:t>
            </w: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7"/>
              </w:rPr>
              <w:t>Average</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8"/>
              </w:rPr>
              <w:t>Tenant</w:t>
            </w:r>
          </w:p>
        </w:tc>
        <w:tc>
          <w:tcPr>
            <w:tcW w:w="100" w:type="dxa"/>
            <w:vAlign w:val="bottom"/>
          </w:tcPr>
          <w:p>
            <w:pPr>
              <w:spacing w:after="0"/>
              <w:rPr>
                <w:sz w:val="10"/>
                <w:szCs w:val="10"/>
                <w:color w:val="auto"/>
              </w:rPr>
            </w:pPr>
          </w:p>
        </w:tc>
        <w:tc>
          <w:tcPr>
            <w:tcW w:w="880" w:type="dxa"/>
            <w:vAlign w:val="bottom"/>
          </w:tcPr>
          <w:p>
            <w:pPr>
              <w:jc w:val="center"/>
              <w:ind w:right="15"/>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36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0"/>
              </w:rPr>
              <w:t>Leases</w:t>
            </w:r>
          </w:p>
        </w:tc>
        <w:tc>
          <w:tcPr>
            <w:tcW w:w="98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Comparable</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tcPr>
          <w:p>
            <w:pPr>
              <w:jc w:val="right"/>
              <w:ind w:right="220"/>
              <w:spacing w:after="0" w:line="122" w:lineRule="exact"/>
              <w:rPr>
                <w:sz w:val="20"/>
                <w:szCs w:val="20"/>
                <w:color w:val="auto"/>
              </w:rPr>
            </w:pPr>
            <w:r>
              <w:rPr>
                <w:rFonts w:ascii="Arial" w:cs="Arial" w:eastAsia="Arial" w:hAnsi="Arial"/>
                <w:sz w:val="11"/>
                <w:szCs w:val="11"/>
                <w:b w:val="1"/>
                <w:bCs w:val="1"/>
                <w:color w:val="auto"/>
                <w:w w:val="90"/>
              </w:rPr>
              <w:t>Rent (3) Per</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(4) Per Sq.</w:t>
            </w:r>
          </w:p>
        </w:tc>
        <w:tc>
          <w:tcPr>
            <w:tcW w:w="8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9"/>
              </w:rPr>
              <w:t>Annual Increase</w:t>
            </w:r>
          </w:p>
        </w:tc>
        <w:tc>
          <w:tcPr>
            <w:tcW w:w="120" w:type="dxa"/>
            <w:vAlign w:val="bottom"/>
          </w:tcPr>
          <w:p>
            <w:pPr>
              <w:spacing w:after="0"/>
              <w:rPr>
                <w:sz w:val="10"/>
                <w:szCs w:val="10"/>
                <w:color w:val="auto"/>
              </w:rPr>
            </w:pPr>
          </w:p>
        </w:tc>
        <w:tc>
          <w:tcPr>
            <w:tcW w:w="82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Increase Over</w:t>
            </w:r>
          </w:p>
        </w:tc>
        <w:tc>
          <w:tcPr>
            <w:tcW w:w="94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Increase Over</w:t>
            </w: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Lease Term</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9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8"/>
              </w:rPr>
              <w:t>Incentives Per Sq.</w:t>
            </w:r>
          </w:p>
        </w:tc>
        <w:tc>
          <w:tcPr>
            <w:tcW w:w="360" w:type="dxa"/>
            <w:vAlign w:val="bottom"/>
          </w:tcPr>
          <w:p>
            <w:pPr>
              <w:spacing w:after="0"/>
              <w:rPr>
                <w:sz w:val="10"/>
                <w:szCs w:val="10"/>
                <w:color w:val="auto"/>
              </w:rPr>
            </w:pPr>
          </w:p>
        </w:tc>
      </w:tr>
      <w:tr>
        <w:trPr>
          <w:trHeight w:val="140"/>
        </w:trPr>
        <w:tc>
          <w:tcPr>
            <w:tcW w:w="20" w:type="dxa"/>
            <w:vAlign w:val="bottom"/>
          </w:tcPr>
          <w:p>
            <w:pPr>
              <w:spacing w:after="0"/>
              <w:rPr>
                <w:sz w:val="12"/>
                <w:szCs w:val="12"/>
                <w:color w:val="auto"/>
              </w:rPr>
            </w:pPr>
          </w:p>
        </w:tc>
        <w:tc>
          <w:tcPr>
            <w:tcW w:w="1240" w:type="dxa"/>
            <w:vAlign w:val="bottom"/>
          </w:tcPr>
          <w:p>
            <w:pPr>
              <w:jc w:val="right"/>
              <w:ind w:right="371"/>
              <w:spacing w:after="0"/>
              <w:rPr>
                <w:sz w:val="20"/>
                <w:szCs w:val="20"/>
                <w:color w:val="auto"/>
              </w:rPr>
            </w:pPr>
            <w:r>
              <w:rPr>
                <w:rFonts w:ascii="Arial" w:cs="Arial" w:eastAsia="Arial" w:hAnsi="Arial"/>
                <w:sz w:val="11"/>
                <w:szCs w:val="11"/>
                <w:b w:val="1"/>
                <w:bCs w:val="1"/>
                <w:color w:val="auto"/>
              </w:rPr>
              <w:t>Quarter</w:t>
            </w:r>
          </w:p>
        </w:tc>
        <w:tc>
          <w:tcPr>
            <w:tcW w:w="7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1"/>
              </w:rPr>
              <w:t>Signed</w:t>
            </w:r>
          </w:p>
        </w:tc>
        <w:tc>
          <w:tcPr>
            <w:tcW w:w="980" w:type="dxa"/>
            <w:vAlign w:val="bottom"/>
            <w:gridSpan w:val="4"/>
          </w:tcPr>
          <w:p>
            <w:pPr>
              <w:jc w:val="center"/>
              <w:ind w:right="140"/>
              <w:spacing w:after="0"/>
              <w:rPr>
                <w:sz w:val="20"/>
                <w:szCs w:val="20"/>
                <w:color w:val="auto"/>
              </w:rPr>
            </w:pPr>
            <w:r>
              <w:rPr>
                <w:rFonts w:ascii="Arial" w:cs="Arial" w:eastAsia="Arial" w:hAnsi="Arial"/>
                <w:sz w:val="11"/>
                <w:szCs w:val="11"/>
                <w:b w:val="1"/>
                <w:bCs w:val="1"/>
                <w:color w:val="auto"/>
                <w:w w:val="83"/>
              </w:rPr>
              <w:t>Leases Signed</w:t>
            </w:r>
          </w:p>
        </w:tc>
        <w:tc>
          <w:tcPr>
            <w:tcW w:w="880" w:type="dxa"/>
            <w:vAlign w:val="bottom"/>
            <w:gridSpan w:val="2"/>
          </w:tcPr>
          <w:p>
            <w:pPr>
              <w:ind w:left="100"/>
              <w:spacing w:after="0"/>
              <w:rPr>
                <w:sz w:val="20"/>
                <w:szCs w:val="20"/>
                <w:color w:val="auto"/>
              </w:rPr>
            </w:pPr>
            <w:r>
              <w:rPr>
                <w:rFonts w:ascii="Arial" w:cs="Arial" w:eastAsia="Arial" w:hAnsi="Arial"/>
                <w:sz w:val="11"/>
                <w:szCs w:val="11"/>
                <w:b w:val="1"/>
                <w:bCs w:val="1"/>
                <w:color w:val="auto"/>
              </w:rPr>
              <w:t>GLA Signed</w:t>
            </w:r>
          </w:p>
        </w:tc>
        <w:tc>
          <w:tcPr>
            <w:tcW w:w="100" w:type="dxa"/>
            <w:vAlign w:val="bottom"/>
          </w:tcPr>
          <w:p>
            <w:pPr>
              <w:spacing w:after="0"/>
              <w:rPr>
                <w:sz w:val="12"/>
                <w:szCs w:val="12"/>
                <w:color w:val="auto"/>
              </w:rPr>
            </w:pPr>
          </w:p>
        </w:tc>
        <w:tc>
          <w:tcPr>
            <w:tcW w:w="800" w:type="dxa"/>
            <w:vAlign w:val="bottom"/>
            <w:gridSpan w:val="3"/>
          </w:tcPr>
          <w:p>
            <w:pPr>
              <w:ind w:left="140"/>
              <w:spacing w:after="0"/>
              <w:rPr>
                <w:sz w:val="20"/>
                <w:szCs w:val="20"/>
                <w:color w:val="auto"/>
              </w:rPr>
            </w:pPr>
            <w:r>
              <w:rPr>
                <w:rFonts w:ascii="Arial" w:cs="Arial" w:eastAsia="Arial" w:hAnsi="Arial"/>
                <w:sz w:val="11"/>
                <w:szCs w:val="11"/>
                <w:b w:val="1"/>
                <w:bCs w:val="1"/>
                <w:color w:val="auto"/>
              </w:rPr>
              <w:t>Sq. Ft.</w:t>
            </w:r>
          </w:p>
        </w:tc>
        <w:tc>
          <w:tcPr>
            <w:tcW w:w="6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Ft.</w:t>
            </w:r>
          </w:p>
        </w:tc>
        <w:tc>
          <w:tcPr>
            <w:tcW w:w="140" w:type="dxa"/>
            <w:vAlign w:val="bottom"/>
          </w:tcPr>
          <w:p>
            <w:pPr>
              <w:spacing w:after="0"/>
              <w:rPr>
                <w:sz w:val="12"/>
                <w:szCs w:val="12"/>
                <w:color w:val="auto"/>
              </w:rPr>
            </w:pPr>
          </w:p>
        </w:tc>
        <w:tc>
          <w:tcPr>
            <w:tcW w:w="740" w:type="dxa"/>
            <w:vAlign w:val="bottom"/>
          </w:tcPr>
          <w:p>
            <w:pPr>
              <w:jc w:val="center"/>
              <w:ind w:right="52"/>
              <w:spacing w:after="0"/>
              <w:rPr>
                <w:sz w:val="20"/>
                <w:szCs w:val="20"/>
                <w:color w:val="auto"/>
              </w:rPr>
            </w:pPr>
            <w:r>
              <w:rPr>
                <w:rFonts w:ascii="Arial" w:cs="Arial" w:eastAsia="Arial" w:hAnsi="Arial"/>
                <w:sz w:val="11"/>
                <w:szCs w:val="11"/>
                <w:b w:val="1"/>
                <w:bCs w:val="1"/>
                <w:color w:val="auto"/>
                <w:w w:val="91"/>
              </w:rPr>
              <w:t>in Rent</w:t>
            </w:r>
          </w:p>
        </w:tc>
        <w:tc>
          <w:tcPr>
            <w:tcW w:w="120" w:type="dxa"/>
            <w:vAlign w:val="bottom"/>
          </w:tcPr>
          <w:p>
            <w:pPr>
              <w:spacing w:after="0"/>
              <w:rPr>
                <w:sz w:val="12"/>
                <w:szCs w:val="12"/>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3"/>
              </w:rPr>
              <w:t>Prior Rent</w:t>
            </w:r>
          </w:p>
        </w:tc>
        <w:tc>
          <w:tcPr>
            <w:tcW w:w="120" w:type="dxa"/>
            <w:vAlign w:val="bottom"/>
          </w:tcPr>
          <w:p>
            <w:pPr>
              <w:spacing w:after="0"/>
              <w:rPr>
                <w:sz w:val="12"/>
                <w:szCs w:val="12"/>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3"/>
              </w:rPr>
              <w:t>Prior Rent</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rPr>
              <w:t>(5)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8"/>
              </w:rPr>
              <w:t>Incentives (6)</w:t>
            </w:r>
          </w:p>
        </w:tc>
        <w:tc>
          <w:tcPr>
            <w:tcW w:w="100" w:type="dxa"/>
            <w:vAlign w:val="bottom"/>
          </w:tcPr>
          <w:p>
            <w:pPr>
              <w:spacing w:after="0"/>
              <w:rPr>
                <w:sz w:val="12"/>
                <w:szCs w:val="12"/>
                <w:color w:val="auto"/>
              </w:rPr>
            </w:pPr>
          </w:p>
        </w:tc>
        <w:tc>
          <w:tcPr>
            <w:tcW w:w="880" w:type="dxa"/>
            <w:vAlign w:val="bottom"/>
          </w:tcPr>
          <w:p>
            <w:pPr>
              <w:jc w:val="center"/>
              <w:ind w:right="15"/>
              <w:spacing w:after="0"/>
              <w:rPr>
                <w:sz w:val="20"/>
                <w:szCs w:val="20"/>
                <w:color w:val="auto"/>
              </w:rPr>
            </w:pPr>
            <w:r>
              <w:rPr>
                <w:rFonts w:ascii="Arial" w:cs="Arial" w:eastAsia="Arial" w:hAnsi="Arial"/>
                <w:sz w:val="11"/>
                <w:szCs w:val="11"/>
                <w:b w:val="1"/>
                <w:bCs w:val="1"/>
                <w:color w:val="auto"/>
                <w:w w:val="88"/>
              </w:rPr>
              <w:t>Ft.</w:t>
            </w:r>
          </w:p>
        </w:tc>
        <w:tc>
          <w:tcPr>
            <w:tcW w:w="360" w:type="dxa"/>
            <w:vAlign w:val="bottom"/>
          </w:tcPr>
          <w:p>
            <w:pPr>
              <w:spacing w:after="0"/>
              <w:rPr>
                <w:sz w:val="12"/>
                <w:szCs w:val="12"/>
                <w:color w:val="auto"/>
              </w:rPr>
            </w:pP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3rd Quarter 2017</w:t>
            </w:r>
          </w:p>
        </w:tc>
        <w:tc>
          <w:tcPr>
            <w:tcW w:w="5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46</w:t>
            </w: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56%</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234,330</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36.31</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$ 33.59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637,012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6.7</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1,848,000</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7.89</w:t>
            </w:r>
          </w:p>
        </w:tc>
        <w:tc>
          <w:tcPr>
            <w:tcW w:w="360" w:type="dxa"/>
            <w:vAlign w:val="bottom"/>
            <w:shd w:val="clear" w:color="auto" w:fill="CCEEFF"/>
          </w:tcPr>
          <w:p>
            <w:pPr>
              <w:spacing w:after="0"/>
              <w:rPr>
                <w:sz w:val="21"/>
                <w:szCs w:val="21"/>
                <w:color w:val="auto"/>
              </w:rPr>
            </w:pPr>
          </w:p>
        </w:tc>
      </w:tr>
      <w:tr>
        <w:trPr>
          <w:trHeight w:val="264"/>
        </w:trPr>
        <w:tc>
          <w:tcPr>
            <w:tcW w:w="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2nd Quarter 2017</w:t>
            </w:r>
          </w:p>
        </w:tc>
        <w:tc>
          <w:tcPr>
            <w:tcW w:w="580" w:type="dxa"/>
            <w:vAlign w:val="bottom"/>
          </w:tcPr>
          <w:p>
            <w:pPr>
              <w:jc w:val="right"/>
              <w:ind w:right="55"/>
              <w:spacing w:after="0"/>
              <w:rPr>
                <w:sz w:val="20"/>
                <w:szCs w:val="20"/>
                <w:color w:val="auto"/>
              </w:rPr>
            </w:pPr>
            <w:r>
              <w:rPr>
                <w:rFonts w:ascii="Arial" w:cs="Arial" w:eastAsia="Arial" w:hAnsi="Arial"/>
                <w:sz w:val="14"/>
                <w:szCs w:val="14"/>
                <w:color w:val="auto"/>
              </w:rPr>
              <w:t>63</w:t>
            </w:r>
          </w:p>
        </w:tc>
        <w:tc>
          <w:tcPr>
            <w:tcW w:w="12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63%</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jc w:val="right"/>
              <w:ind w:right="51"/>
              <w:spacing w:after="0"/>
              <w:rPr>
                <w:sz w:val="20"/>
                <w:szCs w:val="20"/>
                <w:color w:val="auto"/>
              </w:rPr>
            </w:pPr>
            <w:r>
              <w:rPr>
                <w:rFonts w:ascii="Arial" w:cs="Arial" w:eastAsia="Arial" w:hAnsi="Arial"/>
                <w:sz w:val="14"/>
                <w:szCs w:val="14"/>
                <w:color w:val="auto"/>
              </w:rPr>
              <w:t>235,950</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53.04</w:t>
            </w:r>
          </w:p>
        </w:tc>
        <w:tc>
          <w:tcPr>
            <w:tcW w:w="120" w:type="dxa"/>
            <w:vAlign w:val="bottom"/>
          </w:tcPr>
          <w:p>
            <w:pPr>
              <w:spacing w:after="0"/>
              <w:rPr>
                <w:sz w:val="22"/>
                <w:szCs w:val="22"/>
                <w:color w:val="auto"/>
              </w:rPr>
            </w:pPr>
          </w:p>
        </w:tc>
        <w:tc>
          <w:tcPr>
            <w:tcW w:w="540" w:type="dxa"/>
            <w:vAlign w:val="bottom"/>
          </w:tcPr>
          <w:p>
            <w:pPr>
              <w:jc w:val="right"/>
              <w:ind w:right="35"/>
              <w:spacing w:after="0"/>
              <w:rPr>
                <w:sz w:val="20"/>
                <w:szCs w:val="20"/>
                <w:color w:val="auto"/>
              </w:rPr>
            </w:pPr>
            <w:r>
              <w:rPr>
                <w:rFonts w:ascii="Arial" w:cs="Arial" w:eastAsia="Arial" w:hAnsi="Arial"/>
                <w:sz w:val="14"/>
                <w:szCs w:val="14"/>
                <w:color w:val="auto"/>
                <w:w w:val="89"/>
              </w:rPr>
              <w:t>$ 47.55</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w w:val="99"/>
              </w:rPr>
              <w:t>1,293,779</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22"/>
                <w:szCs w:val="22"/>
                <w:color w:val="auto"/>
              </w:rPr>
            </w:pPr>
          </w:p>
        </w:tc>
        <w:tc>
          <w:tcPr>
            <w:tcW w:w="660" w:type="dxa"/>
            <w:vAlign w:val="bottom"/>
          </w:tcPr>
          <w:p>
            <w:pPr>
              <w:jc w:val="right"/>
              <w:ind w:right="36"/>
              <w:spacing w:after="0"/>
              <w:rPr>
                <w:sz w:val="20"/>
                <w:szCs w:val="20"/>
                <w:color w:val="auto"/>
              </w:rPr>
            </w:pPr>
            <w:r>
              <w:rPr>
                <w:rFonts w:ascii="Arial" w:cs="Arial" w:eastAsia="Arial" w:hAnsi="Arial"/>
                <w:sz w:val="14"/>
                <w:szCs w:val="14"/>
                <w:color w:val="auto"/>
              </w:rPr>
              <w:t>9.8</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7,816,148</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5"/>
              <w:spacing w:after="0"/>
              <w:rPr>
                <w:sz w:val="20"/>
                <w:szCs w:val="20"/>
                <w:color w:val="auto"/>
              </w:rPr>
            </w:pPr>
            <w:r>
              <w:rPr>
                <w:rFonts w:ascii="Arial" w:cs="Arial" w:eastAsia="Arial" w:hAnsi="Arial"/>
                <w:sz w:val="14"/>
                <w:szCs w:val="14"/>
                <w:color w:val="auto"/>
              </w:rPr>
              <w:t>33.13</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(8)</w:t>
            </w:r>
          </w:p>
        </w:tc>
      </w:tr>
      <w:tr>
        <w:trPr>
          <w:trHeight w:val="276"/>
        </w:trPr>
        <w:tc>
          <w:tcPr>
            <w:tcW w:w="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1st Quarter 2017</w:t>
            </w:r>
          </w:p>
        </w:tc>
        <w:tc>
          <w:tcPr>
            <w:tcW w:w="5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57</w:t>
            </w: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56%</w:t>
            </w: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235,481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34.24</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$ 32.65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374,830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5.4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446,126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1.89</w:t>
            </w:r>
          </w:p>
        </w:tc>
        <w:tc>
          <w:tcPr>
            <w:tcW w:w="360" w:type="dxa"/>
            <w:vAlign w:val="bottom"/>
            <w:shd w:val="clear" w:color="auto" w:fill="CCEEFF"/>
          </w:tcPr>
          <w:p>
            <w:pPr>
              <w:spacing w:after="0"/>
              <w:rPr>
                <w:sz w:val="24"/>
                <w:szCs w:val="24"/>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4th Quarter 2016</w:t>
            </w:r>
          </w:p>
        </w:tc>
        <w:tc>
          <w:tcPr>
            <w:tcW w:w="5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color w:val="auto"/>
              </w:rPr>
              <w:t>49</w:t>
            </w:r>
          </w:p>
        </w:tc>
        <w:tc>
          <w:tcPr>
            <w:tcW w:w="12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64%</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158,982</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30.99</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w w:val="89"/>
              </w:rPr>
              <w:t>$ 30.69</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46,873</w:t>
            </w:r>
          </w:p>
        </w:tc>
        <w:tc>
          <w:tcPr>
            <w:tcW w:w="12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4.5</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282,207</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1.78</w:t>
            </w:r>
          </w:p>
        </w:tc>
        <w:tc>
          <w:tcPr>
            <w:tcW w:w="360" w:type="dxa"/>
            <w:vAlign w:val="bottom"/>
            <w:tcBorders>
              <w:bottom w:val="single" w:sz="8" w:color="auto"/>
            </w:tcBorders>
          </w:tcPr>
          <w:p>
            <w:pPr>
              <w:spacing w:after="0"/>
              <w:rPr>
                <w:sz w:val="22"/>
                <w:szCs w:val="22"/>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Total - 12 months</w:t>
            </w:r>
          </w:p>
        </w:tc>
        <w:tc>
          <w:tcPr>
            <w:tcW w:w="5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4"/>
                <w:szCs w:val="14"/>
                <w:color w:val="auto"/>
              </w:rPr>
              <w:t>215</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60%</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864,743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39.33</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w w:val="89"/>
              </w:rPr>
              <w:t>$ 36.61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w w:val="99"/>
              </w:rPr>
              <w:t>2,352,494</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4"/>
                <w:szCs w:val="14"/>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10,392,481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4"/>
                <w:szCs w:val="14"/>
                <w:color w:val="auto"/>
              </w:rPr>
              <w:t>12.02</w:t>
            </w:r>
          </w:p>
        </w:tc>
        <w:tc>
          <w:tcPr>
            <w:tcW w:w="360" w:type="dxa"/>
            <w:vAlign w:val="bottom"/>
            <w:tcBorders>
              <w:bottom w:val="single" w:sz="8" w:color="auto"/>
            </w:tcBorders>
            <w:shd w:val="clear" w:color="auto" w:fill="CCEEFF"/>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gridSpan w:val="2"/>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700" w:type="dxa"/>
            <w:vAlign w:val="bottom"/>
            <w:gridSpan w:val="13"/>
          </w:tcPr>
          <w:p>
            <w:pPr>
              <w:spacing w:after="0"/>
              <w:rPr>
                <w:sz w:val="20"/>
                <w:szCs w:val="20"/>
                <w:color w:val="auto"/>
              </w:rPr>
            </w:pPr>
            <w:r>
              <w:rPr>
                <w:rFonts w:ascii="Arial" w:cs="Arial" w:eastAsia="Arial" w:hAnsi="Arial"/>
                <w:sz w:val="14"/>
                <w:szCs w:val="14"/>
                <w:b w:val="1"/>
                <w:bCs w:val="1"/>
                <w:color w:val="auto"/>
              </w:rPr>
              <w:t>Total Lease Summary - Comparable and Non-comparable (2) (10)</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55"/>
        </w:trPr>
        <w:tc>
          <w:tcPr>
            <w:tcW w:w="20" w:type="dxa"/>
            <w:vAlign w:val="bottom"/>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4"/>
              </w:rPr>
              <w:t>Weighted</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center"/>
              <w:ind w:right="15"/>
              <w:spacing w:after="0"/>
              <w:rPr>
                <w:sz w:val="20"/>
                <w:szCs w:val="20"/>
                <w:color w:val="auto"/>
              </w:rPr>
            </w:pPr>
            <w:r>
              <w:rPr>
                <w:rFonts w:ascii="Arial" w:cs="Arial" w:eastAsia="Arial" w:hAnsi="Arial"/>
                <w:sz w:val="11"/>
                <w:szCs w:val="11"/>
                <w:b w:val="1"/>
                <w:bCs w:val="1"/>
                <w:color w:val="auto"/>
                <w:w w:val="88"/>
              </w:rPr>
              <w:t>Tenant</w:t>
            </w:r>
          </w:p>
        </w:tc>
        <w:tc>
          <w:tcPr>
            <w:tcW w:w="360" w:type="dxa"/>
            <w:vAlign w:val="bottom"/>
          </w:tcPr>
          <w:p>
            <w:pPr>
              <w:spacing w:after="0"/>
              <w:rPr>
                <w:sz w:val="13"/>
                <w:szCs w:val="13"/>
                <w:color w:val="auto"/>
              </w:rPr>
            </w:pPr>
          </w:p>
        </w:tc>
      </w:tr>
      <w:tr>
        <w:trPr>
          <w:trHeight w:val="122"/>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Number</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1"/>
              </w:rPr>
              <w:t>Contractual</w:t>
            </w: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7"/>
              </w:rPr>
              <w:t>Average</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8"/>
              </w:rPr>
              <w:t>Tenant</w:t>
            </w:r>
          </w:p>
        </w:tc>
        <w:tc>
          <w:tcPr>
            <w:tcW w:w="100" w:type="dxa"/>
            <w:vAlign w:val="bottom"/>
          </w:tcPr>
          <w:p>
            <w:pPr>
              <w:spacing w:after="0"/>
              <w:rPr>
                <w:sz w:val="10"/>
                <w:szCs w:val="10"/>
                <w:color w:val="auto"/>
              </w:rPr>
            </w:pPr>
          </w:p>
        </w:tc>
        <w:tc>
          <w:tcPr>
            <w:tcW w:w="880" w:type="dxa"/>
            <w:vAlign w:val="bottom"/>
          </w:tcPr>
          <w:p>
            <w:pPr>
              <w:jc w:val="center"/>
              <w:ind w:right="15"/>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36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2"/>
              </w:rPr>
              <w:t>of Leases</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Rent (3) Per Sq.</w:t>
            </w: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Lease Term</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9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8"/>
              </w:rPr>
              <w:t>Incentives Per Sq.</w:t>
            </w:r>
          </w:p>
        </w:tc>
        <w:tc>
          <w:tcPr>
            <w:tcW w:w="360" w:type="dxa"/>
            <w:vAlign w:val="bottom"/>
          </w:tcPr>
          <w:p>
            <w:pPr>
              <w:spacing w:after="0"/>
              <w:rPr>
                <w:sz w:val="10"/>
                <w:szCs w:val="10"/>
                <w:color w:val="auto"/>
              </w:rPr>
            </w:pPr>
          </w:p>
        </w:tc>
      </w:tr>
      <w:tr>
        <w:trPr>
          <w:trHeight w:val="140"/>
        </w:trPr>
        <w:tc>
          <w:tcPr>
            <w:tcW w:w="20" w:type="dxa"/>
            <w:vAlign w:val="bottom"/>
          </w:tcPr>
          <w:p>
            <w:pPr>
              <w:spacing w:after="0"/>
              <w:rPr>
                <w:sz w:val="12"/>
                <w:szCs w:val="12"/>
                <w:color w:val="auto"/>
              </w:rPr>
            </w:pPr>
          </w:p>
        </w:tc>
        <w:tc>
          <w:tcPr>
            <w:tcW w:w="1240" w:type="dxa"/>
            <w:vAlign w:val="bottom"/>
          </w:tcPr>
          <w:p>
            <w:pPr>
              <w:jc w:val="right"/>
              <w:ind w:right="371"/>
              <w:spacing w:after="0"/>
              <w:rPr>
                <w:sz w:val="20"/>
                <w:szCs w:val="20"/>
                <w:color w:val="auto"/>
              </w:rPr>
            </w:pPr>
            <w:r>
              <w:rPr>
                <w:rFonts w:ascii="Arial" w:cs="Arial" w:eastAsia="Arial" w:hAnsi="Arial"/>
                <w:sz w:val="11"/>
                <w:szCs w:val="11"/>
                <w:b w:val="1"/>
                <w:bCs w:val="1"/>
                <w:color w:val="auto"/>
              </w:rPr>
              <w:t>Quarter</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1"/>
              </w:rPr>
              <w:t>Signed</w:t>
            </w:r>
          </w:p>
        </w:tc>
        <w:tc>
          <w:tcPr>
            <w:tcW w:w="140" w:type="dxa"/>
            <w:vAlign w:val="bottom"/>
          </w:tcPr>
          <w:p>
            <w:pPr>
              <w:spacing w:after="0"/>
              <w:rPr>
                <w:sz w:val="12"/>
                <w:szCs w:val="12"/>
                <w:color w:val="auto"/>
              </w:rPr>
            </w:pPr>
          </w:p>
        </w:tc>
        <w:tc>
          <w:tcPr>
            <w:tcW w:w="1680" w:type="dxa"/>
            <w:vAlign w:val="bottom"/>
            <w:gridSpan w:val="4"/>
          </w:tcPr>
          <w:p>
            <w:pPr>
              <w:ind w:left="440"/>
              <w:spacing w:after="0"/>
              <w:rPr>
                <w:sz w:val="20"/>
                <w:szCs w:val="20"/>
                <w:color w:val="auto"/>
              </w:rPr>
            </w:pPr>
            <w:r>
              <w:rPr>
                <w:rFonts w:ascii="Arial" w:cs="Arial" w:eastAsia="Arial" w:hAnsi="Arial"/>
                <w:sz w:val="11"/>
                <w:szCs w:val="11"/>
                <w:b w:val="1"/>
                <w:bCs w:val="1"/>
                <w:color w:val="auto"/>
              </w:rPr>
              <w:t>GLA Signed</w:t>
            </w:r>
          </w:p>
        </w:tc>
        <w:tc>
          <w:tcPr>
            <w:tcW w:w="120" w:type="dxa"/>
            <w:vAlign w:val="bottom"/>
          </w:tcPr>
          <w:p>
            <w:pPr>
              <w:spacing w:after="0"/>
              <w:rPr>
                <w:sz w:val="12"/>
                <w:szCs w:val="12"/>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Ft.</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rPr>
              <w:t>(5)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8"/>
              </w:rPr>
              <w:t>Incentives (6)</w:t>
            </w:r>
          </w:p>
        </w:tc>
        <w:tc>
          <w:tcPr>
            <w:tcW w:w="100" w:type="dxa"/>
            <w:vAlign w:val="bottom"/>
          </w:tcPr>
          <w:p>
            <w:pPr>
              <w:spacing w:after="0"/>
              <w:rPr>
                <w:sz w:val="12"/>
                <w:szCs w:val="12"/>
                <w:color w:val="auto"/>
              </w:rPr>
            </w:pPr>
          </w:p>
        </w:tc>
        <w:tc>
          <w:tcPr>
            <w:tcW w:w="880" w:type="dxa"/>
            <w:vAlign w:val="bottom"/>
          </w:tcPr>
          <w:p>
            <w:pPr>
              <w:jc w:val="center"/>
              <w:ind w:right="15"/>
              <w:spacing w:after="0"/>
              <w:rPr>
                <w:sz w:val="20"/>
                <w:szCs w:val="20"/>
                <w:color w:val="auto"/>
              </w:rPr>
            </w:pPr>
            <w:r>
              <w:rPr>
                <w:rFonts w:ascii="Arial" w:cs="Arial" w:eastAsia="Arial" w:hAnsi="Arial"/>
                <w:sz w:val="11"/>
                <w:szCs w:val="11"/>
                <w:b w:val="1"/>
                <w:bCs w:val="1"/>
                <w:color w:val="auto"/>
                <w:w w:val="88"/>
              </w:rPr>
              <w:t>Ft.</w:t>
            </w:r>
          </w:p>
        </w:tc>
        <w:tc>
          <w:tcPr>
            <w:tcW w:w="360" w:type="dxa"/>
            <w:vAlign w:val="bottom"/>
          </w:tcPr>
          <w:p>
            <w:pPr>
              <w:spacing w:after="0"/>
              <w:rPr>
                <w:sz w:val="12"/>
                <w:szCs w:val="12"/>
                <w:color w:val="auto"/>
              </w:rPr>
            </w:pP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264"/>
        </w:trPr>
        <w:tc>
          <w:tcPr>
            <w:tcW w:w="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3rd Quarter 2017</w:t>
            </w: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90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99"/>
              <w:spacing w:after="0"/>
              <w:rPr>
                <w:sz w:val="20"/>
                <w:szCs w:val="20"/>
                <w:color w:val="auto"/>
              </w:rPr>
            </w:pPr>
            <w:r>
              <w:rPr>
                <w:rFonts w:ascii="Arial" w:cs="Arial" w:eastAsia="Arial" w:hAnsi="Arial"/>
                <w:sz w:val="14"/>
                <w:szCs w:val="14"/>
                <w:color w:val="auto"/>
              </w:rPr>
              <w:t>424,492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39.33</w:t>
            </w: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7.6</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12,087,142</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28.47</w:t>
            </w:r>
          </w:p>
        </w:tc>
        <w:tc>
          <w:tcPr>
            <w:tcW w:w="360" w:type="dxa"/>
            <w:vAlign w:val="bottom"/>
            <w:shd w:val="clear" w:color="auto" w:fill="CCEEFF"/>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2nd Quarter 2017</w:t>
            </w: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35"/>
              <w:spacing w:after="0"/>
              <w:rPr>
                <w:sz w:val="20"/>
                <w:szCs w:val="20"/>
                <w:color w:val="auto"/>
              </w:rPr>
            </w:pPr>
            <w:r>
              <w:rPr>
                <w:rFonts w:ascii="Arial" w:cs="Arial" w:eastAsia="Arial" w:hAnsi="Arial"/>
                <w:sz w:val="14"/>
                <w:szCs w:val="14"/>
                <w:color w:val="auto"/>
              </w:rPr>
              <w:t>111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40" w:type="dxa"/>
            <w:vAlign w:val="bottom"/>
            <w:gridSpan w:val="2"/>
          </w:tcPr>
          <w:p>
            <w:pPr>
              <w:jc w:val="right"/>
              <w:ind w:right="99"/>
              <w:spacing w:after="0"/>
              <w:rPr>
                <w:sz w:val="20"/>
                <w:szCs w:val="20"/>
                <w:color w:val="auto"/>
              </w:rPr>
            </w:pPr>
            <w:r>
              <w:rPr>
                <w:rFonts w:ascii="Arial" w:cs="Arial" w:eastAsia="Arial" w:hAnsi="Arial"/>
                <w:sz w:val="14"/>
                <w:szCs w:val="14"/>
                <w:color w:val="auto"/>
              </w:rPr>
              <w:t>432,164</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73"/>
              <w:spacing w:after="0"/>
              <w:rPr>
                <w:sz w:val="20"/>
                <w:szCs w:val="20"/>
                <w:color w:val="auto"/>
              </w:rPr>
            </w:pPr>
            <w:r>
              <w:rPr>
                <w:rFonts w:ascii="Arial" w:cs="Arial" w:eastAsia="Arial" w:hAnsi="Arial"/>
                <w:sz w:val="14"/>
                <w:szCs w:val="14"/>
                <w:color w:val="auto"/>
              </w:rPr>
              <w:t>46.16</w:t>
            </w:r>
          </w:p>
        </w:tc>
        <w:tc>
          <w:tcPr>
            <w:tcW w:w="120" w:type="dxa"/>
            <w:vAlign w:val="bottom"/>
          </w:tcPr>
          <w:p>
            <w:pPr>
              <w:spacing w:after="0"/>
              <w:rPr>
                <w:sz w:val="22"/>
                <w:szCs w:val="22"/>
                <w:color w:val="auto"/>
              </w:rPr>
            </w:pPr>
          </w:p>
        </w:tc>
        <w:tc>
          <w:tcPr>
            <w:tcW w:w="660" w:type="dxa"/>
            <w:vAlign w:val="bottom"/>
          </w:tcPr>
          <w:p>
            <w:pPr>
              <w:jc w:val="right"/>
              <w:ind w:right="36"/>
              <w:spacing w:after="0"/>
              <w:rPr>
                <w:sz w:val="20"/>
                <w:szCs w:val="20"/>
                <w:color w:val="auto"/>
              </w:rPr>
            </w:pPr>
            <w:r>
              <w:rPr>
                <w:rFonts w:ascii="Arial" w:cs="Arial" w:eastAsia="Arial" w:hAnsi="Arial"/>
                <w:sz w:val="14"/>
                <w:szCs w:val="14"/>
                <w:color w:val="auto"/>
              </w:rPr>
              <w:t>9.5</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19,131,023</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5"/>
              <w:spacing w:after="0"/>
              <w:rPr>
                <w:sz w:val="20"/>
                <w:szCs w:val="20"/>
                <w:color w:val="auto"/>
              </w:rPr>
            </w:pPr>
            <w:r>
              <w:rPr>
                <w:rFonts w:ascii="Arial" w:cs="Arial" w:eastAsia="Arial" w:hAnsi="Arial"/>
                <w:sz w:val="14"/>
                <w:szCs w:val="14"/>
                <w:color w:val="auto"/>
              </w:rPr>
              <w:t>44.27</w:t>
            </w:r>
          </w:p>
        </w:tc>
        <w:tc>
          <w:tcPr>
            <w:tcW w:w="360" w:type="dxa"/>
            <w:vAlign w:val="bottom"/>
          </w:tcPr>
          <w:p>
            <w:pPr>
              <w:spacing w:after="0"/>
              <w:rPr>
                <w:sz w:val="22"/>
                <w:szCs w:val="22"/>
                <w:color w:val="auto"/>
              </w:rPr>
            </w:pPr>
          </w:p>
        </w:tc>
      </w:tr>
      <w:tr>
        <w:trPr>
          <w:trHeight w:val="276"/>
        </w:trPr>
        <w:tc>
          <w:tcPr>
            <w:tcW w:w="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1st Quarter 2017</w:t>
            </w: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114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99"/>
              <w:spacing w:after="0"/>
              <w:rPr>
                <w:sz w:val="20"/>
                <w:szCs w:val="20"/>
                <w:color w:val="auto"/>
              </w:rPr>
            </w:pPr>
            <w:r>
              <w:rPr>
                <w:rFonts w:ascii="Arial" w:cs="Arial" w:eastAsia="Arial" w:hAnsi="Arial"/>
                <w:sz w:val="14"/>
                <w:szCs w:val="14"/>
                <w:color w:val="auto"/>
              </w:rPr>
              <w:t>591,765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34.87</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8.3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24,718,054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41.77</w:t>
            </w:r>
          </w:p>
        </w:tc>
        <w:tc>
          <w:tcPr>
            <w:tcW w:w="360" w:type="dxa"/>
            <w:vAlign w:val="bottom"/>
            <w:shd w:val="clear" w:color="auto" w:fill="CCEEFF"/>
          </w:tcPr>
          <w:p>
            <w:pPr>
              <w:spacing w:after="0"/>
              <w:rPr>
                <w:sz w:val="24"/>
                <w:szCs w:val="24"/>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4th Quarter 2016</w:t>
            </w:r>
          </w:p>
        </w:tc>
        <w:tc>
          <w:tcPr>
            <w:tcW w:w="5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CCEEFF"/>
            </w:tcBorders>
          </w:tcPr>
          <w:p>
            <w:pPr>
              <w:spacing w:after="0"/>
              <w:rPr>
                <w:sz w:val="22"/>
                <w:szCs w:val="22"/>
                <w:color w:val="auto"/>
              </w:rPr>
            </w:pPr>
          </w:p>
        </w:tc>
        <w:tc>
          <w:tcPr>
            <w:tcW w:w="40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5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89</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4"/>
                <w:szCs w:val="14"/>
                <w:color w:val="auto"/>
              </w:rPr>
              <w:t>347,604</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rPr>
              <w:t>38.25</w:t>
            </w: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8.2</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11,290,441</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32.48</w:t>
            </w:r>
          </w:p>
        </w:tc>
        <w:tc>
          <w:tcPr>
            <w:tcW w:w="360" w:type="dxa"/>
            <w:vAlign w:val="bottom"/>
            <w:tcBorders>
              <w:bottom w:val="single" w:sz="8" w:color="auto"/>
            </w:tcBorders>
          </w:tcPr>
          <w:p>
            <w:pPr>
              <w:spacing w:after="0"/>
              <w:rPr>
                <w:sz w:val="22"/>
                <w:szCs w:val="2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Total - 12 months</w:t>
            </w:r>
          </w:p>
        </w:tc>
        <w:tc>
          <w:tcPr>
            <w:tcW w:w="5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404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gridSpan w:val="2"/>
            <w:shd w:val="clear" w:color="auto" w:fill="CCEEFF"/>
          </w:tcPr>
          <w:p>
            <w:pPr>
              <w:jc w:val="right"/>
              <w:ind w:right="99"/>
              <w:spacing w:after="0"/>
              <w:rPr>
                <w:sz w:val="20"/>
                <w:szCs w:val="20"/>
                <w:color w:val="auto"/>
              </w:rPr>
            </w:pPr>
            <w:r>
              <w:rPr>
                <w:rFonts w:ascii="Arial" w:cs="Arial" w:eastAsia="Arial" w:hAnsi="Arial"/>
                <w:sz w:val="14"/>
                <w:szCs w:val="14"/>
                <w:color w:val="auto"/>
              </w:rPr>
              <w:t>1,796,025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4"/>
                <w:szCs w:val="14"/>
                <w:color w:val="auto"/>
              </w:rPr>
              <w:t>39.29</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4"/>
                <w:szCs w:val="14"/>
                <w:color w:val="auto"/>
              </w:rPr>
              <w:t>8.5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67,226,660</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4"/>
                <w:szCs w:val="14"/>
                <w:color w:val="auto"/>
              </w:rPr>
              <w:t>37.43</w:t>
            </w:r>
          </w:p>
        </w:tc>
        <w:tc>
          <w:tcPr>
            <w:tcW w:w="360" w:type="dxa"/>
            <w:vAlign w:val="bottom"/>
            <w:tcBorders>
              <w:bottom w:val="single" w:sz="8" w:color="auto"/>
            </w:tcBorders>
            <w:shd w:val="clear" w:color="auto" w:fill="CCEEFF"/>
          </w:tcPr>
          <w:p>
            <w:pPr>
              <w:spacing w:after="0"/>
              <w:rPr>
                <w:sz w:val="23"/>
                <w:szCs w:val="23"/>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20"/>
        <w:spacing w:after="0"/>
        <w:rPr>
          <w:sz w:val="20"/>
          <w:szCs w:val="20"/>
          <w:color w:val="auto"/>
        </w:rPr>
      </w:pPr>
      <w:r>
        <w:rPr>
          <w:rFonts w:ascii="Arial" w:cs="Arial" w:eastAsia="Arial" w:hAnsi="Arial"/>
          <w:sz w:val="13"/>
          <w:szCs w:val="13"/>
          <w:u w:val="single" w:color="auto"/>
          <w:color w:val="auto"/>
        </w:rPr>
        <w:t>Notes:</w:t>
      </w:r>
    </w:p>
    <w:p>
      <w:pPr>
        <w:spacing w:after="0" w:line="40" w:lineRule="exact"/>
        <w:rPr>
          <w:sz w:val="20"/>
          <w:szCs w:val="20"/>
          <w:color w:val="auto"/>
        </w:rPr>
      </w:pPr>
    </w:p>
    <w:p>
      <w:pPr>
        <w:ind w:left="600" w:hanging="585"/>
        <w:spacing w:after="0"/>
        <w:tabs>
          <w:tab w:leader="none" w:pos="6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Leases on this report represent retail activity only; office and residential leases are not included.</w:t>
      </w:r>
    </w:p>
    <w:p>
      <w:pPr>
        <w:spacing w:after="0" w:line="39" w:lineRule="exact"/>
        <w:rPr>
          <w:rFonts w:ascii="Arial" w:cs="Arial" w:eastAsia="Arial" w:hAnsi="Arial"/>
          <w:sz w:val="13"/>
          <w:szCs w:val="13"/>
          <w:color w:val="auto"/>
        </w:rPr>
      </w:pPr>
    </w:p>
    <w:p>
      <w:pPr>
        <w:ind w:left="600" w:hanging="585"/>
        <w:spacing w:after="0"/>
        <w:tabs>
          <w:tab w:leader="none" w:pos="6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Comparable leases represent those leases signed on spaces for which there was a former tenant.</w:t>
      </w:r>
    </w:p>
    <w:p>
      <w:pPr>
        <w:spacing w:after="0" w:line="39" w:lineRule="exact"/>
        <w:rPr>
          <w:rFonts w:ascii="Arial" w:cs="Arial" w:eastAsia="Arial" w:hAnsi="Arial"/>
          <w:sz w:val="13"/>
          <w:szCs w:val="13"/>
          <w:color w:val="auto"/>
        </w:rPr>
      </w:pPr>
    </w:p>
    <w:p>
      <w:pPr>
        <w:ind w:left="600" w:hanging="585"/>
        <w:spacing w:after="0"/>
        <w:tabs>
          <w:tab w:leader="none" w:pos="6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Contractual rent represents contractual minimum rent under the new lease for the first 12 months of the term.</w:t>
      </w:r>
    </w:p>
    <w:p>
      <w:pPr>
        <w:spacing w:after="0" w:line="39" w:lineRule="exact"/>
        <w:rPr>
          <w:rFonts w:ascii="Arial" w:cs="Arial" w:eastAsia="Arial" w:hAnsi="Arial"/>
          <w:sz w:val="13"/>
          <w:szCs w:val="13"/>
          <w:color w:val="auto"/>
        </w:rPr>
      </w:pPr>
    </w:p>
    <w:p>
      <w:pPr>
        <w:ind w:left="600" w:hanging="585"/>
        <w:spacing w:after="0"/>
        <w:tabs>
          <w:tab w:leader="none" w:pos="6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Prior rent represents minimum rent and percentage rent, if any, paid by the prior tenant in the final 12 months of the term.</w:t>
      </w:r>
    </w:p>
    <w:p>
      <w:pPr>
        <w:spacing w:after="0" w:line="39" w:lineRule="exact"/>
        <w:rPr>
          <w:rFonts w:ascii="Arial" w:cs="Arial" w:eastAsia="Arial" w:hAnsi="Arial"/>
          <w:sz w:val="13"/>
          <w:szCs w:val="13"/>
          <w:color w:val="auto"/>
        </w:rPr>
      </w:pPr>
    </w:p>
    <w:p>
      <w:pPr>
        <w:ind w:left="600" w:hanging="585"/>
        <w:spacing w:after="0"/>
        <w:tabs>
          <w:tab w:leader="none" w:pos="6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Weighted average is determined on the basis of contractual rent for the first 12 months of the term.</w:t>
      </w:r>
    </w:p>
    <w:p>
      <w:pPr>
        <w:spacing w:after="0" w:line="39" w:lineRule="exact"/>
        <w:rPr>
          <w:rFonts w:ascii="Arial" w:cs="Arial" w:eastAsia="Arial" w:hAnsi="Arial"/>
          <w:sz w:val="13"/>
          <w:szCs w:val="13"/>
          <w:color w:val="auto"/>
        </w:rPr>
      </w:pPr>
    </w:p>
    <w:p>
      <w:pPr>
        <w:ind w:left="600" w:hanging="585"/>
        <w:spacing w:after="0"/>
        <w:tabs>
          <w:tab w:leader="none" w:pos="6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See Glossary of Terms.</w:t>
      </w:r>
    </w:p>
    <w:p>
      <w:pPr>
        <w:spacing w:after="0" w:line="39" w:lineRule="exact"/>
        <w:rPr>
          <w:rFonts w:ascii="Arial" w:cs="Arial" w:eastAsia="Arial" w:hAnsi="Arial"/>
          <w:sz w:val="13"/>
          <w:szCs w:val="13"/>
          <w:color w:val="auto"/>
        </w:rPr>
      </w:pPr>
    </w:p>
    <w:p>
      <w:pPr>
        <w:ind w:left="600" w:right="440" w:hanging="585"/>
        <w:spacing w:after="0" w:line="273" w:lineRule="auto"/>
        <w:tabs>
          <w:tab w:leader="none" w:pos="600" w:val="left"/>
        </w:tabs>
        <w:numPr>
          <w:ilvl w:val="0"/>
          <w:numId w:val="19"/>
        </w:numPr>
        <w:rPr>
          <w:rFonts w:ascii="Arial" w:cs="Arial" w:eastAsia="Arial" w:hAnsi="Arial"/>
          <w:sz w:val="12"/>
          <w:szCs w:val="12"/>
          <w:color w:val="auto"/>
        </w:rPr>
      </w:pPr>
      <w:r>
        <w:rPr>
          <w:rFonts w:ascii="Arial" w:cs="Arial" w:eastAsia="Arial" w:hAnsi="Arial"/>
          <w:sz w:val="12"/>
          <w:szCs w:val="12"/>
          <w:color w:val="auto"/>
        </w:rPr>
        <w:t>Approximately $3.5 million ($2.28 per square foot) in 1st Quarter 2017 and $0.3 million ($0.74 per square foot) in 4th Quarter 2016 of the Tenant Improvements &amp; Incentives are for properties under active redevelopment (e.g. Montrose Crossing and Willow Lawn) and are included in the Projected Cost for those projects on the Summary of Redevelopment Opportunities.</w:t>
      </w:r>
    </w:p>
    <w:p>
      <w:pPr>
        <w:spacing w:after="0" w:line="10" w:lineRule="exact"/>
        <w:rPr>
          <w:rFonts w:ascii="Arial" w:cs="Arial" w:eastAsia="Arial" w:hAnsi="Arial"/>
          <w:sz w:val="12"/>
          <w:szCs w:val="12"/>
          <w:color w:val="auto"/>
        </w:rPr>
      </w:pPr>
    </w:p>
    <w:p>
      <w:pPr>
        <w:ind w:left="600" w:right="260" w:hanging="585"/>
        <w:spacing w:after="0" w:line="237" w:lineRule="auto"/>
        <w:tabs>
          <w:tab w:leader="none" w:pos="6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Approximately $7.5 million of the Tenant Improvements &amp; Incentives is attributable to one 20 year anchor tenant renewal; total Tenant Improvements &amp; Incentives without this lease would be $1.58 per square foot.</w:t>
      </w:r>
    </w:p>
    <w:p>
      <w:pPr>
        <w:spacing w:after="0" w:line="28" w:lineRule="exact"/>
        <w:rPr>
          <w:rFonts w:ascii="Arial" w:cs="Arial" w:eastAsia="Arial" w:hAnsi="Arial"/>
          <w:sz w:val="13"/>
          <w:szCs w:val="13"/>
          <w:color w:val="auto"/>
        </w:rPr>
      </w:pPr>
    </w:p>
    <w:p>
      <w:pPr>
        <w:ind w:left="600" w:hanging="585"/>
        <w:spacing w:after="0"/>
        <w:tabs>
          <w:tab w:leader="none" w:pos="6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Renewal leases represent expiring leases rolling over with the same tenant in the same location. All other leases are categorized as new.</w:t>
      </w:r>
    </w:p>
    <w:p>
      <w:pPr>
        <w:spacing w:after="0" w:line="39" w:lineRule="exact"/>
        <w:rPr>
          <w:rFonts w:ascii="Arial" w:cs="Arial" w:eastAsia="Arial" w:hAnsi="Arial"/>
          <w:sz w:val="13"/>
          <w:szCs w:val="13"/>
          <w:color w:val="auto"/>
        </w:rPr>
      </w:pPr>
    </w:p>
    <w:p>
      <w:pPr>
        <w:ind w:left="600" w:right="180" w:hanging="585"/>
        <w:spacing w:after="0" w:line="254" w:lineRule="auto"/>
        <w:tabs>
          <w:tab w:leader="none" w:pos="600" w:val="left"/>
        </w:tabs>
        <w:numPr>
          <w:ilvl w:val="0"/>
          <w:numId w:val="19"/>
        </w:numPr>
        <w:rPr>
          <w:rFonts w:ascii="Arial" w:cs="Arial" w:eastAsia="Arial" w:hAnsi="Arial"/>
          <w:sz w:val="12"/>
          <w:szCs w:val="12"/>
          <w:color w:val="auto"/>
        </w:rPr>
      </w:pPr>
      <w:r>
        <w:rPr>
          <w:rFonts w:ascii="Arial" w:cs="Arial" w:eastAsia="Arial" w:hAnsi="Arial"/>
          <w:sz w:val="12"/>
          <w:szCs w:val="12"/>
          <w:color w:val="auto"/>
        </w:rPr>
        <w:t>The Number of Leases Signed, GLA Signed, Contractual Rent Per Sq Ft and Weighted Average Lease Term columns include information for leases signed at our Assembly Row and Pike &amp; Rose projects. The Tenant Improvements &amp; Incentives and Tenant Improvements &amp; Incentives Per Sq Ft columns do not include the tenant improvements and incentives on leases signed for those projects; these amounts for leases signed for Assembly Row and Pike &amp; Rose are included in the Projected Cost column for those projects shown on the Assembly Row and Pike &amp; Rose schedule.</w:t>
      </w:r>
    </w:p>
    <w:p>
      <w:pPr>
        <w:sectPr>
          <w:pgSz w:w="11900" w:h="16838" w:orient="portrait"/>
          <w:cols w:equalWidth="0" w:num="1">
            <w:col w:w="11380"/>
          </w:cols>
          <w:pgMar w:left="260" w:top="760" w:right="259"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380"/>
          </w:cols>
          <w:pgMar w:left="260" w:top="760" w:right="259" w:bottom="1440" w:gutter="0" w:footer="0" w:header="0"/>
          <w:type w:val="continuous"/>
        </w:sectPr>
      </w:pPr>
    </w:p>
    <w:bookmarkStart w:id="31" w:name="page32"/>
    <w:bookmarkEnd w:id="31"/>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Lease Expirations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September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2838450" cy="1803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38450" cy="180340"/>
                    </a:xfrm>
                    <a:prstGeom prst="rect">
                      <a:avLst/>
                    </a:prstGeom>
                    <a:noFill/>
                  </pic:spPr>
                </pic:pic>
              </a:graphicData>
            </a:graphic>
          </wp:anchor>
        </w:drawing>
      </w:r>
    </w:p>
    <w:p>
      <w:pPr>
        <w:spacing w:after="0" w:line="33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Assumes no exercise of lease options</w:t>
      </w:r>
    </w:p>
    <w:p>
      <w:pPr>
        <w:spacing w:after="0" w:line="280"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1140" w:type="dxa"/>
            <w:vAlign w:val="bottom"/>
          </w:tcPr>
          <w:p>
            <w:pPr>
              <w:spacing w:after="0"/>
              <w:rPr>
                <w:sz w:val="16"/>
                <w:szCs w:val="16"/>
                <w:color w:val="auto"/>
              </w:rPr>
            </w:pPr>
          </w:p>
        </w:tc>
        <w:tc>
          <w:tcPr>
            <w:tcW w:w="24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Anchor Tenants (1)</w:t>
            </w:r>
          </w:p>
        </w:tc>
        <w:tc>
          <w:tcPr>
            <w:tcW w:w="9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4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Small Shop Tenants</w:t>
            </w:r>
          </w:p>
        </w:tc>
        <w:tc>
          <w:tcPr>
            <w:tcW w:w="9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14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Year</w:t>
            </w:r>
          </w:p>
        </w:tc>
        <w:tc>
          <w:tcPr>
            <w:tcW w:w="124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Expiring SF</w:t>
            </w:r>
          </w:p>
        </w:tc>
        <w:tc>
          <w:tcPr>
            <w:tcW w:w="9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 of Anchor</w:t>
            </w:r>
          </w:p>
        </w:tc>
        <w:tc>
          <w:tcPr>
            <w:tcW w:w="134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126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Expiring SF</w:t>
            </w:r>
          </w:p>
        </w:tc>
        <w:tc>
          <w:tcPr>
            <w:tcW w:w="9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 of Small</w:t>
            </w:r>
          </w:p>
        </w:tc>
        <w:tc>
          <w:tcPr>
            <w:tcW w:w="134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134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Expiring SF (4)</w:t>
            </w:r>
          </w:p>
        </w:tc>
        <w:tc>
          <w:tcPr>
            <w:tcW w:w="740" w:type="dxa"/>
            <w:vAlign w:val="bottom"/>
          </w:tcPr>
          <w:p>
            <w:pPr>
              <w:jc w:val="right"/>
              <w:ind w:right="121"/>
              <w:spacing w:after="0" w:line="153" w:lineRule="exact"/>
              <w:rPr>
                <w:sz w:val="20"/>
                <w:szCs w:val="20"/>
                <w:color w:val="auto"/>
              </w:rPr>
            </w:pPr>
            <w:r>
              <w:rPr>
                <w:rFonts w:ascii="Arial" w:cs="Arial" w:eastAsia="Arial" w:hAnsi="Arial"/>
                <w:sz w:val="14"/>
                <w:szCs w:val="14"/>
                <w:b w:val="1"/>
                <w:bCs w:val="1"/>
                <w:color w:val="auto"/>
              </w:rPr>
              <w:t>% of</w:t>
            </w:r>
          </w:p>
        </w:tc>
        <w:tc>
          <w:tcPr>
            <w:tcW w:w="112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0" w:type="dxa"/>
            <w:vAlign w:val="bottom"/>
          </w:tcPr>
          <w:p>
            <w:pPr>
              <w:spacing w:after="0"/>
              <w:rPr>
                <w:sz w:val="1"/>
                <w:szCs w:val="1"/>
                <w:color w:val="auto"/>
              </w:rPr>
            </w:pPr>
          </w:p>
        </w:tc>
      </w:tr>
      <w:tr>
        <w:trPr>
          <w:trHeight w:val="192"/>
        </w:trPr>
        <w:tc>
          <w:tcPr>
            <w:tcW w:w="114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SF</w:t>
            </w:r>
          </w:p>
        </w:tc>
        <w:tc>
          <w:tcPr>
            <w:tcW w:w="22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PSF (2)</w:t>
            </w:r>
          </w:p>
        </w:tc>
        <w:tc>
          <w:tcPr>
            <w:tcW w:w="1260" w:type="dxa"/>
            <w:vAlign w:val="bottom"/>
            <w:vMerge w:val="continue"/>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1"/>
              </w:rPr>
              <w:t>Shop SF</w:t>
            </w:r>
          </w:p>
        </w:tc>
        <w:tc>
          <w:tcPr>
            <w:tcW w:w="22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PSF (2)</w:t>
            </w:r>
          </w:p>
        </w:tc>
        <w:tc>
          <w:tcPr>
            <w:tcW w:w="1340" w:type="dxa"/>
            <w:vAlign w:val="bottom"/>
            <w:vMerge w:val="continue"/>
          </w:tcPr>
          <w:p>
            <w:pPr>
              <w:spacing w:after="0"/>
              <w:rPr>
                <w:sz w:val="16"/>
                <w:szCs w:val="16"/>
                <w:color w:val="auto"/>
              </w:rPr>
            </w:pPr>
          </w:p>
        </w:tc>
        <w:tc>
          <w:tcPr>
            <w:tcW w:w="740" w:type="dxa"/>
            <w:vAlign w:val="bottom"/>
          </w:tcPr>
          <w:p>
            <w:pPr>
              <w:ind w:left="120"/>
              <w:spacing w:after="0"/>
              <w:rPr>
                <w:sz w:val="20"/>
                <w:szCs w:val="20"/>
                <w:color w:val="auto"/>
              </w:rPr>
            </w:pPr>
            <w:r>
              <w:rPr>
                <w:rFonts w:ascii="Arial" w:cs="Arial" w:eastAsia="Arial" w:hAnsi="Arial"/>
                <w:sz w:val="14"/>
                <w:szCs w:val="14"/>
                <w:b w:val="1"/>
                <w:bCs w:val="1"/>
                <w:color w:val="auto"/>
              </w:rPr>
              <w:t>Total SF</w:t>
            </w:r>
          </w:p>
        </w:tc>
        <w:tc>
          <w:tcPr>
            <w:tcW w:w="220" w:type="dxa"/>
            <w:vAlign w:val="bottom"/>
          </w:tcPr>
          <w:p>
            <w:pPr>
              <w:spacing w:after="0"/>
              <w:rPr>
                <w:sz w:val="16"/>
                <w:szCs w:val="16"/>
                <w:color w:val="auto"/>
              </w:rPr>
            </w:pPr>
          </w:p>
        </w:tc>
        <w:tc>
          <w:tcPr>
            <w:tcW w:w="900" w:type="dxa"/>
            <w:vAlign w:val="bottom"/>
          </w:tcPr>
          <w:p>
            <w:pPr>
              <w:jc w:val="center"/>
              <w:ind w:right="160"/>
              <w:spacing w:after="0"/>
              <w:rPr>
                <w:sz w:val="20"/>
                <w:szCs w:val="20"/>
                <w:color w:val="auto"/>
              </w:rPr>
            </w:pPr>
            <w:r>
              <w:rPr>
                <w:rFonts w:ascii="Arial" w:cs="Arial" w:eastAsia="Arial" w:hAnsi="Arial"/>
                <w:sz w:val="14"/>
                <w:szCs w:val="14"/>
                <w:b w:val="1"/>
                <w:bCs w:val="1"/>
                <w:color w:val="auto"/>
                <w:w w:val="95"/>
              </w:rPr>
              <w:t>PSF (2)</w:t>
            </w:r>
          </w:p>
        </w:tc>
        <w:tc>
          <w:tcPr>
            <w:tcW w:w="0" w:type="dxa"/>
            <w:vAlign w:val="bottom"/>
          </w:tcPr>
          <w:p>
            <w:pPr>
              <w:spacing w:after="0"/>
              <w:rPr>
                <w:sz w:val="1"/>
                <w:szCs w:val="1"/>
                <w:color w:val="auto"/>
              </w:rPr>
            </w:pPr>
          </w:p>
        </w:tc>
      </w:tr>
      <w:tr>
        <w:trPr>
          <w:trHeight w:val="236"/>
        </w:trPr>
        <w:tc>
          <w:tcPr>
            <w:tcW w:w="1140" w:type="dxa"/>
            <w:vAlign w:val="bottom"/>
            <w:tcBorders>
              <w:top w:val="single" w:sz="8" w:color="auto"/>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2017</w:t>
            </w:r>
          </w:p>
        </w:tc>
        <w:tc>
          <w:tcPr>
            <w:tcW w:w="12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75,000</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2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11.05</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238,000</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28.79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313,000</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24.54</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1,121,000</w:t>
            </w:r>
          </w:p>
        </w:tc>
        <w:tc>
          <w:tcPr>
            <w:tcW w:w="960" w:type="dxa"/>
            <w:vAlign w:val="bottom"/>
          </w:tcPr>
          <w:p>
            <w:pPr>
              <w:jc w:val="right"/>
              <w:spacing w:after="0"/>
              <w:rPr>
                <w:sz w:val="20"/>
                <w:szCs w:val="20"/>
                <w:color w:val="auto"/>
              </w:rPr>
            </w:pPr>
            <w:r>
              <w:rPr>
                <w:rFonts w:ascii="Arial" w:cs="Arial" w:eastAsia="Arial" w:hAnsi="Arial"/>
                <w:sz w:val="16"/>
                <w:szCs w:val="16"/>
                <w:color w:val="auto"/>
              </w:rPr>
              <w:t>7%</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17.60</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776,000</w:t>
            </w:r>
          </w:p>
        </w:tc>
        <w:tc>
          <w:tcPr>
            <w:tcW w:w="940" w:type="dxa"/>
            <w:vAlign w:val="bottom"/>
          </w:tcPr>
          <w:p>
            <w:pPr>
              <w:jc w:val="right"/>
              <w:spacing w:after="0"/>
              <w:rPr>
                <w:sz w:val="20"/>
                <w:szCs w:val="20"/>
                <w:color w:val="auto"/>
              </w:rPr>
            </w:pPr>
            <w:r>
              <w:rPr>
                <w:rFonts w:ascii="Arial" w:cs="Arial" w:eastAsia="Arial" w:hAnsi="Arial"/>
                <w:sz w:val="16"/>
                <w:szCs w:val="16"/>
                <w:color w:val="auto"/>
              </w:rPr>
              <w:t>11%</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38.61</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1,897,000</w:t>
            </w:r>
          </w:p>
        </w:tc>
        <w:tc>
          <w:tcPr>
            <w:tcW w:w="740" w:type="dxa"/>
            <w:vAlign w:val="bottom"/>
          </w:tcPr>
          <w:p>
            <w:pPr>
              <w:jc w:val="right"/>
              <w:spacing w:after="0"/>
              <w:rPr>
                <w:sz w:val="20"/>
                <w:szCs w:val="20"/>
                <w:color w:val="auto"/>
              </w:rPr>
            </w:pPr>
            <w:r>
              <w:rPr>
                <w:rFonts w:ascii="Arial" w:cs="Arial" w:eastAsia="Arial" w:hAnsi="Arial"/>
                <w:sz w:val="16"/>
                <w:szCs w:val="16"/>
                <w:color w:val="auto"/>
              </w:rPr>
              <w:t>8%</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26.19</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2019</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2,105,000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18.80</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846,000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38.02</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2,951,000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24.31</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1,401,000</w:t>
            </w:r>
          </w:p>
        </w:tc>
        <w:tc>
          <w:tcPr>
            <w:tcW w:w="960" w:type="dxa"/>
            <w:vAlign w:val="bottom"/>
          </w:tcPr>
          <w:p>
            <w:pPr>
              <w:jc w:val="right"/>
              <w:spacing w:after="0"/>
              <w:rPr>
                <w:sz w:val="20"/>
                <w:szCs w:val="20"/>
                <w:color w:val="auto"/>
              </w:rPr>
            </w:pPr>
            <w:r>
              <w:rPr>
                <w:rFonts w:ascii="Arial" w:cs="Arial" w:eastAsia="Arial" w:hAnsi="Arial"/>
                <w:sz w:val="16"/>
                <w:szCs w:val="16"/>
                <w:color w:val="auto"/>
              </w:rPr>
              <w:t>9%</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17.31</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921,000</w:t>
            </w:r>
          </w:p>
        </w:tc>
        <w:tc>
          <w:tcPr>
            <w:tcW w:w="940" w:type="dxa"/>
            <w:vAlign w:val="bottom"/>
          </w:tcPr>
          <w:p>
            <w:pPr>
              <w:jc w:val="right"/>
              <w:spacing w:after="0"/>
              <w:rPr>
                <w:sz w:val="20"/>
                <w:szCs w:val="20"/>
                <w:color w:val="auto"/>
              </w:rPr>
            </w:pPr>
            <w:r>
              <w:rPr>
                <w:rFonts w:ascii="Arial" w:cs="Arial" w:eastAsia="Arial" w:hAnsi="Arial"/>
                <w:sz w:val="16"/>
                <w:szCs w:val="16"/>
                <w:color w:val="auto"/>
              </w:rPr>
              <w:t>13%</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40.77</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2,322,000</w:t>
            </w:r>
          </w:p>
        </w:tc>
        <w:tc>
          <w:tcPr>
            <w:tcW w:w="740" w:type="dxa"/>
            <w:vAlign w:val="bottom"/>
          </w:tcPr>
          <w:p>
            <w:pPr>
              <w:jc w:val="right"/>
              <w:spacing w:after="0"/>
              <w:rPr>
                <w:sz w:val="20"/>
                <w:szCs w:val="20"/>
                <w:color w:val="auto"/>
              </w:rPr>
            </w:pPr>
            <w:r>
              <w:rPr>
                <w:rFonts w:ascii="Arial" w:cs="Arial" w:eastAsia="Arial" w:hAnsi="Arial"/>
                <w:sz w:val="16"/>
                <w:szCs w:val="16"/>
                <w:color w:val="auto"/>
              </w:rPr>
              <w:t>10%</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26.61</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2021</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1,734,000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21.71</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899,000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43.38</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2,632,000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29.10</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2022</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2,113,000</w:t>
            </w:r>
          </w:p>
        </w:tc>
        <w:tc>
          <w:tcPr>
            <w:tcW w:w="960" w:type="dxa"/>
            <w:vAlign w:val="bottom"/>
          </w:tcPr>
          <w:p>
            <w:pPr>
              <w:jc w:val="right"/>
              <w:spacing w:after="0"/>
              <w:rPr>
                <w:sz w:val="20"/>
                <w:szCs w:val="20"/>
                <w:color w:val="auto"/>
              </w:rPr>
            </w:pPr>
            <w:r>
              <w:rPr>
                <w:rFonts w:ascii="Arial" w:cs="Arial" w:eastAsia="Arial" w:hAnsi="Arial"/>
                <w:sz w:val="16"/>
                <w:szCs w:val="16"/>
                <w:color w:val="auto"/>
              </w:rPr>
              <w:t>14%</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17.50</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930,000</w:t>
            </w:r>
          </w:p>
        </w:tc>
        <w:tc>
          <w:tcPr>
            <w:tcW w:w="940" w:type="dxa"/>
            <w:vAlign w:val="bottom"/>
          </w:tcPr>
          <w:p>
            <w:pPr>
              <w:jc w:val="right"/>
              <w:spacing w:after="0"/>
              <w:rPr>
                <w:sz w:val="20"/>
                <w:szCs w:val="20"/>
                <w:color w:val="auto"/>
              </w:rPr>
            </w:pPr>
            <w:r>
              <w:rPr>
                <w:rFonts w:ascii="Arial" w:cs="Arial" w:eastAsia="Arial" w:hAnsi="Arial"/>
                <w:sz w:val="16"/>
                <w:szCs w:val="16"/>
                <w:color w:val="auto"/>
              </w:rPr>
              <w:t>13%</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41.23</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3,043,000</w:t>
            </w:r>
          </w:p>
        </w:tc>
        <w:tc>
          <w:tcPr>
            <w:tcW w:w="740" w:type="dxa"/>
            <w:vAlign w:val="bottom"/>
          </w:tcPr>
          <w:p>
            <w:pPr>
              <w:jc w:val="right"/>
              <w:spacing w:after="0"/>
              <w:rPr>
                <w:sz w:val="20"/>
                <w:szCs w:val="20"/>
                <w:color w:val="auto"/>
              </w:rPr>
            </w:pPr>
            <w:r>
              <w:rPr>
                <w:rFonts w:ascii="Arial" w:cs="Arial" w:eastAsia="Arial" w:hAnsi="Arial"/>
                <w:sz w:val="16"/>
                <w:szCs w:val="16"/>
                <w:color w:val="auto"/>
              </w:rPr>
              <w:t>14%</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24.75</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2023</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1,182,000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20.62</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598,000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44.60</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1,780,000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28.67</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2024</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1,000,000</w:t>
            </w:r>
          </w:p>
        </w:tc>
        <w:tc>
          <w:tcPr>
            <w:tcW w:w="96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16.23</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513,000</w:t>
            </w:r>
          </w:p>
        </w:tc>
        <w:tc>
          <w:tcPr>
            <w:tcW w:w="940" w:type="dxa"/>
            <w:vAlign w:val="bottom"/>
          </w:tcPr>
          <w:p>
            <w:pPr>
              <w:jc w:val="right"/>
              <w:spacing w:after="0"/>
              <w:rPr>
                <w:sz w:val="20"/>
                <w:szCs w:val="20"/>
                <w:color w:val="auto"/>
              </w:rPr>
            </w:pPr>
            <w:r>
              <w:rPr>
                <w:rFonts w:ascii="Arial" w:cs="Arial" w:eastAsia="Arial" w:hAnsi="Arial"/>
                <w:sz w:val="16"/>
                <w:szCs w:val="16"/>
                <w:color w:val="auto"/>
              </w:rPr>
              <w:t>7%</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46.31</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1,513,000</w:t>
            </w:r>
          </w:p>
        </w:tc>
        <w:tc>
          <w:tcPr>
            <w:tcW w:w="740" w:type="dxa"/>
            <w:vAlign w:val="bottom"/>
          </w:tcPr>
          <w:p>
            <w:pPr>
              <w:jc w:val="right"/>
              <w:spacing w:after="0"/>
              <w:rPr>
                <w:sz w:val="20"/>
                <w:szCs w:val="20"/>
                <w:color w:val="auto"/>
              </w:rPr>
            </w:pPr>
            <w:r>
              <w:rPr>
                <w:rFonts w:ascii="Arial" w:cs="Arial" w:eastAsia="Arial" w:hAnsi="Arial"/>
                <w:sz w:val="16"/>
                <w:szCs w:val="16"/>
                <w:color w:val="auto"/>
              </w:rPr>
              <w:t>7%</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26.43</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2025</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881,000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22.71</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460,000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40.61</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1,341,000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28.85</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2026</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563,000</w:t>
            </w:r>
          </w:p>
        </w:tc>
        <w:tc>
          <w:tcPr>
            <w:tcW w:w="96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25.88</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358,000</w:t>
            </w:r>
          </w:p>
        </w:tc>
        <w:tc>
          <w:tcPr>
            <w:tcW w:w="94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44.47</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921,000</w:t>
            </w: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33.11</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Thereafter</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3,194,000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21.97</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598,000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47.16</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3,793,000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25.95</w:t>
            </w:r>
          </w:p>
        </w:tc>
        <w:tc>
          <w:tcPr>
            <w:tcW w:w="0" w:type="dxa"/>
            <w:vAlign w:val="bottom"/>
          </w:tcPr>
          <w:p>
            <w:pPr>
              <w:spacing w:after="0"/>
              <w:rPr>
                <w:sz w:val="1"/>
                <w:szCs w:val="1"/>
                <w:color w:val="auto"/>
              </w:rPr>
            </w:pPr>
          </w:p>
        </w:tc>
      </w:tr>
      <w:tr>
        <w:trPr>
          <w:trHeight w:val="244"/>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Total (3)</w:t>
            </w:r>
          </w:p>
        </w:tc>
        <w:tc>
          <w:tcPr>
            <w:tcW w:w="12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15,369,000</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19.80</w:t>
            </w:r>
          </w:p>
        </w:tc>
        <w:tc>
          <w:tcPr>
            <w:tcW w:w="200" w:type="dxa"/>
            <w:vAlign w:val="bottom"/>
          </w:tcPr>
          <w:p>
            <w:pPr>
              <w:spacing w:after="0"/>
              <w:rPr>
                <w:sz w:val="21"/>
                <w:szCs w:val="21"/>
                <w:color w:val="auto"/>
              </w:rPr>
            </w:pPr>
          </w:p>
        </w:tc>
        <w:tc>
          <w:tcPr>
            <w:tcW w:w="12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7,137,000</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41.63</w:t>
            </w:r>
          </w:p>
        </w:tc>
        <w:tc>
          <w:tcPr>
            <w:tcW w:w="220" w:type="dxa"/>
            <w:vAlign w:val="bottom"/>
          </w:tcPr>
          <w:p>
            <w:pPr>
              <w:spacing w:after="0"/>
              <w:rPr>
                <w:sz w:val="21"/>
                <w:szCs w:val="21"/>
                <w:color w:val="auto"/>
              </w:rPr>
            </w:pPr>
          </w:p>
        </w:tc>
        <w:tc>
          <w:tcPr>
            <w:tcW w:w="13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22,506,000</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26.72</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3340" w:type="dxa"/>
            <w:vAlign w:val="bottom"/>
            <w:tcBorders>
              <w:left w:val="single" w:sz="8" w:color="auto"/>
            </w:tcBorders>
            <w:gridSpan w:val="3"/>
          </w:tcPr>
          <w:p>
            <w:pPr>
              <w:jc w:val="right"/>
              <w:ind w:right="540"/>
              <w:spacing w:after="0"/>
              <w:rPr>
                <w:sz w:val="20"/>
                <w:szCs w:val="20"/>
                <w:color w:val="auto"/>
              </w:rPr>
            </w:pPr>
            <w:r>
              <w:rPr>
                <w:rFonts w:ascii="Arial" w:cs="Arial" w:eastAsia="Arial" w:hAnsi="Arial"/>
                <w:sz w:val="16"/>
                <w:szCs w:val="16"/>
                <w:b w:val="1"/>
                <w:bCs w:val="1"/>
                <w:color w:val="auto"/>
                <w:w w:val="87"/>
              </w:rPr>
              <w:t>Assumes all lease options are exercised</w:t>
            </w:r>
          </w:p>
        </w:tc>
        <w:tc>
          <w:tcPr>
            <w:tcW w:w="22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140" w:type="dxa"/>
            <w:vAlign w:val="bottom"/>
            <w:tcBorders>
              <w:left w:val="single" w:sz="8" w:color="auto"/>
              <w:bottom w:val="single" w:sz="8" w:color="auto"/>
            </w:tcBorders>
          </w:tcPr>
          <w:p>
            <w:pPr>
              <w:spacing w:after="0"/>
              <w:rPr>
                <w:sz w:val="2"/>
                <w:szCs w:val="2"/>
                <w:color w:val="auto"/>
              </w:rPr>
            </w:pPr>
          </w:p>
        </w:tc>
        <w:tc>
          <w:tcPr>
            <w:tcW w:w="242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20" w:type="dxa"/>
            <w:vAlign w:val="bottom"/>
            <w:gridSpan w:val="3"/>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93"/>
        </w:trPr>
        <w:tc>
          <w:tcPr>
            <w:tcW w:w="1140" w:type="dxa"/>
            <w:vAlign w:val="bottom"/>
          </w:tcPr>
          <w:p>
            <w:pPr>
              <w:spacing w:after="0"/>
              <w:rPr>
                <w:sz w:val="24"/>
                <w:szCs w:val="24"/>
                <w:color w:val="auto"/>
              </w:rPr>
            </w:pPr>
          </w:p>
        </w:tc>
        <w:tc>
          <w:tcPr>
            <w:tcW w:w="24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Anchor Tenants (1)</w:t>
            </w:r>
          </w:p>
        </w:tc>
        <w:tc>
          <w:tcPr>
            <w:tcW w:w="9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Small Shop Tenants</w:t>
            </w:r>
          </w:p>
        </w:tc>
        <w:tc>
          <w:tcPr>
            <w:tcW w:w="9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14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Year</w:t>
            </w:r>
          </w:p>
        </w:tc>
        <w:tc>
          <w:tcPr>
            <w:tcW w:w="124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Expiring SF</w:t>
            </w:r>
          </w:p>
        </w:tc>
        <w:tc>
          <w:tcPr>
            <w:tcW w:w="9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 of Anchor</w:t>
            </w:r>
          </w:p>
        </w:tc>
        <w:tc>
          <w:tcPr>
            <w:tcW w:w="134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126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Expiring SF</w:t>
            </w:r>
          </w:p>
        </w:tc>
        <w:tc>
          <w:tcPr>
            <w:tcW w:w="9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 of Small</w:t>
            </w:r>
          </w:p>
        </w:tc>
        <w:tc>
          <w:tcPr>
            <w:tcW w:w="134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134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Expiring SF (4)</w:t>
            </w:r>
          </w:p>
        </w:tc>
        <w:tc>
          <w:tcPr>
            <w:tcW w:w="740" w:type="dxa"/>
            <w:vAlign w:val="bottom"/>
          </w:tcPr>
          <w:p>
            <w:pPr>
              <w:jc w:val="right"/>
              <w:ind w:right="121"/>
              <w:spacing w:after="0" w:line="153" w:lineRule="exact"/>
              <w:rPr>
                <w:sz w:val="20"/>
                <w:szCs w:val="20"/>
                <w:color w:val="auto"/>
              </w:rPr>
            </w:pPr>
            <w:r>
              <w:rPr>
                <w:rFonts w:ascii="Arial" w:cs="Arial" w:eastAsia="Arial" w:hAnsi="Arial"/>
                <w:sz w:val="14"/>
                <w:szCs w:val="14"/>
                <w:b w:val="1"/>
                <w:bCs w:val="1"/>
                <w:color w:val="auto"/>
              </w:rPr>
              <w:t>% of</w:t>
            </w:r>
          </w:p>
        </w:tc>
        <w:tc>
          <w:tcPr>
            <w:tcW w:w="112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0" w:type="dxa"/>
            <w:vAlign w:val="bottom"/>
          </w:tcPr>
          <w:p>
            <w:pPr>
              <w:spacing w:after="0"/>
              <w:rPr>
                <w:sz w:val="1"/>
                <w:szCs w:val="1"/>
                <w:color w:val="auto"/>
              </w:rPr>
            </w:pPr>
          </w:p>
        </w:tc>
      </w:tr>
      <w:tr>
        <w:trPr>
          <w:trHeight w:val="192"/>
        </w:trPr>
        <w:tc>
          <w:tcPr>
            <w:tcW w:w="114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SF</w:t>
            </w:r>
          </w:p>
        </w:tc>
        <w:tc>
          <w:tcPr>
            <w:tcW w:w="22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PSF (2)</w:t>
            </w:r>
          </w:p>
        </w:tc>
        <w:tc>
          <w:tcPr>
            <w:tcW w:w="1260" w:type="dxa"/>
            <w:vAlign w:val="bottom"/>
            <w:vMerge w:val="continue"/>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1"/>
              </w:rPr>
              <w:t>Shop SF</w:t>
            </w:r>
          </w:p>
        </w:tc>
        <w:tc>
          <w:tcPr>
            <w:tcW w:w="22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PSF (2)</w:t>
            </w:r>
          </w:p>
        </w:tc>
        <w:tc>
          <w:tcPr>
            <w:tcW w:w="1340" w:type="dxa"/>
            <w:vAlign w:val="bottom"/>
            <w:vMerge w:val="continue"/>
          </w:tcPr>
          <w:p>
            <w:pPr>
              <w:spacing w:after="0"/>
              <w:rPr>
                <w:sz w:val="16"/>
                <w:szCs w:val="16"/>
                <w:color w:val="auto"/>
              </w:rPr>
            </w:pPr>
          </w:p>
        </w:tc>
        <w:tc>
          <w:tcPr>
            <w:tcW w:w="740" w:type="dxa"/>
            <w:vAlign w:val="bottom"/>
          </w:tcPr>
          <w:p>
            <w:pPr>
              <w:ind w:left="120"/>
              <w:spacing w:after="0"/>
              <w:rPr>
                <w:sz w:val="20"/>
                <w:szCs w:val="20"/>
                <w:color w:val="auto"/>
              </w:rPr>
            </w:pPr>
            <w:r>
              <w:rPr>
                <w:rFonts w:ascii="Arial" w:cs="Arial" w:eastAsia="Arial" w:hAnsi="Arial"/>
                <w:sz w:val="14"/>
                <w:szCs w:val="14"/>
                <w:b w:val="1"/>
                <w:bCs w:val="1"/>
                <w:color w:val="auto"/>
              </w:rPr>
              <w:t>Total SF</w:t>
            </w:r>
          </w:p>
        </w:tc>
        <w:tc>
          <w:tcPr>
            <w:tcW w:w="220" w:type="dxa"/>
            <w:vAlign w:val="bottom"/>
          </w:tcPr>
          <w:p>
            <w:pPr>
              <w:spacing w:after="0"/>
              <w:rPr>
                <w:sz w:val="16"/>
                <w:szCs w:val="16"/>
                <w:color w:val="auto"/>
              </w:rPr>
            </w:pPr>
          </w:p>
        </w:tc>
        <w:tc>
          <w:tcPr>
            <w:tcW w:w="900" w:type="dxa"/>
            <w:vAlign w:val="bottom"/>
          </w:tcPr>
          <w:p>
            <w:pPr>
              <w:jc w:val="center"/>
              <w:ind w:right="160"/>
              <w:spacing w:after="0"/>
              <w:rPr>
                <w:sz w:val="20"/>
                <w:szCs w:val="20"/>
                <w:color w:val="auto"/>
              </w:rPr>
            </w:pPr>
            <w:r>
              <w:rPr>
                <w:rFonts w:ascii="Arial" w:cs="Arial" w:eastAsia="Arial" w:hAnsi="Arial"/>
                <w:sz w:val="14"/>
                <w:szCs w:val="14"/>
                <w:b w:val="1"/>
                <w:bCs w:val="1"/>
                <w:color w:val="auto"/>
                <w:w w:val="95"/>
              </w:rPr>
              <w:t>PSF (2)</w:t>
            </w:r>
          </w:p>
        </w:tc>
        <w:tc>
          <w:tcPr>
            <w:tcW w:w="0" w:type="dxa"/>
            <w:vAlign w:val="bottom"/>
          </w:tcPr>
          <w:p>
            <w:pPr>
              <w:spacing w:after="0"/>
              <w:rPr>
                <w:sz w:val="1"/>
                <w:szCs w:val="1"/>
                <w:color w:val="auto"/>
              </w:rPr>
            </w:pPr>
          </w:p>
        </w:tc>
      </w:tr>
      <w:tr>
        <w:trPr>
          <w:trHeight w:val="236"/>
        </w:trPr>
        <w:tc>
          <w:tcPr>
            <w:tcW w:w="1140" w:type="dxa"/>
            <w:vAlign w:val="bottom"/>
            <w:tcBorders>
              <w:top w:val="single" w:sz="8" w:color="auto"/>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2017</w:t>
            </w:r>
          </w:p>
        </w:tc>
        <w:tc>
          <w:tcPr>
            <w:tcW w:w="12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59,000</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2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9.02</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193,000</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26.94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252,000</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22.76</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505,000</w:t>
            </w:r>
          </w:p>
        </w:tc>
        <w:tc>
          <w:tcPr>
            <w:tcW w:w="96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20.32</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515,000</w:t>
            </w:r>
          </w:p>
        </w:tc>
        <w:tc>
          <w:tcPr>
            <w:tcW w:w="940" w:type="dxa"/>
            <w:vAlign w:val="bottom"/>
          </w:tcPr>
          <w:p>
            <w:pPr>
              <w:jc w:val="right"/>
              <w:spacing w:after="0"/>
              <w:rPr>
                <w:sz w:val="20"/>
                <w:szCs w:val="20"/>
                <w:color w:val="auto"/>
              </w:rPr>
            </w:pPr>
            <w:r>
              <w:rPr>
                <w:rFonts w:ascii="Arial" w:cs="Arial" w:eastAsia="Arial" w:hAnsi="Arial"/>
                <w:sz w:val="16"/>
                <w:szCs w:val="16"/>
                <w:color w:val="auto"/>
              </w:rPr>
              <w:t>7%</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39.16</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1,019,000</w:t>
            </w: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29.83</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2019</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491,000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19.94</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553,000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37.69</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1,044,000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29.34</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234,000</w:t>
            </w: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19.09</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581,000</w:t>
            </w:r>
          </w:p>
        </w:tc>
        <w:tc>
          <w:tcPr>
            <w:tcW w:w="940" w:type="dxa"/>
            <w:vAlign w:val="bottom"/>
          </w:tcPr>
          <w:p>
            <w:pPr>
              <w:jc w:val="right"/>
              <w:spacing w:after="0"/>
              <w:rPr>
                <w:sz w:val="20"/>
                <w:szCs w:val="20"/>
                <w:color w:val="auto"/>
              </w:rPr>
            </w:pPr>
            <w:r>
              <w:rPr>
                <w:rFonts w:ascii="Arial" w:cs="Arial" w:eastAsia="Arial" w:hAnsi="Arial"/>
                <w:sz w:val="16"/>
                <w:szCs w:val="16"/>
                <w:color w:val="auto"/>
              </w:rPr>
              <w:t>8%</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40.16</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815,000</w:t>
            </w: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34.11</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2021</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416,000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24.89</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507,000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47.09</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923,000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37.08</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2022</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347,000</w:t>
            </w: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23.03</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570,000</w:t>
            </w:r>
          </w:p>
        </w:tc>
        <w:tc>
          <w:tcPr>
            <w:tcW w:w="940" w:type="dxa"/>
            <w:vAlign w:val="bottom"/>
          </w:tcPr>
          <w:p>
            <w:pPr>
              <w:jc w:val="right"/>
              <w:spacing w:after="0"/>
              <w:rPr>
                <w:sz w:val="20"/>
                <w:szCs w:val="20"/>
                <w:color w:val="auto"/>
              </w:rPr>
            </w:pPr>
            <w:r>
              <w:rPr>
                <w:rFonts w:ascii="Arial" w:cs="Arial" w:eastAsia="Arial" w:hAnsi="Arial"/>
                <w:sz w:val="16"/>
                <w:szCs w:val="16"/>
                <w:color w:val="auto"/>
              </w:rPr>
              <w:t>8%</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40.53</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917,000</w:t>
            </w: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33.90</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2023</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369,000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20.69</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443,000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41.79</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812,000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32.20</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2024</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535,000</w:t>
            </w:r>
          </w:p>
        </w:tc>
        <w:tc>
          <w:tcPr>
            <w:tcW w:w="96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20.66</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349,000</w:t>
            </w:r>
          </w:p>
        </w:tc>
        <w:tc>
          <w:tcPr>
            <w:tcW w:w="94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44.47</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884,000</w:t>
            </w: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30.07</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2025</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381,000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21.68</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410,000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41.61</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791,000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32.01</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2026</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457,000</w:t>
            </w:r>
          </w:p>
        </w:tc>
        <w:tc>
          <w:tcPr>
            <w:tcW w:w="96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26.76</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389,000</w:t>
            </w:r>
          </w:p>
        </w:tc>
        <w:tc>
          <w:tcPr>
            <w:tcW w:w="94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41.21</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847,000</w:t>
            </w: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33.41</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Thereafter</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11,575,000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19.16</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2,627,000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43.19</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14,202,000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23.60</w:t>
            </w:r>
          </w:p>
        </w:tc>
        <w:tc>
          <w:tcPr>
            <w:tcW w:w="0" w:type="dxa"/>
            <w:vAlign w:val="bottom"/>
          </w:tcPr>
          <w:p>
            <w:pPr>
              <w:spacing w:after="0"/>
              <w:rPr>
                <w:sz w:val="1"/>
                <w:szCs w:val="1"/>
                <w:color w:val="auto"/>
              </w:rPr>
            </w:pPr>
          </w:p>
        </w:tc>
      </w:tr>
      <w:tr>
        <w:trPr>
          <w:trHeight w:val="244"/>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Total (3)</w:t>
            </w:r>
          </w:p>
        </w:tc>
        <w:tc>
          <w:tcPr>
            <w:tcW w:w="12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15,369,000</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19.80</w:t>
            </w:r>
          </w:p>
        </w:tc>
        <w:tc>
          <w:tcPr>
            <w:tcW w:w="200" w:type="dxa"/>
            <w:vAlign w:val="bottom"/>
          </w:tcPr>
          <w:p>
            <w:pPr>
              <w:spacing w:after="0"/>
              <w:rPr>
                <w:sz w:val="21"/>
                <w:szCs w:val="21"/>
                <w:color w:val="auto"/>
              </w:rPr>
            </w:pPr>
          </w:p>
        </w:tc>
        <w:tc>
          <w:tcPr>
            <w:tcW w:w="12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7,137,000</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41.63</w:t>
            </w:r>
          </w:p>
        </w:tc>
        <w:tc>
          <w:tcPr>
            <w:tcW w:w="220" w:type="dxa"/>
            <w:vAlign w:val="bottom"/>
          </w:tcPr>
          <w:p>
            <w:pPr>
              <w:spacing w:after="0"/>
              <w:rPr>
                <w:sz w:val="21"/>
                <w:szCs w:val="21"/>
                <w:color w:val="auto"/>
              </w:rPr>
            </w:pPr>
          </w:p>
        </w:tc>
        <w:tc>
          <w:tcPr>
            <w:tcW w:w="13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22,506,000</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26.72</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Notes:</w:t>
      </w:r>
    </w:p>
    <w:p>
      <w:pPr>
        <w:spacing w:after="0" w:line="73" w:lineRule="exact"/>
        <w:rPr>
          <w:sz w:val="20"/>
          <w:szCs w:val="20"/>
          <w:color w:val="auto"/>
        </w:rPr>
      </w:pPr>
    </w:p>
    <w:p>
      <w:pPr>
        <w:ind w:left="1160" w:hanging="1125"/>
        <w:spacing w:after="0"/>
        <w:tabs>
          <w:tab w:leader="none" w:pos="11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Anchor is defined as a retail tenant leasing 10,000 square feet or more.</w:t>
      </w:r>
    </w:p>
    <w:p>
      <w:pPr>
        <w:spacing w:after="0" w:line="72" w:lineRule="exact"/>
        <w:rPr>
          <w:rFonts w:ascii="Arial" w:cs="Arial" w:eastAsia="Arial" w:hAnsi="Arial"/>
          <w:sz w:val="16"/>
          <w:szCs w:val="16"/>
          <w:color w:val="auto"/>
        </w:rPr>
      </w:pPr>
    </w:p>
    <w:p>
      <w:pPr>
        <w:ind w:left="1160" w:hanging="1125"/>
        <w:spacing w:after="0"/>
        <w:tabs>
          <w:tab w:leader="none" w:pos="11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Minimum Rent reflects in-place contractual (defined as cash-basis excluding rent abatements) rent as of September 30, 2017.</w:t>
      </w:r>
    </w:p>
    <w:p>
      <w:pPr>
        <w:spacing w:after="0" w:line="72" w:lineRule="exact"/>
        <w:rPr>
          <w:rFonts w:ascii="Arial" w:cs="Arial" w:eastAsia="Arial" w:hAnsi="Arial"/>
          <w:sz w:val="16"/>
          <w:szCs w:val="16"/>
          <w:color w:val="auto"/>
        </w:rPr>
      </w:pPr>
    </w:p>
    <w:p>
      <w:pPr>
        <w:ind w:left="1160" w:hanging="1125"/>
        <w:spacing w:after="0"/>
        <w:tabs>
          <w:tab w:leader="none" w:pos="11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Represents occupied square footage as of September 30, 2017.</w:t>
      </w:r>
    </w:p>
    <w:p>
      <w:pPr>
        <w:spacing w:after="0" w:line="72" w:lineRule="exact"/>
        <w:rPr>
          <w:rFonts w:ascii="Arial" w:cs="Arial" w:eastAsia="Arial" w:hAnsi="Arial"/>
          <w:sz w:val="16"/>
          <w:szCs w:val="16"/>
          <w:color w:val="auto"/>
        </w:rPr>
      </w:pPr>
    </w:p>
    <w:p>
      <w:pPr>
        <w:ind w:left="1160" w:hanging="1125"/>
        <w:spacing w:after="0"/>
        <w:tabs>
          <w:tab w:leader="none" w:pos="11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Individual items may not add up to total due to rounding.</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742" w:right="239" w:bottom="1440" w:gutter="0" w:footer="0" w:header="0"/>
        </w:sectPr>
      </w:pPr>
    </w:p>
    <w:bookmarkStart w:id="32" w:name="page33"/>
    <w:bookmarkEnd w:id="32"/>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Portfolio Leased Statistics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September 30, 2017</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 w:type="dxa"/>
            <w:vAlign w:val="bottom"/>
          </w:tcPr>
          <w:p>
            <w:pPr>
              <w:spacing w:after="0"/>
              <w:rPr>
                <w:sz w:val="17"/>
                <w:szCs w:val="17"/>
                <w:color w:val="auto"/>
              </w:rPr>
            </w:pPr>
          </w:p>
        </w:tc>
        <w:tc>
          <w:tcPr>
            <w:tcW w:w="206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w w:val="91"/>
              </w:rPr>
              <w:t>Overall Portfolio Statistics (1)</w:t>
            </w:r>
          </w:p>
        </w:tc>
        <w:tc>
          <w:tcPr>
            <w:tcW w:w="2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0" w:type="dxa"/>
            <w:vAlign w:val="bottom"/>
            <w:gridSpan w:val="5"/>
          </w:tcPr>
          <w:p>
            <w:pPr>
              <w:ind w:left="240"/>
              <w:spacing w:after="0"/>
              <w:rPr>
                <w:sz w:val="20"/>
                <w:szCs w:val="20"/>
                <w:color w:val="auto"/>
              </w:rPr>
            </w:pPr>
            <w:r>
              <w:rPr>
                <w:rFonts w:ascii="Arial" w:cs="Arial" w:eastAsia="Arial" w:hAnsi="Arial"/>
                <w:sz w:val="14"/>
                <w:szCs w:val="14"/>
                <w:b w:val="1"/>
                <w:bCs w:val="1"/>
                <w:color w:val="auto"/>
              </w:rPr>
              <w:t>At September 30, 2017</w:t>
            </w:r>
          </w:p>
        </w:tc>
        <w:tc>
          <w:tcPr>
            <w:tcW w:w="640" w:type="dxa"/>
            <w:vAlign w:val="bottom"/>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20" w:type="dxa"/>
            <w:vAlign w:val="bottom"/>
            <w:gridSpan w:val="3"/>
          </w:tcPr>
          <w:p>
            <w:pPr>
              <w:ind w:left="20"/>
              <w:spacing w:after="0"/>
              <w:rPr>
                <w:sz w:val="20"/>
                <w:szCs w:val="20"/>
                <w:color w:val="auto"/>
              </w:rPr>
            </w:pPr>
            <w:r>
              <w:rPr>
                <w:rFonts w:ascii="Arial" w:cs="Arial" w:eastAsia="Arial" w:hAnsi="Arial"/>
                <w:sz w:val="14"/>
                <w:szCs w:val="14"/>
                <w:b w:val="1"/>
                <w:bCs w:val="1"/>
                <w:color w:val="auto"/>
              </w:rPr>
              <w:t>At September 30, 2016</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2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8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466"/>
        </w:trPr>
        <w:tc>
          <w:tcPr>
            <w:tcW w:w="4520" w:type="dxa"/>
            <w:vAlign w:val="bottom"/>
            <w:gridSpan w:val="5"/>
          </w:tcPr>
          <w:p>
            <w:pPr>
              <w:ind w:left="40"/>
              <w:spacing w:after="0"/>
              <w:rPr>
                <w:sz w:val="20"/>
                <w:szCs w:val="20"/>
                <w:color w:val="auto"/>
              </w:rPr>
            </w:pPr>
            <w:r>
              <w:rPr>
                <w:rFonts w:ascii="Arial" w:cs="Arial" w:eastAsia="Arial" w:hAnsi="Arial"/>
                <w:sz w:val="16"/>
                <w:szCs w:val="16"/>
                <w:color w:val="auto"/>
              </w:rPr>
              <w:t>Type</w:t>
            </w:r>
          </w:p>
        </w:tc>
        <w:tc>
          <w:tcPr>
            <w:tcW w:w="1220" w:type="dxa"/>
            <w:vAlign w:val="bottom"/>
            <w:gridSpan w:val="3"/>
          </w:tcPr>
          <w:p>
            <w:pPr>
              <w:jc w:val="right"/>
              <w:ind w:right="200"/>
              <w:spacing w:after="0"/>
              <w:rPr>
                <w:sz w:val="20"/>
                <w:szCs w:val="20"/>
                <w:color w:val="auto"/>
              </w:rPr>
            </w:pPr>
            <w:r>
              <w:rPr>
                <w:rFonts w:ascii="Arial" w:cs="Arial" w:eastAsia="Arial" w:hAnsi="Arial"/>
                <w:sz w:val="16"/>
                <w:szCs w:val="16"/>
                <w:color w:val="auto"/>
              </w:rPr>
              <w:t>Size</w:t>
            </w:r>
          </w:p>
        </w:tc>
        <w:tc>
          <w:tcPr>
            <w:tcW w:w="1320" w:type="dxa"/>
            <w:vAlign w:val="bottom"/>
            <w:gridSpan w:val="3"/>
          </w:tcPr>
          <w:p>
            <w:pPr>
              <w:ind w:left="480"/>
              <w:spacing w:after="0"/>
              <w:rPr>
                <w:sz w:val="20"/>
                <w:szCs w:val="20"/>
                <w:color w:val="auto"/>
              </w:rPr>
            </w:pPr>
            <w:r>
              <w:rPr>
                <w:rFonts w:ascii="Arial" w:cs="Arial" w:eastAsia="Arial" w:hAnsi="Arial"/>
                <w:sz w:val="16"/>
                <w:szCs w:val="16"/>
                <w:color w:val="auto"/>
              </w:rPr>
              <w:t>Leased</w:t>
            </w:r>
          </w:p>
        </w:tc>
        <w:tc>
          <w:tcPr>
            <w:tcW w:w="92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6"/>
                <w:szCs w:val="16"/>
                <w:color w:val="auto"/>
                <w:w w:val="87"/>
              </w:rPr>
              <w:t>Leased %</w:t>
            </w:r>
          </w:p>
        </w:tc>
        <w:tc>
          <w:tcPr>
            <w:tcW w:w="1020" w:type="dxa"/>
            <w:vAlign w:val="bottom"/>
            <w:gridSpan w:val="3"/>
          </w:tcPr>
          <w:p>
            <w:pPr>
              <w:ind w:left="740"/>
              <w:spacing w:after="0"/>
              <w:rPr>
                <w:sz w:val="20"/>
                <w:szCs w:val="20"/>
                <w:color w:val="auto"/>
              </w:rPr>
            </w:pPr>
            <w:r>
              <w:rPr>
                <w:rFonts w:ascii="Arial" w:cs="Arial" w:eastAsia="Arial" w:hAnsi="Arial"/>
                <w:sz w:val="16"/>
                <w:szCs w:val="16"/>
                <w:color w:val="auto"/>
                <w:w w:val="83"/>
              </w:rPr>
              <w:t>Size</w:t>
            </w:r>
          </w:p>
        </w:tc>
        <w:tc>
          <w:tcPr>
            <w:tcW w:w="660" w:type="dxa"/>
            <w:vAlign w:val="bottom"/>
          </w:tcPr>
          <w:p>
            <w:pPr>
              <w:spacing w:after="0"/>
              <w:rPr>
                <w:sz w:val="24"/>
                <w:szCs w:val="24"/>
                <w:color w:val="auto"/>
              </w:rPr>
            </w:pPr>
          </w:p>
        </w:tc>
        <w:tc>
          <w:tcPr>
            <w:tcW w:w="960" w:type="dxa"/>
            <w:vAlign w:val="bottom"/>
            <w:gridSpan w:val="2"/>
          </w:tcPr>
          <w:p>
            <w:pPr>
              <w:spacing w:after="0"/>
              <w:rPr>
                <w:sz w:val="20"/>
                <w:szCs w:val="20"/>
                <w:color w:val="auto"/>
              </w:rPr>
            </w:pPr>
            <w:r>
              <w:rPr>
                <w:rFonts w:ascii="Arial" w:cs="Arial" w:eastAsia="Arial" w:hAnsi="Arial"/>
                <w:sz w:val="16"/>
                <w:szCs w:val="16"/>
                <w:color w:val="auto"/>
              </w:rPr>
              <w:t>Leased</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Leased %</w:t>
            </w:r>
          </w:p>
        </w:tc>
      </w:tr>
      <w:tr>
        <w:trPr>
          <w:trHeight w:val="318"/>
        </w:trPr>
        <w:tc>
          <w:tcPr>
            <w:tcW w:w="4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50"/>
        </w:trPr>
        <w:tc>
          <w:tcPr>
            <w:tcW w:w="45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color w:val="auto"/>
              </w:rPr>
              <w:t>Retail Properties (2) (3) (4) (sf)</w:t>
            </w:r>
          </w:p>
        </w:tc>
        <w:tc>
          <w:tcPr>
            <w:tcW w:w="12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24,063,000</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22,844,000</w:t>
            </w: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94.9%</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22,362,000</w:t>
            </w:r>
          </w:p>
        </w:tc>
        <w:tc>
          <w:tcPr>
            <w:tcW w:w="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21,083,000</w:t>
            </w: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94.3%</w:t>
            </w:r>
          </w:p>
        </w:tc>
      </w:tr>
      <w:tr>
        <w:trPr>
          <w:trHeight w:val="270"/>
        </w:trPr>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80" w:type="dxa"/>
            <w:vAlign w:val="bottom"/>
            <w:tcBorders>
              <w:right w:val="single" w:sz="8" w:color="auto"/>
            </w:tcBorders>
          </w:tcPr>
          <w:p>
            <w:pPr>
              <w:spacing w:after="0"/>
              <w:rPr>
                <w:sz w:val="23"/>
                <w:szCs w:val="23"/>
                <w:color w:val="auto"/>
              </w:rPr>
            </w:pP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250"/>
        </w:trPr>
        <w:tc>
          <w:tcPr>
            <w:tcW w:w="45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color w:val="auto"/>
              </w:rPr>
              <w:t>Residential Properties (units)</w:t>
            </w:r>
          </w:p>
        </w:tc>
        <w:tc>
          <w:tcPr>
            <w:tcW w:w="12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2,052</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1,942</w:t>
            </w: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94.6%</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1,867</w:t>
            </w:r>
          </w:p>
        </w:tc>
        <w:tc>
          <w:tcPr>
            <w:tcW w:w="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1,756</w:t>
            </w: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94.1%</w:t>
            </w:r>
          </w:p>
        </w:tc>
      </w:tr>
      <w:tr>
        <w:trPr>
          <w:trHeight w:val="770"/>
        </w:trPr>
        <w:tc>
          <w:tcPr>
            <w:tcW w:w="40" w:type="dxa"/>
            <w:vAlign w:val="bottom"/>
          </w:tcPr>
          <w:p>
            <w:pPr>
              <w:spacing w:after="0"/>
              <w:rPr>
                <w:sz w:val="24"/>
                <w:szCs w:val="24"/>
                <w:color w:val="auto"/>
              </w:rPr>
            </w:pPr>
          </w:p>
        </w:tc>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w w:val="89"/>
              </w:rPr>
              <w:t>Same Center Statistics (1)</w:t>
            </w:r>
          </w:p>
        </w:tc>
        <w:tc>
          <w:tcPr>
            <w:tcW w:w="2700" w:type="dxa"/>
            <w:vAlign w:val="bottom"/>
            <w:gridSpan w:val="2"/>
          </w:tcPr>
          <w:p>
            <w:pPr>
              <w:spacing w:after="0"/>
              <w:rPr>
                <w:sz w:val="24"/>
                <w:szCs w:val="24"/>
                <w:color w:val="auto"/>
              </w:rPr>
            </w:pPr>
          </w:p>
        </w:tc>
        <w:tc>
          <w:tcPr>
            <w:tcW w:w="740" w:type="dxa"/>
            <w:vAlign w:val="bottom"/>
          </w:tcPr>
          <w:p>
            <w:pPr>
              <w:spacing w:after="0"/>
              <w:rPr>
                <w:sz w:val="24"/>
                <w:szCs w:val="24"/>
                <w:color w:val="auto"/>
              </w:rPr>
            </w:pPr>
          </w:p>
        </w:tc>
        <w:tc>
          <w:tcPr>
            <w:tcW w:w="1800" w:type="dxa"/>
            <w:vAlign w:val="bottom"/>
            <w:gridSpan w:val="5"/>
          </w:tcPr>
          <w:p>
            <w:pPr>
              <w:ind w:left="240"/>
              <w:spacing w:after="0"/>
              <w:rPr>
                <w:sz w:val="20"/>
                <w:szCs w:val="20"/>
                <w:color w:val="auto"/>
              </w:rPr>
            </w:pPr>
            <w:r>
              <w:rPr>
                <w:rFonts w:ascii="Arial" w:cs="Arial" w:eastAsia="Arial" w:hAnsi="Arial"/>
                <w:sz w:val="14"/>
                <w:szCs w:val="14"/>
                <w:b w:val="1"/>
                <w:bCs w:val="1"/>
                <w:color w:val="auto"/>
              </w:rPr>
              <w:t>At September 30, 2017</w:t>
            </w:r>
          </w:p>
        </w:tc>
        <w:tc>
          <w:tcPr>
            <w:tcW w:w="64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20" w:type="dxa"/>
            <w:vAlign w:val="bottom"/>
            <w:gridSpan w:val="3"/>
          </w:tcPr>
          <w:p>
            <w:pPr>
              <w:ind w:left="20"/>
              <w:spacing w:after="0"/>
              <w:rPr>
                <w:sz w:val="20"/>
                <w:szCs w:val="20"/>
                <w:color w:val="auto"/>
              </w:rPr>
            </w:pPr>
            <w:r>
              <w:rPr>
                <w:rFonts w:ascii="Arial" w:cs="Arial" w:eastAsia="Arial" w:hAnsi="Arial"/>
                <w:sz w:val="14"/>
                <w:szCs w:val="14"/>
                <w:b w:val="1"/>
                <w:bCs w:val="1"/>
                <w:color w:val="auto"/>
              </w:rPr>
              <w:t>At September 30, 2016</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8"/>
        </w:trPr>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2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8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466"/>
        </w:trPr>
        <w:tc>
          <w:tcPr>
            <w:tcW w:w="4520" w:type="dxa"/>
            <w:vAlign w:val="bottom"/>
            <w:gridSpan w:val="5"/>
          </w:tcPr>
          <w:p>
            <w:pPr>
              <w:ind w:left="40"/>
              <w:spacing w:after="0"/>
              <w:rPr>
                <w:sz w:val="20"/>
                <w:szCs w:val="20"/>
                <w:color w:val="auto"/>
              </w:rPr>
            </w:pPr>
            <w:r>
              <w:rPr>
                <w:rFonts w:ascii="Arial" w:cs="Arial" w:eastAsia="Arial" w:hAnsi="Arial"/>
                <w:sz w:val="16"/>
                <w:szCs w:val="16"/>
                <w:color w:val="auto"/>
              </w:rPr>
              <w:t>Type</w:t>
            </w:r>
          </w:p>
        </w:tc>
        <w:tc>
          <w:tcPr>
            <w:tcW w:w="1220" w:type="dxa"/>
            <w:vAlign w:val="bottom"/>
            <w:gridSpan w:val="3"/>
          </w:tcPr>
          <w:p>
            <w:pPr>
              <w:jc w:val="right"/>
              <w:ind w:right="200"/>
              <w:spacing w:after="0"/>
              <w:rPr>
                <w:sz w:val="20"/>
                <w:szCs w:val="20"/>
                <w:color w:val="auto"/>
              </w:rPr>
            </w:pPr>
            <w:r>
              <w:rPr>
                <w:rFonts w:ascii="Arial" w:cs="Arial" w:eastAsia="Arial" w:hAnsi="Arial"/>
                <w:sz w:val="16"/>
                <w:szCs w:val="16"/>
                <w:color w:val="auto"/>
              </w:rPr>
              <w:t>Size</w:t>
            </w:r>
          </w:p>
        </w:tc>
        <w:tc>
          <w:tcPr>
            <w:tcW w:w="1320" w:type="dxa"/>
            <w:vAlign w:val="bottom"/>
            <w:gridSpan w:val="3"/>
          </w:tcPr>
          <w:p>
            <w:pPr>
              <w:ind w:left="480"/>
              <w:spacing w:after="0"/>
              <w:rPr>
                <w:sz w:val="20"/>
                <w:szCs w:val="20"/>
                <w:color w:val="auto"/>
              </w:rPr>
            </w:pPr>
            <w:r>
              <w:rPr>
                <w:rFonts w:ascii="Arial" w:cs="Arial" w:eastAsia="Arial" w:hAnsi="Arial"/>
                <w:sz w:val="16"/>
                <w:szCs w:val="16"/>
                <w:color w:val="auto"/>
              </w:rPr>
              <w:t>Leased</w:t>
            </w:r>
          </w:p>
        </w:tc>
        <w:tc>
          <w:tcPr>
            <w:tcW w:w="92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6"/>
                <w:szCs w:val="16"/>
                <w:color w:val="auto"/>
                <w:w w:val="87"/>
              </w:rPr>
              <w:t>Leased %</w:t>
            </w:r>
          </w:p>
        </w:tc>
        <w:tc>
          <w:tcPr>
            <w:tcW w:w="1020" w:type="dxa"/>
            <w:vAlign w:val="bottom"/>
            <w:gridSpan w:val="3"/>
          </w:tcPr>
          <w:p>
            <w:pPr>
              <w:ind w:left="740"/>
              <w:spacing w:after="0"/>
              <w:rPr>
                <w:sz w:val="20"/>
                <w:szCs w:val="20"/>
                <w:color w:val="auto"/>
              </w:rPr>
            </w:pPr>
            <w:r>
              <w:rPr>
                <w:rFonts w:ascii="Arial" w:cs="Arial" w:eastAsia="Arial" w:hAnsi="Arial"/>
                <w:sz w:val="16"/>
                <w:szCs w:val="16"/>
                <w:color w:val="auto"/>
                <w:w w:val="83"/>
              </w:rPr>
              <w:t>Size</w:t>
            </w:r>
          </w:p>
        </w:tc>
        <w:tc>
          <w:tcPr>
            <w:tcW w:w="660" w:type="dxa"/>
            <w:vAlign w:val="bottom"/>
          </w:tcPr>
          <w:p>
            <w:pPr>
              <w:spacing w:after="0"/>
              <w:rPr>
                <w:sz w:val="24"/>
                <w:szCs w:val="24"/>
                <w:color w:val="auto"/>
              </w:rPr>
            </w:pPr>
          </w:p>
        </w:tc>
        <w:tc>
          <w:tcPr>
            <w:tcW w:w="960" w:type="dxa"/>
            <w:vAlign w:val="bottom"/>
            <w:gridSpan w:val="2"/>
          </w:tcPr>
          <w:p>
            <w:pPr>
              <w:spacing w:after="0"/>
              <w:rPr>
                <w:sz w:val="20"/>
                <w:szCs w:val="20"/>
                <w:color w:val="auto"/>
              </w:rPr>
            </w:pPr>
            <w:r>
              <w:rPr>
                <w:rFonts w:ascii="Arial" w:cs="Arial" w:eastAsia="Arial" w:hAnsi="Arial"/>
                <w:sz w:val="16"/>
                <w:szCs w:val="16"/>
                <w:color w:val="auto"/>
              </w:rPr>
              <w:t>Leased</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Leased %</w:t>
            </w:r>
          </w:p>
        </w:tc>
      </w:tr>
      <w:tr>
        <w:trPr>
          <w:trHeight w:val="318"/>
        </w:trPr>
        <w:tc>
          <w:tcPr>
            <w:tcW w:w="4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50"/>
        </w:trPr>
        <w:tc>
          <w:tcPr>
            <w:tcW w:w="45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color w:val="auto"/>
              </w:rPr>
              <w:t>Retail Properties (2) (4) (5) (sf)</w:t>
            </w:r>
          </w:p>
        </w:tc>
        <w:tc>
          <w:tcPr>
            <w:tcW w:w="12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18,094,000</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17,365,000</w:t>
            </w: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96.0%</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18,106,000</w:t>
            </w:r>
          </w:p>
        </w:tc>
        <w:tc>
          <w:tcPr>
            <w:tcW w:w="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17,327,000</w:t>
            </w: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95.7%</w:t>
            </w:r>
          </w:p>
        </w:tc>
      </w:tr>
      <w:tr>
        <w:trPr>
          <w:trHeight w:val="270"/>
        </w:trPr>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80" w:type="dxa"/>
            <w:vAlign w:val="bottom"/>
            <w:tcBorders>
              <w:right w:val="single" w:sz="8" w:color="auto"/>
            </w:tcBorders>
          </w:tcPr>
          <w:p>
            <w:pPr>
              <w:spacing w:after="0"/>
              <w:rPr>
                <w:sz w:val="23"/>
                <w:szCs w:val="23"/>
                <w:color w:val="auto"/>
              </w:rPr>
            </w:pP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237"/>
        </w:trPr>
        <w:tc>
          <w:tcPr>
            <w:tcW w:w="4520" w:type="dxa"/>
            <w:vAlign w:val="bottom"/>
            <w:gridSpan w:val="5"/>
            <w:shd w:val="clear" w:color="auto" w:fill="CCEEFF"/>
          </w:tcPr>
          <w:p>
            <w:pPr>
              <w:ind w:left="40"/>
              <w:spacing w:after="0"/>
              <w:rPr>
                <w:sz w:val="20"/>
                <w:szCs w:val="20"/>
                <w:color w:val="auto"/>
              </w:rPr>
            </w:pPr>
            <w:r>
              <w:rPr>
                <w:rFonts w:ascii="Arial" w:cs="Arial" w:eastAsia="Arial" w:hAnsi="Arial"/>
                <w:sz w:val="16"/>
                <w:szCs w:val="16"/>
                <w:color w:val="auto"/>
              </w:rPr>
              <w:t>Residential Properties (units) (5)</w:t>
            </w: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1,326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1,294</w:t>
            </w:r>
          </w:p>
        </w:tc>
        <w:tc>
          <w:tcPr>
            <w:tcW w:w="380" w:type="dxa"/>
            <w:vAlign w:val="bottom"/>
            <w:shd w:val="clear" w:color="auto" w:fill="CCEEFF"/>
          </w:tcPr>
          <w:p>
            <w:pPr>
              <w:spacing w:after="0"/>
              <w:rPr>
                <w:sz w:val="20"/>
                <w:szCs w:val="20"/>
                <w:color w:val="auto"/>
              </w:rPr>
            </w:pPr>
          </w:p>
        </w:tc>
        <w:tc>
          <w:tcPr>
            <w:tcW w:w="92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97.6%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1,326</w:t>
            </w:r>
          </w:p>
        </w:tc>
        <w:tc>
          <w:tcPr>
            <w:tcW w:w="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1,267</w:t>
            </w:r>
          </w:p>
        </w:tc>
        <w:tc>
          <w:tcPr>
            <w:tcW w:w="5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95.6%</w:t>
            </w:r>
          </w:p>
        </w:tc>
      </w:tr>
      <w:tr>
        <w:trPr>
          <w:trHeight w:val="33"/>
        </w:trPr>
        <w:tc>
          <w:tcPr>
            <w:tcW w:w="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80" w:type="dxa"/>
            <w:vAlign w:val="bottom"/>
            <w:tcBorders>
              <w:right w:val="single" w:sz="8" w:color="auto"/>
            </w:tcBorders>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Notes:</w:t>
      </w:r>
    </w:p>
    <w:p>
      <w:pPr>
        <w:spacing w:after="0" w:line="167" w:lineRule="exact"/>
        <w:rPr>
          <w:sz w:val="20"/>
          <w:szCs w:val="20"/>
          <w:color w:val="auto"/>
        </w:rPr>
      </w:pPr>
    </w:p>
    <w:p>
      <w:pPr>
        <w:ind w:left="840" w:hanging="805"/>
        <w:spacing w:after="0"/>
        <w:tabs>
          <w:tab w:leader="none" w:pos="8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See Glossary of Terms.</w:t>
      </w:r>
    </w:p>
    <w:p>
      <w:pPr>
        <w:spacing w:after="0" w:line="72" w:lineRule="exact"/>
        <w:rPr>
          <w:rFonts w:ascii="Arial" w:cs="Arial" w:eastAsia="Arial" w:hAnsi="Arial"/>
          <w:sz w:val="16"/>
          <w:szCs w:val="16"/>
          <w:color w:val="auto"/>
        </w:rPr>
      </w:pPr>
    </w:p>
    <w:p>
      <w:pPr>
        <w:ind w:left="840" w:hanging="805"/>
        <w:spacing w:after="0"/>
        <w:tabs>
          <w:tab w:leader="none" w:pos="8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Leasable square feet excludes redevelopment square footage not yet placed in service.</w:t>
      </w:r>
    </w:p>
    <w:p>
      <w:pPr>
        <w:spacing w:after="0" w:line="72" w:lineRule="exact"/>
        <w:rPr>
          <w:rFonts w:ascii="Arial" w:cs="Arial" w:eastAsia="Arial" w:hAnsi="Arial"/>
          <w:sz w:val="16"/>
          <w:szCs w:val="16"/>
          <w:color w:val="auto"/>
        </w:rPr>
      </w:pPr>
    </w:p>
    <w:p>
      <w:pPr>
        <w:ind w:left="840" w:hanging="805"/>
        <w:spacing w:after="0"/>
        <w:tabs>
          <w:tab w:leader="none" w:pos="8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At September 30, 2017 leased percentage was 97.7% for anchor tenants and 89.5% for small shop tenants.</w:t>
      </w:r>
    </w:p>
    <w:p>
      <w:pPr>
        <w:spacing w:after="0" w:line="72" w:lineRule="exact"/>
        <w:rPr>
          <w:rFonts w:ascii="Arial" w:cs="Arial" w:eastAsia="Arial" w:hAnsi="Arial"/>
          <w:sz w:val="16"/>
          <w:szCs w:val="16"/>
          <w:color w:val="auto"/>
        </w:rPr>
      </w:pPr>
    </w:p>
    <w:p>
      <w:pPr>
        <w:ind w:left="840" w:right="600" w:hanging="805"/>
        <w:spacing w:after="0" w:line="293" w:lineRule="auto"/>
        <w:tabs>
          <w:tab w:leader="none" w:pos="8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Occupied percentage was 93.8% and 93.1% at September 30, 2017 and 2016, respectively, and same center occupied percentage was 95.1% and 95.0% at September 30, 2017 and 2016, respectively.</w:t>
      </w:r>
    </w:p>
    <w:p>
      <w:pPr>
        <w:spacing w:after="0" w:line="9" w:lineRule="exact"/>
        <w:rPr>
          <w:rFonts w:ascii="Arial" w:cs="Arial" w:eastAsia="Arial" w:hAnsi="Arial"/>
          <w:sz w:val="16"/>
          <w:szCs w:val="16"/>
          <w:color w:val="auto"/>
        </w:rPr>
      </w:pPr>
    </w:p>
    <w:p>
      <w:pPr>
        <w:ind w:left="840" w:hanging="805"/>
        <w:spacing w:after="0"/>
        <w:tabs>
          <w:tab w:leader="none" w:pos="8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Excludes properties purchased, sold or under redevelopment or development.</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742" w:right="239" w:bottom="1440" w:gutter="0" w:footer="0" w:header="0"/>
        </w:sectPr>
      </w:pPr>
    </w:p>
    <w:bookmarkStart w:id="33" w:name="page34"/>
    <w:bookmarkEnd w:id="33"/>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Summary of Top 25 Tenants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September 30, 2017</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840" w:type="dxa"/>
            <w:vAlign w:val="bottom"/>
            <w:vMerge w:val="restart"/>
          </w:tcPr>
          <w:p>
            <w:pPr>
              <w:jc w:val="center"/>
              <w:ind w:left="20"/>
              <w:spacing w:after="0"/>
              <w:rPr>
                <w:sz w:val="20"/>
                <w:szCs w:val="20"/>
                <w:color w:val="auto"/>
              </w:rPr>
            </w:pPr>
            <w:r>
              <w:rPr>
                <w:rFonts w:ascii="Arial" w:cs="Arial" w:eastAsia="Arial" w:hAnsi="Arial"/>
                <w:sz w:val="14"/>
                <w:szCs w:val="14"/>
                <w:b w:val="1"/>
                <w:bCs w:val="1"/>
                <w:color w:val="auto"/>
                <w:w w:val="94"/>
              </w:rPr>
              <w:t>Credit Ratings</w:t>
            </w:r>
          </w:p>
        </w:tc>
        <w:tc>
          <w:tcPr>
            <w:tcW w:w="20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Annualized Base</w:t>
            </w:r>
          </w:p>
        </w:tc>
        <w:tc>
          <w:tcPr>
            <w:tcW w:w="1600" w:type="dxa"/>
            <w:vAlign w:val="bottom"/>
          </w:tcPr>
          <w:p>
            <w:pPr>
              <w:jc w:val="right"/>
              <w:ind w:right="120"/>
              <w:spacing w:after="0"/>
              <w:rPr>
                <w:sz w:val="20"/>
                <w:szCs w:val="20"/>
                <w:color w:val="auto"/>
              </w:rPr>
            </w:pPr>
            <w:r>
              <w:rPr>
                <w:rFonts w:ascii="Arial" w:cs="Arial" w:eastAsia="Arial" w:hAnsi="Arial"/>
                <w:sz w:val="14"/>
                <w:szCs w:val="14"/>
                <w:b w:val="1"/>
                <w:bCs w:val="1"/>
                <w:color w:val="auto"/>
              </w:rPr>
              <w:t>Percentage of Total</w:t>
            </w:r>
          </w:p>
        </w:tc>
        <w:tc>
          <w:tcPr>
            <w:tcW w:w="920" w:type="dxa"/>
            <w:vAlign w:val="bottom"/>
          </w:tcPr>
          <w:p>
            <w:pPr>
              <w:spacing w:after="0"/>
              <w:rPr>
                <w:sz w:val="14"/>
                <w:szCs w:val="14"/>
                <w:color w:val="auto"/>
              </w:rPr>
            </w:pPr>
          </w:p>
        </w:tc>
        <w:tc>
          <w:tcPr>
            <w:tcW w:w="118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Percentage of</w:t>
            </w:r>
          </w:p>
        </w:tc>
        <w:tc>
          <w:tcPr>
            <w:tcW w:w="720" w:type="dxa"/>
            <w:vAlign w:val="bottom"/>
          </w:tcPr>
          <w:p>
            <w:pPr>
              <w:jc w:val="right"/>
              <w:ind w:right="20"/>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49"/>
        </w:trPr>
        <w:tc>
          <w:tcPr>
            <w:tcW w:w="580" w:type="dxa"/>
            <w:vAlign w:val="bottom"/>
            <w:vMerge w:val="restart"/>
          </w:tcPr>
          <w:p>
            <w:pPr>
              <w:jc w:val="right"/>
              <w:ind w:right="39"/>
              <w:spacing w:after="0"/>
              <w:rPr>
                <w:sz w:val="20"/>
                <w:szCs w:val="20"/>
                <w:color w:val="auto"/>
              </w:rPr>
            </w:pPr>
            <w:r>
              <w:rPr>
                <w:rFonts w:ascii="Arial" w:cs="Arial" w:eastAsia="Arial" w:hAnsi="Arial"/>
                <w:sz w:val="14"/>
                <w:szCs w:val="14"/>
                <w:b w:val="1"/>
                <w:bCs w:val="1"/>
                <w:color w:val="auto"/>
              </w:rPr>
              <w:t>Rank</w:t>
            </w:r>
          </w:p>
        </w:tc>
        <w:tc>
          <w:tcPr>
            <w:tcW w:w="32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Tenant Name</w:t>
            </w:r>
          </w:p>
        </w:tc>
        <w:tc>
          <w:tcPr>
            <w:tcW w:w="18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600" w:type="dxa"/>
            <w:vAlign w:val="bottom"/>
          </w:tcPr>
          <w:p>
            <w:pPr>
              <w:jc w:val="right"/>
              <w:ind w:right="120"/>
              <w:spacing w:after="0" w:line="149" w:lineRule="exact"/>
              <w:rPr>
                <w:sz w:val="20"/>
                <w:szCs w:val="20"/>
                <w:color w:val="auto"/>
              </w:rPr>
            </w:pPr>
            <w:r>
              <w:rPr>
                <w:rFonts w:ascii="Arial" w:cs="Arial" w:eastAsia="Arial" w:hAnsi="Arial"/>
                <w:sz w:val="14"/>
                <w:szCs w:val="14"/>
                <w:b w:val="1"/>
                <w:bCs w:val="1"/>
                <w:color w:val="auto"/>
              </w:rPr>
              <w:t>Annualized Base</w:t>
            </w: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Tenant GLA</w:t>
            </w:r>
          </w:p>
        </w:tc>
        <w:tc>
          <w:tcPr>
            <w:tcW w:w="1180" w:type="dxa"/>
            <w:vAlign w:val="bottom"/>
            <w:vMerge w:val="continue"/>
          </w:tcPr>
          <w:p>
            <w:pPr>
              <w:spacing w:after="0"/>
              <w:rPr>
                <w:sz w:val="12"/>
                <w:szCs w:val="12"/>
                <w:color w:val="auto"/>
              </w:rPr>
            </w:pPr>
          </w:p>
        </w:tc>
        <w:tc>
          <w:tcPr>
            <w:tcW w:w="720" w:type="dxa"/>
            <w:vAlign w:val="bottom"/>
          </w:tcPr>
          <w:p>
            <w:pPr>
              <w:jc w:val="right"/>
              <w:ind w:right="20"/>
              <w:spacing w:after="0" w:line="149" w:lineRule="exact"/>
              <w:rPr>
                <w:sz w:val="20"/>
                <w:szCs w:val="20"/>
                <w:color w:val="auto"/>
              </w:rPr>
            </w:pPr>
            <w:r>
              <w:rPr>
                <w:rFonts w:ascii="Arial" w:cs="Arial" w:eastAsia="Arial" w:hAnsi="Arial"/>
                <w:sz w:val="14"/>
                <w:szCs w:val="14"/>
                <w:b w:val="1"/>
                <w:bCs w:val="1"/>
                <w:color w:val="auto"/>
                <w:w w:val="98"/>
              </w:rPr>
              <w:t>of Stores</w:t>
            </w:r>
          </w:p>
        </w:tc>
        <w:tc>
          <w:tcPr>
            <w:tcW w:w="0" w:type="dxa"/>
            <w:vAlign w:val="bottom"/>
          </w:tcPr>
          <w:p>
            <w:pPr>
              <w:spacing w:after="0"/>
              <w:rPr>
                <w:sz w:val="1"/>
                <w:szCs w:val="1"/>
                <w:color w:val="auto"/>
              </w:rPr>
            </w:pPr>
          </w:p>
        </w:tc>
      </w:tr>
      <w:tr>
        <w:trPr>
          <w:trHeight w:val="192"/>
        </w:trPr>
        <w:tc>
          <w:tcPr>
            <w:tcW w:w="580" w:type="dxa"/>
            <w:vAlign w:val="bottom"/>
            <w:tcBorders>
              <w:bottom w:val="single" w:sz="8" w:color="auto"/>
            </w:tcBorders>
            <w:vMerge w:val="continue"/>
          </w:tcPr>
          <w:p>
            <w:pPr>
              <w:spacing w:after="0"/>
              <w:rPr>
                <w:sz w:val="16"/>
                <w:szCs w:val="16"/>
                <w:color w:val="auto"/>
              </w:rPr>
            </w:pPr>
          </w:p>
        </w:tc>
        <w:tc>
          <w:tcPr>
            <w:tcW w:w="3280" w:type="dxa"/>
            <w:vAlign w:val="bottom"/>
            <w:tcBorders>
              <w:bottom w:val="single" w:sz="8" w:color="auto"/>
            </w:tcBorders>
            <w:vMerge w:val="continue"/>
          </w:tcPr>
          <w:p>
            <w:pPr>
              <w:spacing w:after="0"/>
              <w:rPr>
                <w:sz w:val="16"/>
                <w:szCs w:val="16"/>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(S&amp;P/Moody's/Fitch) (1)</w:t>
            </w: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Rent</w:t>
            </w:r>
          </w:p>
        </w:tc>
        <w:tc>
          <w:tcPr>
            <w:tcW w:w="160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Rent (3)</w:t>
            </w:r>
          </w:p>
        </w:tc>
        <w:tc>
          <w:tcPr>
            <w:tcW w:w="920" w:type="dxa"/>
            <w:vAlign w:val="bottom"/>
            <w:tcBorders>
              <w:bottom w:val="single" w:sz="8" w:color="auto"/>
            </w:tcBorders>
            <w:vMerge w:val="continue"/>
          </w:tcPr>
          <w:p>
            <w:pPr>
              <w:spacing w:after="0"/>
              <w:rPr>
                <w:sz w:val="16"/>
                <w:szCs w:val="16"/>
                <w:color w:val="auto"/>
              </w:rPr>
            </w:pPr>
          </w:p>
        </w:tc>
        <w:tc>
          <w:tcPr>
            <w:tcW w:w="118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Total GLA (3)</w:t>
            </w:r>
          </w:p>
        </w:tc>
        <w:tc>
          <w:tcPr>
            <w:tcW w:w="72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Leased</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328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3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Ahold Delhaize</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6"/>
              </w:rPr>
              <w:t>BBB / Baa2 / BBB</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17,441,000</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1,036,000</w:t>
            </w: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4.31%</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24"/>
        </w:trPr>
        <w:tc>
          <w:tcPr>
            <w:tcW w:w="58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3280" w:type="dxa"/>
            <w:vAlign w:val="bottom"/>
          </w:tcPr>
          <w:p>
            <w:pPr>
              <w:ind w:left="120"/>
              <w:spacing w:after="0"/>
              <w:rPr>
                <w:sz w:val="20"/>
                <w:szCs w:val="20"/>
                <w:color w:val="auto"/>
              </w:rPr>
            </w:pPr>
            <w:r>
              <w:rPr>
                <w:rFonts w:ascii="Arial" w:cs="Arial" w:eastAsia="Arial" w:hAnsi="Arial"/>
                <w:sz w:val="16"/>
                <w:szCs w:val="16"/>
                <w:color w:val="auto"/>
              </w:rPr>
              <w:t>TJX Companies, The</w:t>
            </w:r>
          </w:p>
        </w:tc>
        <w:tc>
          <w:tcPr>
            <w:tcW w:w="1840" w:type="dxa"/>
            <w:vAlign w:val="bottom"/>
          </w:tcPr>
          <w:p>
            <w:pPr>
              <w:jc w:val="center"/>
              <w:spacing w:after="0"/>
              <w:rPr>
                <w:sz w:val="20"/>
                <w:szCs w:val="20"/>
                <w:color w:val="auto"/>
              </w:rPr>
            </w:pPr>
            <w:r>
              <w:rPr>
                <w:rFonts w:ascii="Arial" w:cs="Arial" w:eastAsia="Arial" w:hAnsi="Arial"/>
                <w:sz w:val="16"/>
                <w:szCs w:val="16"/>
                <w:color w:val="auto"/>
                <w:w w:val="98"/>
              </w:rPr>
              <w:t>A+ / A2 / NR</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16,994,000</w:t>
            </w:r>
          </w:p>
        </w:tc>
        <w:tc>
          <w:tcPr>
            <w:tcW w:w="1600" w:type="dxa"/>
            <w:vAlign w:val="bottom"/>
          </w:tcPr>
          <w:p>
            <w:pPr>
              <w:jc w:val="right"/>
              <w:spacing w:after="0"/>
              <w:rPr>
                <w:sz w:val="20"/>
                <w:szCs w:val="20"/>
                <w:color w:val="auto"/>
              </w:rPr>
            </w:pPr>
            <w:r>
              <w:rPr>
                <w:rFonts w:ascii="Arial" w:cs="Arial" w:eastAsia="Arial" w:hAnsi="Arial"/>
                <w:sz w:val="16"/>
                <w:szCs w:val="16"/>
                <w:color w:val="auto"/>
              </w:rPr>
              <w:t>2.83%</w:t>
            </w:r>
          </w:p>
        </w:tc>
        <w:tc>
          <w:tcPr>
            <w:tcW w:w="920" w:type="dxa"/>
            <w:vAlign w:val="bottom"/>
          </w:tcPr>
          <w:p>
            <w:pPr>
              <w:jc w:val="right"/>
              <w:spacing w:after="0"/>
              <w:rPr>
                <w:sz w:val="20"/>
                <w:szCs w:val="20"/>
                <w:color w:val="auto"/>
              </w:rPr>
            </w:pPr>
            <w:r>
              <w:rPr>
                <w:rFonts w:ascii="Arial" w:cs="Arial" w:eastAsia="Arial" w:hAnsi="Arial"/>
                <w:sz w:val="16"/>
                <w:szCs w:val="16"/>
                <w:color w:val="auto"/>
              </w:rPr>
              <w:t>973,000</w:t>
            </w: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4.04%</w:t>
            </w: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47"/>
        </w:trPr>
        <w:tc>
          <w:tcPr>
            <w:tcW w:w="580" w:type="dxa"/>
            <w:vAlign w:val="bottom"/>
          </w:tcPr>
          <w:p>
            <w:pPr>
              <w:spacing w:after="0"/>
              <w:rPr>
                <w:sz w:val="4"/>
                <w:szCs w:val="4"/>
                <w:color w:val="auto"/>
              </w:rPr>
            </w:pPr>
          </w:p>
        </w:tc>
        <w:tc>
          <w:tcPr>
            <w:tcW w:w="3280" w:type="dxa"/>
            <w:vAlign w:val="bottom"/>
          </w:tcPr>
          <w:p>
            <w:pPr>
              <w:spacing w:after="0"/>
              <w:rPr>
                <w:sz w:val="4"/>
                <w:szCs w:val="4"/>
                <w:color w:val="auto"/>
              </w:rPr>
            </w:pPr>
          </w:p>
        </w:tc>
        <w:tc>
          <w:tcPr>
            <w:tcW w:w="1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3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Gap, Inc., The</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5"/>
              </w:rPr>
              <w:t>BB+ / Baa2 / BB+</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13,285,000</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366,000</w:t>
            </w: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1.52%</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24"/>
        </w:trPr>
        <w:tc>
          <w:tcPr>
            <w:tcW w:w="58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3280" w:type="dxa"/>
            <w:vAlign w:val="bottom"/>
          </w:tcPr>
          <w:p>
            <w:pPr>
              <w:ind w:left="120"/>
              <w:spacing w:after="0"/>
              <w:rPr>
                <w:sz w:val="20"/>
                <w:szCs w:val="20"/>
                <w:color w:val="auto"/>
              </w:rPr>
            </w:pPr>
            <w:r>
              <w:rPr>
                <w:rFonts w:ascii="Arial" w:cs="Arial" w:eastAsia="Arial" w:hAnsi="Arial"/>
                <w:sz w:val="16"/>
                <w:szCs w:val="16"/>
                <w:color w:val="auto"/>
              </w:rPr>
              <w:t>Bed, Bath &amp; Beyond, Inc.</w:t>
            </w:r>
          </w:p>
        </w:tc>
        <w:tc>
          <w:tcPr>
            <w:tcW w:w="1840" w:type="dxa"/>
            <w:vAlign w:val="bottom"/>
          </w:tcPr>
          <w:p>
            <w:pPr>
              <w:jc w:val="center"/>
              <w:spacing w:after="0"/>
              <w:rPr>
                <w:sz w:val="20"/>
                <w:szCs w:val="20"/>
                <w:color w:val="auto"/>
              </w:rPr>
            </w:pPr>
            <w:r>
              <w:rPr>
                <w:rFonts w:ascii="Arial" w:cs="Arial" w:eastAsia="Arial" w:hAnsi="Arial"/>
                <w:sz w:val="16"/>
                <w:szCs w:val="16"/>
                <w:color w:val="auto"/>
                <w:w w:val="96"/>
              </w:rPr>
              <w:t>BBB+ / Baa1 / NR</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13,170,000</w:t>
            </w:r>
          </w:p>
        </w:tc>
        <w:tc>
          <w:tcPr>
            <w:tcW w:w="1600" w:type="dxa"/>
            <w:vAlign w:val="bottom"/>
          </w:tcPr>
          <w:p>
            <w:pPr>
              <w:jc w:val="right"/>
              <w:spacing w:after="0"/>
              <w:rPr>
                <w:sz w:val="20"/>
                <w:szCs w:val="20"/>
                <w:color w:val="auto"/>
              </w:rPr>
            </w:pPr>
            <w:r>
              <w:rPr>
                <w:rFonts w:ascii="Arial" w:cs="Arial" w:eastAsia="Arial" w:hAnsi="Arial"/>
                <w:sz w:val="16"/>
                <w:szCs w:val="16"/>
                <w:color w:val="auto"/>
              </w:rPr>
              <w:t>2.19%</w:t>
            </w:r>
          </w:p>
        </w:tc>
        <w:tc>
          <w:tcPr>
            <w:tcW w:w="920" w:type="dxa"/>
            <w:vAlign w:val="bottom"/>
          </w:tcPr>
          <w:p>
            <w:pPr>
              <w:jc w:val="right"/>
              <w:spacing w:after="0"/>
              <w:rPr>
                <w:sz w:val="20"/>
                <w:szCs w:val="20"/>
                <w:color w:val="auto"/>
              </w:rPr>
            </w:pPr>
            <w:r>
              <w:rPr>
                <w:rFonts w:ascii="Arial" w:cs="Arial" w:eastAsia="Arial" w:hAnsi="Arial"/>
                <w:sz w:val="16"/>
                <w:szCs w:val="16"/>
                <w:color w:val="auto"/>
              </w:rPr>
              <w:t>736,000</w:t>
            </w: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3.06%</w:t>
            </w: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47"/>
        </w:trPr>
        <w:tc>
          <w:tcPr>
            <w:tcW w:w="580" w:type="dxa"/>
            <w:vAlign w:val="bottom"/>
          </w:tcPr>
          <w:p>
            <w:pPr>
              <w:spacing w:after="0"/>
              <w:rPr>
                <w:sz w:val="4"/>
                <w:szCs w:val="4"/>
                <w:color w:val="auto"/>
              </w:rPr>
            </w:pPr>
          </w:p>
        </w:tc>
        <w:tc>
          <w:tcPr>
            <w:tcW w:w="3280" w:type="dxa"/>
            <w:vAlign w:val="bottom"/>
          </w:tcPr>
          <w:p>
            <w:pPr>
              <w:spacing w:after="0"/>
              <w:rPr>
                <w:sz w:val="4"/>
                <w:szCs w:val="4"/>
                <w:color w:val="auto"/>
              </w:rPr>
            </w:pPr>
          </w:p>
        </w:tc>
        <w:tc>
          <w:tcPr>
            <w:tcW w:w="1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3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Splunk, Inc.</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5"/>
              </w:rPr>
              <w:t>NR / NR / NR</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10,276,000</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235,000</w:t>
            </w: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0.98%</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24"/>
        </w:trPr>
        <w:tc>
          <w:tcPr>
            <w:tcW w:w="58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3280" w:type="dxa"/>
            <w:vAlign w:val="bottom"/>
          </w:tcPr>
          <w:p>
            <w:pPr>
              <w:ind w:left="120"/>
              <w:spacing w:after="0"/>
              <w:rPr>
                <w:sz w:val="20"/>
                <w:szCs w:val="20"/>
                <w:color w:val="auto"/>
              </w:rPr>
            </w:pPr>
            <w:r>
              <w:rPr>
                <w:rFonts w:ascii="Arial" w:cs="Arial" w:eastAsia="Arial" w:hAnsi="Arial"/>
                <w:sz w:val="16"/>
                <w:szCs w:val="16"/>
                <w:color w:val="auto"/>
              </w:rPr>
              <w:t>L.A. Fitness International LLC</w:t>
            </w:r>
          </w:p>
        </w:tc>
        <w:tc>
          <w:tcPr>
            <w:tcW w:w="1840" w:type="dxa"/>
            <w:vAlign w:val="bottom"/>
          </w:tcPr>
          <w:p>
            <w:pPr>
              <w:jc w:val="center"/>
              <w:spacing w:after="0"/>
              <w:rPr>
                <w:sz w:val="20"/>
                <w:szCs w:val="20"/>
                <w:color w:val="auto"/>
              </w:rPr>
            </w:pPr>
            <w:r>
              <w:rPr>
                <w:rFonts w:ascii="Arial" w:cs="Arial" w:eastAsia="Arial" w:hAnsi="Arial"/>
                <w:sz w:val="16"/>
                <w:szCs w:val="16"/>
                <w:color w:val="auto"/>
                <w:w w:val="98"/>
              </w:rPr>
              <w:t>B+ / B2 / NR</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9,833,000</w:t>
            </w:r>
          </w:p>
        </w:tc>
        <w:tc>
          <w:tcPr>
            <w:tcW w:w="1600" w:type="dxa"/>
            <w:vAlign w:val="bottom"/>
          </w:tcPr>
          <w:p>
            <w:pPr>
              <w:jc w:val="right"/>
              <w:spacing w:after="0"/>
              <w:rPr>
                <w:sz w:val="20"/>
                <w:szCs w:val="20"/>
                <w:color w:val="auto"/>
              </w:rPr>
            </w:pPr>
            <w:r>
              <w:rPr>
                <w:rFonts w:ascii="Arial" w:cs="Arial" w:eastAsia="Arial" w:hAnsi="Arial"/>
                <w:sz w:val="16"/>
                <w:szCs w:val="16"/>
                <w:color w:val="auto"/>
              </w:rPr>
              <w:t>1.63%</w:t>
            </w:r>
          </w:p>
        </w:tc>
        <w:tc>
          <w:tcPr>
            <w:tcW w:w="920" w:type="dxa"/>
            <w:vAlign w:val="bottom"/>
          </w:tcPr>
          <w:p>
            <w:pPr>
              <w:jc w:val="right"/>
              <w:spacing w:after="0"/>
              <w:rPr>
                <w:sz w:val="20"/>
                <w:szCs w:val="20"/>
                <w:color w:val="auto"/>
              </w:rPr>
            </w:pPr>
            <w:r>
              <w:rPr>
                <w:rFonts w:ascii="Arial" w:cs="Arial" w:eastAsia="Arial" w:hAnsi="Arial"/>
                <w:sz w:val="16"/>
                <w:szCs w:val="16"/>
                <w:color w:val="auto"/>
              </w:rPr>
              <w:t>426,000</w:t>
            </w: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1.77%</w:t>
            </w: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47"/>
        </w:trPr>
        <w:tc>
          <w:tcPr>
            <w:tcW w:w="580" w:type="dxa"/>
            <w:vAlign w:val="bottom"/>
          </w:tcPr>
          <w:p>
            <w:pPr>
              <w:spacing w:after="0"/>
              <w:rPr>
                <w:sz w:val="4"/>
                <w:szCs w:val="4"/>
                <w:color w:val="auto"/>
              </w:rPr>
            </w:pPr>
          </w:p>
        </w:tc>
        <w:tc>
          <w:tcPr>
            <w:tcW w:w="3280" w:type="dxa"/>
            <w:vAlign w:val="bottom"/>
          </w:tcPr>
          <w:p>
            <w:pPr>
              <w:spacing w:after="0"/>
              <w:rPr>
                <w:sz w:val="4"/>
                <w:szCs w:val="4"/>
                <w:color w:val="auto"/>
              </w:rPr>
            </w:pPr>
          </w:p>
        </w:tc>
        <w:tc>
          <w:tcPr>
            <w:tcW w:w="1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3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CVS Corporation</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6"/>
              </w:rPr>
              <w:t>BBB+ / Baa1 / NR</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9,148,000</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248,000</w:t>
            </w: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1.03%</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24"/>
        </w:trPr>
        <w:tc>
          <w:tcPr>
            <w:tcW w:w="58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3280" w:type="dxa"/>
            <w:vAlign w:val="bottom"/>
          </w:tcPr>
          <w:p>
            <w:pPr>
              <w:ind w:left="120"/>
              <w:spacing w:after="0"/>
              <w:rPr>
                <w:sz w:val="20"/>
                <w:szCs w:val="20"/>
                <w:color w:val="auto"/>
              </w:rPr>
            </w:pPr>
            <w:r>
              <w:rPr>
                <w:rFonts w:ascii="Arial" w:cs="Arial" w:eastAsia="Arial" w:hAnsi="Arial"/>
                <w:sz w:val="16"/>
                <w:szCs w:val="16"/>
                <w:color w:val="auto"/>
              </w:rPr>
              <w:t>AMC Entertainment Inc.</w:t>
            </w:r>
          </w:p>
        </w:tc>
        <w:tc>
          <w:tcPr>
            <w:tcW w:w="1840" w:type="dxa"/>
            <w:vAlign w:val="bottom"/>
          </w:tcPr>
          <w:p>
            <w:pPr>
              <w:jc w:val="center"/>
              <w:spacing w:after="0"/>
              <w:rPr>
                <w:sz w:val="20"/>
                <w:szCs w:val="20"/>
                <w:color w:val="auto"/>
              </w:rPr>
            </w:pPr>
            <w:r>
              <w:rPr>
                <w:rFonts w:ascii="Arial" w:cs="Arial" w:eastAsia="Arial" w:hAnsi="Arial"/>
                <w:sz w:val="16"/>
                <w:szCs w:val="16"/>
                <w:color w:val="auto"/>
                <w:w w:val="98"/>
              </w:rPr>
              <w:t>B+ / B1 / B</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6,850,000</w:t>
            </w:r>
          </w:p>
        </w:tc>
        <w:tc>
          <w:tcPr>
            <w:tcW w:w="1600" w:type="dxa"/>
            <w:vAlign w:val="bottom"/>
          </w:tcPr>
          <w:p>
            <w:pPr>
              <w:jc w:val="right"/>
              <w:spacing w:after="0"/>
              <w:rPr>
                <w:sz w:val="20"/>
                <w:szCs w:val="20"/>
                <w:color w:val="auto"/>
              </w:rPr>
            </w:pPr>
            <w:r>
              <w:rPr>
                <w:rFonts w:ascii="Arial" w:cs="Arial" w:eastAsia="Arial" w:hAnsi="Arial"/>
                <w:sz w:val="16"/>
                <w:szCs w:val="16"/>
                <w:color w:val="auto"/>
              </w:rPr>
              <w:t>1.14%</w:t>
            </w:r>
          </w:p>
        </w:tc>
        <w:tc>
          <w:tcPr>
            <w:tcW w:w="920" w:type="dxa"/>
            <w:vAlign w:val="bottom"/>
          </w:tcPr>
          <w:p>
            <w:pPr>
              <w:jc w:val="right"/>
              <w:spacing w:after="0"/>
              <w:rPr>
                <w:sz w:val="20"/>
                <w:szCs w:val="20"/>
                <w:color w:val="auto"/>
              </w:rPr>
            </w:pPr>
            <w:r>
              <w:rPr>
                <w:rFonts w:ascii="Arial" w:cs="Arial" w:eastAsia="Arial" w:hAnsi="Arial"/>
                <w:sz w:val="16"/>
                <w:szCs w:val="16"/>
                <w:color w:val="auto"/>
              </w:rPr>
              <w:t>317,000</w:t>
            </w: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1.32%</w:t>
            </w: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47"/>
        </w:trPr>
        <w:tc>
          <w:tcPr>
            <w:tcW w:w="580" w:type="dxa"/>
            <w:vAlign w:val="bottom"/>
          </w:tcPr>
          <w:p>
            <w:pPr>
              <w:spacing w:after="0"/>
              <w:rPr>
                <w:sz w:val="4"/>
                <w:szCs w:val="4"/>
                <w:color w:val="auto"/>
              </w:rPr>
            </w:pPr>
          </w:p>
        </w:tc>
        <w:tc>
          <w:tcPr>
            <w:tcW w:w="3280" w:type="dxa"/>
            <w:vAlign w:val="bottom"/>
          </w:tcPr>
          <w:p>
            <w:pPr>
              <w:spacing w:after="0"/>
              <w:rPr>
                <w:sz w:val="4"/>
                <w:szCs w:val="4"/>
                <w:color w:val="auto"/>
              </w:rPr>
            </w:pPr>
          </w:p>
        </w:tc>
        <w:tc>
          <w:tcPr>
            <w:tcW w:w="1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w:t>
            </w:r>
          </w:p>
        </w:tc>
        <w:tc>
          <w:tcPr>
            <w:tcW w:w="3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Best Buy Co., Inc.</w:t>
            </w:r>
          </w:p>
        </w:tc>
        <w:tc>
          <w:tcPr>
            <w:tcW w:w="1840" w:type="dxa"/>
            <w:vAlign w:val="bottom"/>
            <w:tcBorders>
              <w:bottom w:val="single" w:sz="8" w:color="CCEEFF"/>
            </w:tcBorders>
            <w:shd w:val="clear" w:color="auto" w:fill="CCEEFF"/>
          </w:tcPr>
          <w:p>
            <w:pPr>
              <w:jc w:val="center"/>
              <w:ind w:left="20"/>
              <w:spacing w:after="0"/>
              <w:rPr>
                <w:sz w:val="20"/>
                <w:szCs w:val="20"/>
                <w:color w:val="auto"/>
              </w:rPr>
            </w:pPr>
            <w:r>
              <w:rPr>
                <w:rFonts w:ascii="Arial" w:cs="Arial" w:eastAsia="Arial" w:hAnsi="Arial"/>
                <w:sz w:val="16"/>
                <w:szCs w:val="16"/>
                <w:color w:val="auto"/>
                <w:w w:val="96"/>
              </w:rPr>
              <w:t>BBB- / Baa1 / BBB-</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6,633,000</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231,000</w:t>
            </w: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0.96%</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24"/>
        </w:trPr>
        <w:tc>
          <w:tcPr>
            <w:tcW w:w="58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3280" w:type="dxa"/>
            <w:vAlign w:val="bottom"/>
          </w:tcPr>
          <w:p>
            <w:pPr>
              <w:ind w:left="120"/>
              <w:spacing w:after="0"/>
              <w:rPr>
                <w:sz w:val="20"/>
                <w:szCs w:val="20"/>
                <w:color w:val="auto"/>
              </w:rPr>
            </w:pPr>
            <w:r>
              <w:rPr>
                <w:rFonts w:ascii="Arial" w:cs="Arial" w:eastAsia="Arial" w:hAnsi="Arial"/>
                <w:sz w:val="16"/>
                <w:szCs w:val="16"/>
                <w:color w:val="auto"/>
              </w:rPr>
              <w:t>Dick's Sporting Goods, Inc.</w:t>
            </w:r>
          </w:p>
        </w:tc>
        <w:tc>
          <w:tcPr>
            <w:tcW w:w="1840" w:type="dxa"/>
            <w:vAlign w:val="bottom"/>
          </w:tcPr>
          <w:p>
            <w:pPr>
              <w:jc w:val="center"/>
              <w:spacing w:after="0"/>
              <w:rPr>
                <w:sz w:val="20"/>
                <w:szCs w:val="20"/>
                <w:color w:val="auto"/>
              </w:rPr>
            </w:pPr>
            <w:r>
              <w:rPr>
                <w:rFonts w:ascii="Arial" w:cs="Arial" w:eastAsia="Arial" w:hAnsi="Arial"/>
                <w:sz w:val="16"/>
                <w:szCs w:val="16"/>
                <w:color w:val="auto"/>
                <w:w w:val="95"/>
              </w:rPr>
              <w:t>NR / NR / NR</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6,208,000</w:t>
            </w:r>
          </w:p>
        </w:tc>
        <w:tc>
          <w:tcPr>
            <w:tcW w:w="1600" w:type="dxa"/>
            <w:vAlign w:val="bottom"/>
          </w:tcPr>
          <w:p>
            <w:pPr>
              <w:jc w:val="right"/>
              <w:spacing w:after="0"/>
              <w:rPr>
                <w:sz w:val="20"/>
                <w:szCs w:val="20"/>
                <w:color w:val="auto"/>
              </w:rPr>
            </w:pPr>
            <w:r>
              <w:rPr>
                <w:rFonts w:ascii="Arial" w:cs="Arial" w:eastAsia="Arial" w:hAnsi="Arial"/>
                <w:sz w:val="16"/>
                <w:szCs w:val="16"/>
                <w:color w:val="auto"/>
              </w:rPr>
              <w:t>1.03%</w:t>
            </w:r>
          </w:p>
        </w:tc>
        <w:tc>
          <w:tcPr>
            <w:tcW w:w="920" w:type="dxa"/>
            <w:vAlign w:val="bottom"/>
          </w:tcPr>
          <w:p>
            <w:pPr>
              <w:jc w:val="right"/>
              <w:spacing w:after="0"/>
              <w:rPr>
                <w:sz w:val="20"/>
                <w:szCs w:val="20"/>
                <w:color w:val="auto"/>
              </w:rPr>
            </w:pPr>
            <w:r>
              <w:rPr>
                <w:rFonts w:ascii="Arial" w:cs="Arial" w:eastAsia="Arial" w:hAnsi="Arial"/>
                <w:sz w:val="16"/>
                <w:szCs w:val="16"/>
                <w:color w:val="auto"/>
              </w:rPr>
              <w:t>257,000</w:t>
            </w: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1.07%</w:t>
            </w: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47"/>
        </w:trPr>
        <w:tc>
          <w:tcPr>
            <w:tcW w:w="580" w:type="dxa"/>
            <w:vAlign w:val="bottom"/>
          </w:tcPr>
          <w:p>
            <w:pPr>
              <w:spacing w:after="0"/>
              <w:rPr>
                <w:sz w:val="4"/>
                <w:szCs w:val="4"/>
                <w:color w:val="auto"/>
              </w:rPr>
            </w:pPr>
          </w:p>
        </w:tc>
        <w:tc>
          <w:tcPr>
            <w:tcW w:w="3280" w:type="dxa"/>
            <w:vAlign w:val="bottom"/>
          </w:tcPr>
          <w:p>
            <w:pPr>
              <w:spacing w:after="0"/>
              <w:rPr>
                <w:sz w:val="4"/>
                <w:szCs w:val="4"/>
                <w:color w:val="auto"/>
              </w:rPr>
            </w:pPr>
          </w:p>
        </w:tc>
        <w:tc>
          <w:tcPr>
            <w:tcW w:w="1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c>
          <w:tcPr>
            <w:tcW w:w="3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Ascena Retail Group, Inc. (Dress Barn, Loft,</w:t>
            </w:r>
          </w:p>
        </w:tc>
        <w:tc>
          <w:tcPr>
            <w:tcW w:w="1840" w:type="dxa"/>
            <w:vAlign w:val="bottom"/>
            <w:shd w:val="clear" w:color="auto" w:fill="CCEEFF"/>
          </w:tcPr>
          <w:p>
            <w:pPr>
              <w:jc w:val="center"/>
              <w:ind w:left="20"/>
              <w:spacing w:after="0"/>
              <w:rPr>
                <w:sz w:val="20"/>
                <w:szCs w:val="20"/>
                <w:color w:val="auto"/>
              </w:rPr>
            </w:pPr>
            <w:r>
              <w:rPr>
                <w:rFonts w:ascii="Arial" w:cs="Arial" w:eastAsia="Arial" w:hAnsi="Arial"/>
                <w:sz w:val="16"/>
                <w:szCs w:val="16"/>
                <w:color w:val="auto"/>
                <w:w w:val="95"/>
              </w:rPr>
              <w:t>B+ / Ba3 / NR</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6,198,000</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198,000</w:t>
            </w: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0.82%</w:t>
            </w:r>
          </w:p>
        </w:tc>
        <w:tc>
          <w:tcPr>
            <w:tcW w:w="7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03"/>
        </w:trPr>
        <w:tc>
          <w:tcPr>
            <w:tcW w:w="580" w:type="dxa"/>
            <w:vAlign w:val="bottom"/>
            <w:shd w:val="clear" w:color="auto" w:fill="CCEEFF"/>
          </w:tcPr>
          <w:p>
            <w:pPr>
              <w:spacing w:after="0"/>
              <w:rPr>
                <w:sz w:val="17"/>
                <w:szCs w:val="17"/>
                <w:color w:val="auto"/>
              </w:rPr>
            </w:pPr>
          </w:p>
        </w:tc>
        <w:tc>
          <w:tcPr>
            <w:tcW w:w="328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8"/>
              </w:rPr>
              <w:t>Lou &amp; Grey, Ann Taylor, Catherine's, Justice,</w:t>
            </w:r>
          </w:p>
        </w:tc>
        <w:tc>
          <w:tcPr>
            <w:tcW w:w="1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80" w:type="dxa"/>
            <w:vAlign w:val="bottom"/>
            <w:tcBorders>
              <w:bottom w:val="single" w:sz="8" w:color="CCEEFF"/>
            </w:tcBorders>
            <w:shd w:val="clear" w:color="auto" w:fill="CCEEFF"/>
          </w:tcPr>
          <w:p>
            <w:pPr>
              <w:spacing w:after="0"/>
              <w:rPr>
                <w:sz w:val="19"/>
                <w:szCs w:val="19"/>
                <w:color w:val="auto"/>
              </w:rPr>
            </w:pPr>
          </w:p>
        </w:tc>
        <w:tc>
          <w:tcPr>
            <w:tcW w:w="3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Lane Bryant)</w:t>
            </w:r>
          </w:p>
        </w:tc>
        <w:tc>
          <w:tcPr>
            <w:tcW w:w="18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8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3280" w:type="dxa"/>
            <w:vAlign w:val="bottom"/>
          </w:tcPr>
          <w:p>
            <w:pPr>
              <w:ind w:left="120"/>
              <w:spacing w:after="0"/>
              <w:rPr>
                <w:sz w:val="20"/>
                <w:szCs w:val="20"/>
                <w:color w:val="auto"/>
              </w:rPr>
            </w:pPr>
            <w:r>
              <w:rPr>
                <w:rFonts w:ascii="Arial" w:cs="Arial" w:eastAsia="Arial" w:hAnsi="Arial"/>
                <w:sz w:val="16"/>
                <w:szCs w:val="16"/>
                <w:color w:val="auto"/>
              </w:rPr>
              <w:t>Kroger Co., The</w:t>
            </w:r>
          </w:p>
        </w:tc>
        <w:tc>
          <w:tcPr>
            <w:tcW w:w="1840" w:type="dxa"/>
            <w:vAlign w:val="bottom"/>
          </w:tcPr>
          <w:p>
            <w:pPr>
              <w:jc w:val="center"/>
              <w:spacing w:after="0"/>
              <w:rPr>
                <w:sz w:val="20"/>
                <w:szCs w:val="20"/>
                <w:color w:val="auto"/>
              </w:rPr>
            </w:pPr>
            <w:r>
              <w:rPr>
                <w:rFonts w:ascii="Arial" w:cs="Arial" w:eastAsia="Arial" w:hAnsi="Arial"/>
                <w:sz w:val="16"/>
                <w:szCs w:val="16"/>
                <w:color w:val="auto"/>
                <w:w w:val="96"/>
              </w:rPr>
              <w:t>BBB / Baa1 / BBB</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5,952,000</w:t>
            </w:r>
          </w:p>
        </w:tc>
        <w:tc>
          <w:tcPr>
            <w:tcW w:w="1600" w:type="dxa"/>
            <w:vAlign w:val="bottom"/>
          </w:tcPr>
          <w:p>
            <w:pPr>
              <w:jc w:val="right"/>
              <w:spacing w:after="0"/>
              <w:rPr>
                <w:sz w:val="20"/>
                <w:szCs w:val="20"/>
                <w:color w:val="auto"/>
              </w:rPr>
            </w:pPr>
            <w:r>
              <w:rPr>
                <w:rFonts w:ascii="Arial" w:cs="Arial" w:eastAsia="Arial" w:hAnsi="Arial"/>
                <w:sz w:val="16"/>
                <w:szCs w:val="16"/>
                <w:color w:val="auto"/>
              </w:rPr>
              <w:t>0.99%</w:t>
            </w:r>
          </w:p>
        </w:tc>
        <w:tc>
          <w:tcPr>
            <w:tcW w:w="920" w:type="dxa"/>
            <w:vAlign w:val="bottom"/>
          </w:tcPr>
          <w:p>
            <w:pPr>
              <w:jc w:val="right"/>
              <w:spacing w:after="0"/>
              <w:rPr>
                <w:sz w:val="20"/>
                <w:szCs w:val="20"/>
                <w:color w:val="auto"/>
              </w:rPr>
            </w:pPr>
            <w:r>
              <w:rPr>
                <w:rFonts w:ascii="Arial" w:cs="Arial" w:eastAsia="Arial" w:hAnsi="Arial"/>
                <w:sz w:val="16"/>
                <w:szCs w:val="16"/>
                <w:color w:val="auto"/>
              </w:rPr>
              <w:t>529,000</w:t>
            </w: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2.20%</w:t>
            </w: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47"/>
        </w:trPr>
        <w:tc>
          <w:tcPr>
            <w:tcW w:w="580" w:type="dxa"/>
            <w:vAlign w:val="bottom"/>
          </w:tcPr>
          <w:p>
            <w:pPr>
              <w:spacing w:after="0"/>
              <w:rPr>
                <w:sz w:val="4"/>
                <w:szCs w:val="4"/>
                <w:color w:val="auto"/>
              </w:rPr>
            </w:pPr>
          </w:p>
        </w:tc>
        <w:tc>
          <w:tcPr>
            <w:tcW w:w="3280" w:type="dxa"/>
            <w:vAlign w:val="bottom"/>
          </w:tcPr>
          <w:p>
            <w:pPr>
              <w:spacing w:after="0"/>
              <w:rPr>
                <w:sz w:val="4"/>
                <w:szCs w:val="4"/>
                <w:color w:val="auto"/>
              </w:rPr>
            </w:pPr>
          </w:p>
        </w:tc>
        <w:tc>
          <w:tcPr>
            <w:tcW w:w="1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w:t>
            </w:r>
          </w:p>
        </w:tc>
        <w:tc>
          <w:tcPr>
            <w:tcW w:w="3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Home Depot, Inc.</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A / A2 / A</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5,757,000</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0.96%</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438,000</w:t>
            </w: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1.82%</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24"/>
        </w:trPr>
        <w:tc>
          <w:tcPr>
            <w:tcW w:w="58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3280" w:type="dxa"/>
            <w:vAlign w:val="bottom"/>
          </w:tcPr>
          <w:p>
            <w:pPr>
              <w:ind w:left="120"/>
              <w:spacing w:after="0"/>
              <w:rPr>
                <w:sz w:val="20"/>
                <w:szCs w:val="20"/>
                <w:color w:val="auto"/>
              </w:rPr>
            </w:pPr>
            <w:r>
              <w:rPr>
                <w:rFonts w:ascii="Arial" w:cs="Arial" w:eastAsia="Arial" w:hAnsi="Arial"/>
                <w:sz w:val="16"/>
                <w:szCs w:val="16"/>
                <w:color w:val="auto"/>
              </w:rPr>
              <w:t>Michaels Stores, Inc.</w:t>
            </w:r>
          </w:p>
        </w:tc>
        <w:tc>
          <w:tcPr>
            <w:tcW w:w="1840" w:type="dxa"/>
            <w:vAlign w:val="bottom"/>
          </w:tcPr>
          <w:p>
            <w:pPr>
              <w:jc w:val="center"/>
              <w:spacing w:after="0"/>
              <w:rPr>
                <w:sz w:val="20"/>
                <w:szCs w:val="20"/>
                <w:color w:val="auto"/>
              </w:rPr>
            </w:pPr>
            <w:r>
              <w:rPr>
                <w:rFonts w:ascii="Arial" w:cs="Arial" w:eastAsia="Arial" w:hAnsi="Arial"/>
                <w:sz w:val="16"/>
                <w:szCs w:val="16"/>
                <w:color w:val="auto"/>
                <w:w w:val="95"/>
              </w:rPr>
              <w:t>BB- / Ba2 / NR</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5,724,000</w:t>
            </w:r>
          </w:p>
        </w:tc>
        <w:tc>
          <w:tcPr>
            <w:tcW w:w="1600" w:type="dxa"/>
            <w:vAlign w:val="bottom"/>
          </w:tcPr>
          <w:p>
            <w:pPr>
              <w:jc w:val="right"/>
              <w:spacing w:after="0"/>
              <w:rPr>
                <w:sz w:val="20"/>
                <w:szCs w:val="20"/>
                <w:color w:val="auto"/>
              </w:rPr>
            </w:pPr>
            <w:r>
              <w:rPr>
                <w:rFonts w:ascii="Arial" w:cs="Arial" w:eastAsia="Arial" w:hAnsi="Arial"/>
                <w:sz w:val="16"/>
                <w:szCs w:val="16"/>
                <w:color w:val="auto"/>
              </w:rPr>
              <w:t>0.95%</w:t>
            </w:r>
          </w:p>
        </w:tc>
        <w:tc>
          <w:tcPr>
            <w:tcW w:w="920" w:type="dxa"/>
            <w:vAlign w:val="bottom"/>
          </w:tcPr>
          <w:p>
            <w:pPr>
              <w:jc w:val="right"/>
              <w:spacing w:after="0"/>
              <w:rPr>
                <w:sz w:val="20"/>
                <w:szCs w:val="20"/>
                <w:color w:val="auto"/>
              </w:rPr>
            </w:pPr>
            <w:r>
              <w:rPr>
                <w:rFonts w:ascii="Arial" w:cs="Arial" w:eastAsia="Arial" w:hAnsi="Arial"/>
                <w:sz w:val="16"/>
                <w:szCs w:val="16"/>
                <w:color w:val="auto"/>
              </w:rPr>
              <w:t>307,000</w:t>
            </w: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1.28%</w:t>
            </w: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47"/>
        </w:trPr>
        <w:tc>
          <w:tcPr>
            <w:tcW w:w="580" w:type="dxa"/>
            <w:vAlign w:val="bottom"/>
          </w:tcPr>
          <w:p>
            <w:pPr>
              <w:spacing w:after="0"/>
              <w:rPr>
                <w:sz w:val="4"/>
                <w:szCs w:val="4"/>
                <w:color w:val="auto"/>
              </w:rPr>
            </w:pPr>
          </w:p>
        </w:tc>
        <w:tc>
          <w:tcPr>
            <w:tcW w:w="3280" w:type="dxa"/>
            <w:vAlign w:val="bottom"/>
          </w:tcPr>
          <w:p>
            <w:pPr>
              <w:spacing w:after="0"/>
              <w:rPr>
                <w:sz w:val="4"/>
                <w:szCs w:val="4"/>
                <w:color w:val="auto"/>
              </w:rPr>
            </w:pPr>
          </w:p>
        </w:tc>
        <w:tc>
          <w:tcPr>
            <w:tcW w:w="1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w:t>
            </w:r>
          </w:p>
        </w:tc>
        <w:tc>
          <w:tcPr>
            <w:tcW w:w="3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DSW, Inc</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5"/>
              </w:rPr>
              <w:t>NR / NR / NR</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5,705,000</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0.95%</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243,000</w:t>
            </w: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1.01%</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24"/>
        </w:trPr>
        <w:tc>
          <w:tcPr>
            <w:tcW w:w="580" w:type="dxa"/>
            <w:vAlign w:val="bottom"/>
          </w:tcPr>
          <w:p>
            <w:pPr>
              <w:jc w:val="right"/>
              <w:ind w:right="39"/>
              <w:spacing w:after="0"/>
              <w:rPr>
                <w:sz w:val="20"/>
                <w:szCs w:val="20"/>
                <w:color w:val="auto"/>
              </w:rPr>
            </w:pPr>
            <w:r>
              <w:rPr>
                <w:rFonts w:ascii="Arial" w:cs="Arial" w:eastAsia="Arial" w:hAnsi="Arial"/>
                <w:sz w:val="16"/>
                <w:szCs w:val="16"/>
                <w:color w:val="auto"/>
              </w:rPr>
              <w:t>16</w:t>
            </w:r>
          </w:p>
        </w:tc>
        <w:tc>
          <w:tcPr>
            <w:tcW w:w="3280" w:type="dxa"/>
            <w:vAlign w:val="bottom"/>
          </w:tcPr>
          <w:p>
            <w:pPr>
              <w:ind w:left="120"/>
              <w:spacing w:after="0"/>
              <w:rPr>
                <w:sz w:val="20"/>
                <w:szCs w:val="20"/>
                <w:color w:val="auto"/>
              </w:rPr>
            </w:pPr>
            <w:r>
              <w:rPr>
                <w:rFonts w:ascii="Arial" w:cs="Arial" w:eastAsia="Arial" w:hAnsi="Arial"/>
                <w:sz w:val="16"/>
                <w:szCs w:val="16"/>
                <w:color w:val="auto"/>
              </w:rPr>
              <w:t>Barnes &amp; Noble, Inc.</w:t>
            </w:r>
          </w:p>
        </w:tc>
        <w:tc>
          <w:tcPr>
            <w:tcW w:w="1840" w:type="dxa"/>
            <w:vAlign w:val="bottom"/>
          </w:tcPr>
          <w:p>
            <w:pPr>
              <w:jc w:val="center"/>
              <w:spacing w:after="0"/>
              <w:rPr>
                <w:sz w:val="20"/>
                <w:szCs w:val="20"/>
                <w:color w:val="auto"/>
              </w:rPr>
            </w:pPr>
            <w:r>
              <w:rPr>
                <w:rFonts w:ascii="Arial" w:cs="Arial" w:eastAsia="Arial" w:hAnsi="Arial"/>
                <w:sz w:val="16"/>
                <w:szCs w:val="16"/>
                <w:color w:val="auto"/>
                <w:w w:val="95"/>
              </w:rPr>
              <w:t>NR / NR / NR</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5,535,000</w:t>
            </w:r>
          </w:p>
        </w:tc>
        <w:tc>
          <w:tcPr>
            <w:tcW w:w="1600" w:type="dxa"/>
            <w:vAlign w:val="bottom"/>
          </w:tcPr>
          <w:p>
            <w:pPr>
              <w:jc w:val="right"/>
              <w:spacing w:after="0"/>
              <w:rPr>
                <w:sz w:val="20"/>
                <w:szCs w:val="20"/>
                <w:color w:val="auto"/>
              </w:rPr>
            </w:pPr>
            <w:r>
              <w:rPr>
                <w:rFonts w:ascii="Arial" w:cs="Arial" w:eastAsia="Arial" w:hAnsi="Arial"/>
                <w:sz w:val="16"/>
                <w:szCs w:val="16"/>
                <w:color w:val="auto"/>
              </w:rPr>
              <w:t>0.92%</w:t>
            </w:r>
          </w:p>
        </w:tc>
        <w:tc>
          <w:tcPr>
            <w:tcW w:w="920" w:type="dxa"/>
            <w:vAlign w:val="bottom"/>
          </w:tcPr>
          <w:p>
            <w:pPr>
              <w:jc w:val="right"/>
              <w:spacing w:after="0"/>
              <w:rPr>
                <w:sz w:val="20"/>
                <w:szCs w:val="20"/>
                <w:color w:val="auto"/>
              </w:rPr>
            </w:pPr>
            <w:r>
              <w:rPr>
                <w:rFonts w:ascii="Arial" w:cs="Arial" w:eastAsia="Arial" w:hAnsi="Arial"/>
                <w:sz w:val="16"/>
                <w:szCs w:val="16"/>
                <w:color w:val="auto"/>
              </w:rPr>
              <w:t>244,000</w:t>
            </w: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1.01%</w:t>
            </w: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47"/>
        </w:trPr>
        <w:tc>
          <w:tcPr>
            <w:tcW w:w="580" w:type="dxa"/>
            <w:vAlign w:val="bottom"/>
          </w:tcPr>
          <w:p>
            <w:pPr>
              <w:spacing w:after="0"/>
              <w:rPr>
                <w:sz w:val="4"/>
                <w:szCs w:val="4"/>
                <w:color w:val="auto"/>
              </w:rPr>
            </w:pPr>
          </w:p>
        </w:tc>
        <w:tc>
          <w:tcPr>
            <w:tcW w:w="3280" w:type="dxa"/>
            <w:vAlign w:val="bottom"/>
          </w:tcPr>
          <w:p>
            <w:pPr>
              <w:spacing w:after="0"/>
              <w:rPr>
                <w:sz w:val="4"/>
                <w:szCs w:val="4"/>
                <w:color w:val="auto"/>
              </w:rPr>
            </w:pPr>
          </w:p>
        </w:tc>
        <w:tc>
          <w:tcPr>
            <w:tcW w:w="1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w:t>
            </w:r>
          </w:p>
        </w:tc>
        <w:tc>
          <w:tcPr>
            <w:tcW w:w="3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Bank of America, N.A.</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6"/>
              </w:rPr>
              <w:t>BBB+ / Baa1 / A</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5,515,000</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0.92%</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105,000</w:t>
            </w: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0.44%</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24"/>
        </w:trPr>
        <w:tc>
          <w:tcPr>
            <w:tcW w:w="580" w:type="dxa"/>
            <w:vAlign w:val="bottom"/>
          </w:tcPr>
          <w:p>
            <w:pPr>
              <w:jc w:val="right"/>
              <w:ind w:right="39"/>
              <w:spacing w:after="0"/>
              <w:rPr>
                <w:sz w:val="20"/>
                <w:szCs w:val="20"/>
                <w:color w:val="auto"/>
              </w:rPr>
            </w:pPr>
            <w:r>
              <w:rPr>
                <w:rFonts w:ascii="Arial" w:cs="Arial" w:eastAsia="Arial" w:hAnsi="Arial"/>
                <w:sz w:val="16"/>
                <w:szCs w:val="16"/>
                <w:color w:val="auto"/>
              </w:rPr>
              <w:t>18</w:t>
            </w:r>
          </w:p>
        </w:tc>
        <w:tc>
          <w:tcPr>
            <w:tcW w:w="3280" w:type="dxa"/>
            <w:vAlign w:val="bottom"/>
          </w:tcPr>
          <w:p>
            <w:pPr>
              <w:ind w:left="120"/>
              <w:spacing w:after="0"/>
              <w:rPr>
                <w:sz w:val="20"/>
                <w:szCs w:val="20"/>
                <w:color w:val="auto"/>
              </w:rPr>
            </w:pPr>
            <w:r>
              <w:rPr>
                <w:rFonts w:ascii="Arial" w:cs="Arial" w:eastAsia="Arial" w:hAnsi="Arial"/>
                <w:sz w:val="16"/>
                <w:szCs w:val="16"/>
                <w:color w:val="auto"/>
                <w:w w:val="96"/>
              </w:rPr>
              <w:t>Hudson's Bay Company (Saks, Lord &amp; Taylor)</w:t>
            </w:r>
          </w:p>
        </w:tc>
        <w:tc>
          <w:tcPr>
            <w:tcW w:w="1840" w:type="dxa"/>
            <w:vAlign w:val="bottom"/>
          </w:tcPr>
          <w:p>
            <w:pPr>
              <w:jc w:val="center"/>
              <w:ind w:left="20"/>
              <w:spacing w:after="0"/>
              <w:rPr>
                <w:sz w:val="20"/>
                <w:szCs w:val="20"/>
                <w:color w:val="auto"/>
              </w:rPr>
            </w:pPr>
            <w:r>
              <w:rPr>
                <w:rFonts w:ascii="Arial" w:cs="Arial" w:eastAsia="Arial" w:hAnsi="Arial"/>
                <w:sz w:val="16"/>
                <w:szCs w:val="16"/>
                <w:color w:val="auto"/>
                <w:w w:val="97"/>
              </w:rPr>
              <w:t>B / B2 / NR</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5,380,000</w:t>
            </w:r>
          </w:p>
        </w:tc>
        <w:tc>
          <w:tcPr>
            <w:tcW w:w="1600" w:type="dxa"/>
            <w:vAlign w:val="bottom"/>
          </w:tcPr>
          <w:p>
            <w:pPr>
              <w:jc w:val="right"/>
              <w:spacing w:after="0"/>
              <w:rPr>
                <w:sz w:val="20"/>
                <w:szCs w:val="20"/>
                <w:color w:val="auto"/>
              </w:rPr>
            </w:pPr>
            <w:r>
              <w:rPr>
                <w:rFonts w:ascii="Arial" w:cs="Arial" w:eastAsia="Arial" w:hAnsi="Arial"/>
                <w:sz w:val="16"/>
                <w:szCs w:val="16"/>
                <w:color w:val="auto"/>
              </w:rPr>
              <w:t>0.89%</w:t>
            </w:r>
          </w:p>
        </w:tc>
        <w:tc>
          <w:tcPr>
            <w:tcW w:w="920" w:type="dxa"/>
            <w:vAlign w:val="bottom"/>
          </w:tcPr>
          <w:p>
            <w:pPr>
              <w:jc w:val="right"/>
              <w:spacing w:after="0"/>
              <w:rPr>
                <w:sz w:val="20"/>
                <w:szCs w:val="20"/>
                <w:color w:val="auto"/>
              </w:rPr>
            </w:pPr>
            <w:r>
              <w:rPr>
                <w:rFonts w:ascii="Arial" w:cs="Arial" w:eastAsia="Arial" w:hAnsi="Arial"/>
                <w:sz w:val="16"/>
                <w:szCs w:val="16"/>
                <w:color w:val="auto"/>
              </w:rPr>
              <w:t>220,000</w:t>
            </w: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0.91%</w:t>
            </w: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47"/>
        </w:trPr>
        <w:tc>
          <w:tcPr>
            <w:tcW w:w="580" w:type="dxa"/>
            <w:vAlign w:val="bottom"/>
          </w:tcPr>
          <w:p>
            <w:pPr>
              <w:spacing w:after="0"/>
              <w:rPr>
                <w:sz w:val="4"/>
                <w:szCs w:val="4"/>
                <w:color w:val="auto"/>
              </w:rPr>
            </w:pPr>
          </w:p>
        </w:tc>
        <w:tc>
          <w:tcPr>
            <w:tcW w:w="3280" w:type="dxa"/>
            <w:vAlign w:val="bottom"/>
          </w:tcPr>
          <w:p>
            <w:pPr>
              <w:spacing w:after="0"/>
              <w:rPr>
                <w:sz w:val="4"/>
                <w:szCs w:val="4"/>
                <w:color w:val="auto"/>
              </w:rPr>
            </w:pPr>
          </w:p>
        </w:tc>
        <w:tc>
          <w:tcPr>
            <w:tcW w:w="1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w:t>
            </w:r>
          </w:p>
        </w:tc>
        <w:tc>
          <w:tcPr>
            <w:tcW w:w="3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Ross Stores, Inc.</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8"/>
              </w:rPr>
              <w:t>A- / A3 / NR</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5,239,000</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0.87%</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295,000</w:t>
            </w: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1.23%</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24"/>
        </w:trPr>
        <w:tc>
          <w:tcPr>
            <w:tcW w:w="580" w:type="dxa"/>
            <w:vAlign w:val="bottom"/>
          </w:tcPr>
          <w:p>
            <w:pPr>
              <w:jc w:val="right"/>
              <w:ind w:right="39"/>
              <w:spacing w:after="0"/>
              <w:rPr>
                <w:sz w:val="20"/>
                <w:szCs w:val="20"/>
                <w:color w:val="auto"/>
              </w:rPr>
            </w:pPr>
            <w:r>
              <w:rPr>
                <w:rFonts w:ascii="Arial" w:cs="Arial" w:eastAsia="Arial" w:hAnsi="Arial"/>
                <w:sz w:val="16"/>
                <w:szCs w:val="16"/>
                <w:color w:val="auto"/>
              </w:rPr>
              <w:t>20</w:t>
            </w:r>
          </w:p>
        </w:tc>
        <w:tc>
          <w:tcPr>
            <w:tcW w:w="3280" w:type="dxa"/>
            <w:vAlign w:val="bottom"/>
          </w:tcPr>
          <w:p>
            <w:pPr>
              <w:ind w:left="120"/>
              <w:spacing w:after="0"/>
              <w:rPr>
                <w:sz w:val="20"/>
                <w:szCs w:val="20"/>
                <w:color w:val="auto"/>
              </w:rPr>
            </w:pPr>
            <w:r>
              <w:rPr>
                <w:rFonts w:ascii="Arial" w:cs="Arial" w:eastAsia="Arial" w:hAnsi="Arial"/>
                <w:sz w:val="16"/>
                <w:szCs w:val="16"/>
                <w:color w:val="auto"/>
              </w:rPr>
              <w:t>Nordstrom, Inc.</w:t>
            </w:r>
          </w:p>
        </w:tc>
        <w:tc>
          <w:tcPr>
            <w:tcW w:w="1840" w:type="dxa"/>
            <w:vAlign w:val="bottom"/>
          </w:tcPr>
          <w:p>
            <w:pPr>
              <w:jc w:val="center"/>
              <w:ind w:left="20"/>
              <w:spacing w:after="0"/>
              <w:rPr>
                <w:sz w:val="20"/>
                <w:szCs w:val="20"/>
                <w:color w:val="auto"/>
              </w:rPr>
            </w:pPr>
            <w:r>
              <w:rPr>
                <w:rFonts w:ascii="Arial" w:cs="Arial" w:eastAsia="Arial" w:hAnsi="Arial"/>
                <w:sz w:val="16"/>
                <w:szCs w:val="16"/>
                <w:color w:val="auto"/>
                <w:w w:val="96"/>
              </w:rPr>
              <w:t>BBB+ / Baa1 / BBB+</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4,913,000</w:t>
            </w:r>
          </w:p>
        </w:tc>
        <w:tc>
          <w:tcPr>
            <w:tcW w:w="1600" w:type="dxa"/>
            <w:vAlign w:val="bottom"/>
          </w:tcPr>
          <w:p>
            <w:pPr>
              <w:jc w:val="right"/>
              <w:spacing w:after="0"/>
              <w:rPr>
                <w:sz w:val="20"/>
                <w:szCs w:val="20"/>
                <w:color w:val="auto"/>
              </w:rPr>
            </w:pPr>
            <w:r>
              <w:rPr>
                <w:rFonts w:ascii="Arial" w:cs="Arial" w:eastAsia="Arial" w:hAnsi="Arial"/>
                <w:sz w:val="16"/>
                <w:szCs w:val="16"/>
                <w:color w:val="auto"/>
              </w:rPr>
              <w:t>0.82%</w:t>
            </w:r>
          </w:p>
        </w:tc>
        <w:tc>
          <w:tcPr>
            <w:tcW w:w="920" w:type="dxa"/>
            <w:vAlign w:val="bottom"/>
          </w:tcPr>
          <w:p>
            <w:pPr>
              <w:jc w:val="right"/>
              <w:spacing w:after="0"/>
              <w:rPr>
                <w:sz w:val="20"/>
                <w:szCs w:val="20"/>
                <w:color w:val="auto"/>
              </w:rPr>
            </w:pPr>
            <w:r>
              <w:rPr>
                <w:rFonts w:ascii="Arial" w:cs="Arial" w:eastAsia="Arial" w:hAnsi="Arial"/>
                <w:sz w:val="16"/>
                <w:szCs w:val="16"/>
                <w:color w:val="auto"/>
              </w:rPr>
              <w:t>195,000</w:t>
            </w: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0.81%</w:t>
            </w: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47"/>
        </w:trPr>
        <w:tc>
          <w:tcPr>
            <w:tcW w:w="580" w:type="dxa"/>
            <w:vAlign w:val="bottom"/>
          </w:tcPr>
          <w:p>
            <w:pPr>
              <w:spacing w:after="0"/>
              <w:rPr>
                <w:sz w:val="4"/>
                <w:szCs w:val="4"/>
                <w:color w:val="auto"/>
              </w:rPr>
            </w:pPr>
          </w:p>
        </w:tc>
        <w:tc>
          <w:tcPr>
            <w:tcW w:w="3280" w:type="dxa"/>
            <w:vAlign w:val="bottom"/>
          </w:tcPr>
          <w:p>
            <w:pPr>
              <w:spacing w:after="0"/>
              <w:rPr>
                <w:sz w:val="4"/>
                <w:szCs w:val="4"/>
                <w:color w:val="auto"/>
              </w:rPr>
            </w:pPr>
          </w:p>
        </w:tc>
        <w:tc>
          <w:tcPr>
            <w:tcW w:w="1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w:t>
            </w:r>
          </w:p>
        </w:tc>
        <w:tc>
          <w:tcPr>
            <w:tcW w:w="3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Whole Foods Market, Inc.</w:t>
            </w:r>
          </w:p>
        </w:tc>
        <w:tc>
          <w:tcPr>
            <w:tcW w:w="1840" w:type="dxa"/>
            <w:vAlign w:val="bottom"/>
            <w:tcBorders>
              <w:bottom w:val="single" w:sz="8" w:color="CCEEFF"/>
            </w:tcBorders>
            <w:shd w:val="clear" w:color="auto" w:fill="CCEEFF"/>
          </w:tcPr>
          <w:p>
            <w:pPr>
              <w:jc w:val="center"/>
              <w:ind w:left="20"/>
              <w:spacing w:after="0"/>
              <w:rPr>
                <w:sz w:val="20"/>
                <w:szCs w:val="20"/>
                <w:color w:val="auto"/>
              </w:rPr>
            </w:pPr>
            <w:r>
              <w:rPr>
                <w:rFonts w:ascii="Arial" w:cs="Arial" w:eastAsia="Arial" w:hAnsi="Arial"/>
                <w:sz w:val="16"/>
                <w:szCs w:val="16"/>
                <w:color w:val="auto"/>
                <w:w w:val="95"/>
              </w:rPr>
              <w:t>A+ / Baa1 / NR</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4,642,000</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0.77%</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167,000</w:t>
            </w: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0.69%</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24"/>
        </w:trPr>
        <w:tc>
          <w:tcPr>
            <w:tcW w:w="580" w:type="dxa"/>
            <w:vAlign w:val="bottom"/>
          </w:tcPr>
          <w:p>
            <w:pPr>
              <w:jc w:val="right"/>
              <w:ind w:right="39"/>
              <w:spacing w:after="0"/>
              <w:rPr>
                <w:sz w:val="20"/>
                <w:szCs w:val="20"/>
                <w:color w:val="auto"/>
              </w:rPr>
            </w:pPr>
            <w:r>
              <w:rPr>
                <w:rFonts w:ascii="Arial" w:cs="Arial" w:eastAsia="Arial" w:hAnsi="Arial"/>
                <w:sz w:val="16"/>
                <w:szCs w:val="16"/>
                <w:color w:val="auto"/>
              </w:rPr>
              <w:t>22</w:t>
            </w:r>
          </w:p>
        </w:tc>
        <w:tc>
          <w:tcPr>
            <w:tcW w:w="3280" w:type="dxa"/>
            <w:vAlign w:val="bottom"/>
          </w:tcPr>
          <w:p>
            <w:pPr>
              <w:ind w:left="120"/>
              <w:spacing w:after="0"/>
              <w:rPr>
                <w:sz w:val="20"/>
                <w:szCs w:val="20"/>
                <w:color w:val="auto"/>
              </w:rPr>
            </w:pPr>
            <w:r>
              <w:rPr>
                <w:rFonts w:ascii="Arial" w:cs="Arial" w:eastAsia="Arial" w:hAnsi="Arial"/>
                <w:sz w:val="16"/>
                <w:szCs w:val="16"/>
                <w:color w:val="auto"/>
              </w:rPr>
              <w:t>Starbucks Corporation</w:t>
            </w:r>
          </w:p>
        </w:tc>
        <w:tc>
          <w:tcPr>
            <w:tcW w:w="1840" w:type="dxa"/>
            <w:vAlign w:val="bottom"/>
          </w:tcPr>
          <w:p>
            <w:pPr>
              <w:jc w:val="center"/>
              <w:spacing w:after="0"/>
              <w:rPr>
                <w:sz w:val="20"/>
                <w:szCs w:val="20"/>
                <w:color w:val="auto"/>
              </w:rPr>
            </w:pPr>
            <w:r>
              <w:rPr>
                <w:rFonts w:ascii="Arial" w:cs="Arial" w:eastAsia="Arial" w:hAnsi="Arial"/>
                <w:sz w:val="16"/>
                <w:szCs w:val="16"/>
                <w:color w:val="auto"/>
              </w:rPr>
              <w:t>A / A2 / A</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4,188,000</w:t>
            </w:r>
          </w:p>
        </w:tc>
        <w:tc>
          <w:tcPr>
            <w:tcW w:w="1600" w:type="dxa"/>
            <w:vAlign w:val="bottom"/>
          </w:tcPr>
          <w:p>
            <w:pPr>
              <w:jc w:val="right"/>
              <w:spacing w:after="0"/>
              <w:rPr>
                <w:sz w:val="20"/>
                <w:szCs w:val="20"/>
                <w:color w:val="auto"/>
              </w:rPr>
            </w:pPr>
            <w:r>
              <w:rPr>
                <w:rFonts w:ascii="Arial" w:cs="Arial" w:eastAsia="Arial" w:hAnsi="Arial"/>
                <w:sz w:val="16"/>
                <w:szCs w:val="16"/>
                <w:color w:val="auto"/>
              </w:rPr>
              <w:t>0.70%</w:t>
            </w:r>
          </w:p>
        </w:tc>
        <w:tc>
          <w:tcPr>
            <w:tcW w:w="920" w:type="dxa"/>
            <w:vAlign w:val="bottom"/>
          </w:tcPr>
          <w:p>
            <w:pPr>
              <w:jc w:val="right"/>
              <w:spacing w:after="0"/>
              <w:rPr>
                <w:sz w:val="20"/>
                <w:szCs w:val="20"/>
                <w:color w:val="auto"/>
              </w:rPr>
            </w:pPr>
            <w:r>
              <w:rPr>
                <w:rFonts w:ascii="Arial" w:cs="Arial" w:eastAsia="Arial" w:hAnsi="Arial"/>
                <w:sz w:val="16"/>
                <w:szCs w:val="16"/>
                <w:color w:val="auto"/>
              </w:rPr>
              <w:t>69,000</w:t>
            </w: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0.29%</w:t>
            </w: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47"/>
        </w:trPr>
        <w:tc>
          <w:tcPr>
            <w:tcW w:w="580" w:type="dxa"/>
            <w:vAlign w:val="bottom"/>
          </w:tcPr>
          <w:p>
            <w:pPr>
              <w:spacing w:after="0"/>
              <w:rPr>
                <w:sz w:val="4"/>
                <w:szCs w:val="4"/>
                <w:color w:val="auto"/>
              </w:rPr>
            </w:pPr>
          </w:p>
        </w:tc>
        <w:tc>
          <w:tcPr>
            <w:tcW w:w="3280" w:type="dxa"/>
            <w:vAlign w:val="bottom"/>
          </w:tcPr>
          <w:p>
            <w:pPr>
              <w:spacing w:after="0"/>
              <w:rPr>
                <w:sz w:val="4"/>
                <w:szCs w:val="4"/>
                <w:color w:val="auto"/>
              </w:rPr>
            </w:pPr>
          </w:p>
        </w:tc>
        <w:tc>
          <w:tcPr>
            <w:tcW w:w="1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w:t>
            </w:r>
          </w:p>
        </w:tc>
        <w:tc>
          <w:tcPr>
            <w:tcW w:w="3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AB Acquisition LLC (Acme, Safeway)</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5"/>
              </w:rPr>
              <w:t>NR / B1 / NR</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4,164,000</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0.69%</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412,000</w:t>
            </w: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1.71%</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24"/>
        </w:trPr>
        <w:tc>
          <w:tcPr>
            <w:tcW w:w="580" w:type="dxa"/>
            <w:vAlign w:val="bottom"/>
          </w:tcPr>
          <w:p>
            <w:pPr>
              <w:jc w:val="right"/>
              <w:ind w:right="39"/>
              <w:spacing w:after="0"/>
              <w:rPr>
                <w:sz w:val="20"/>
                <w:szCs w:val="20"/>
                <w:color w:val="auto"/>
              </w:rPr>
            </w:pPr>
            <w:r>
              <w:rPr>
                <w:rFonts w:ascii="Arial" w:cs="Arial" w:eastAsia="Arial" w:hAnsi="Arial"/>
                <w:sz w:val="16"/>
                <w:szCs w:val="16"/>
                <w:color w:val="auto"/>
              </w:rPr>
              <w:t>24</w:t>
            </w:r>
          </w:p>
        </w:tc>
        <w:tc>
          <w:tcPr>
            <w:tcW w:w="3280" w:type="dxa"/>
            <w:vAlign w:val="bottom"/>
          </w:tcPr>
          <w:p>
            <w:pPr>
              <w:ind w:left="120"/>
              <w:spacing w:after="0"/>
              <w:rPr>
                <w:sz w:val="20"/>
                <w:szCs w:val="20"/>
                <w:color w:val="auto"/>
              </w:rPr>
            </w:pPr>
            <w:r>
              <w:rPr>
                <w:rFonts w:ascii="Arial" w:cs="Arial" w:eastAsia="Arial" w:hAnsi="Arial"/>
                <w:sz w:val="16"/>
                <w:szCs w:val="16"/>
                <w:color w:val="auto"/>
              </w:rPr>
              <w:t>Ulta Beauty, Inc.</w:t>
            </w:r>
          </w:p>
        </w:tc>
        <w:tc>
          <w:tcPr>
            <w:tcW w:w="1840" w:type="dxa"/>
            <w:vAlign w:val="bottom"/>
          </w:tcPr>
          <w:p>
            <w:pPr>
              <w:jc w:val="center"/>
              <w:spacing w:after="0"/>
              <w:rPr>
                <w:sz w:val="20"/>
                <w:szCs w:val="20"/>
                <w:color w:val="auto"/>
              </w:rPr>
            </w:pPr>
            <w:r>
              <w:rPr>
                <w:rFonts w:ascii="Arial" w:cs="Arial" w:eastAsia="Arial" w:hAnsi="Arial"/>
                <w:sz w:val="16"/>
                <w:szCs w:val="16"/>
                <w:color w:val="auto"/>
                <w:w w:val="95"/>
              </w:rPr>
              <w:t>NR / NR / NR</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4,129,000</w:t>
            </w:r>
          </w:p>
        </w:tc>
        <w:tc>
          <w:tcPr>
            <w:tcW w:w="1600" w:type="dxa"/>
            <w:vAlign w:val="bottom"/>
          </w:tcPr>
          <w:p>
            <w:pPr>
              <w:jc w:val="right"/>
              <w:spacing w:after="0"/>
              <w:rPr>
                <w:sz w:val="20"/>
                <w:szCs w:val="20"/>
                <w:color w:val="auto"/>
              </w:rPr>
            </w:pPr>
            <w:r>
              <w:rPr>
                <w:rFonts w:ascii="Arial" w:cs="Arial" w:eastAsia="Arial" w:hAnsi="Arial"/>
                <w:sz w:val="16"/>
                <w:szCs w:val="16"/>
                <w:color w:val="auto"/>
              </w:rPr>
              <w:t>0.69%</w:t>
            </w:r>
          </w:p>
        </w:tc>
        <w:tc>
          <w:tcPr>
            <w:tcW w:w="920" w:type="dxa"/>
            <w:vAlign w:val="bottom"/>
          </w:tcPr>
          <w:p>
            <w:pPr>
              <w:jc w:val="right"/>
              <w:spacing w:after="0"/>
              <w:rPr>
                <w:sz w:val="20"/>
                <w:szCs w:val="20"/>
                <w:color w:val="auto"/>
              </w:rPr>
            </w:pPr>
            <w:r>
              <w:rPr>
                <w:rFonts w:ascii="Arial" w:cs="Arial" w:eastAsia="Arial" w:hAnsi="Arial"/>
                <w:sz w:val="16"/>
                <w:szCs w:val="16"/>
                <w:color w:val="auto"/>
              </w:rPr>
              <w:t>117,000</w:t>
            </w: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0.49%</w:t>
            </w: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47"/>
        </w:trPr>
        <w:tc>
          <w:tcPr>
            <w:tcW w:w="580" w:type="dxa"/>
            <w:vAlign w:val="bottom"/>
          </w:tcPr>
          <w:p>
            <w:pPr>
              <w:spacing w:after="0"/>
              <w:rPr>
                <w:sz w:val="4"/>
                <w:szCs w:val="4"/>
                <w:color w:val="auto"/>
              </w:rPr>
            </w:pPr>
          </w:p>
        </w:tc>
        <w:tc>
          <w:tcPr>
            <w:tcW w:w="3280" w:type="dxa"/>
            <w:vAlign w:val="bottom"/>
          </w:tcPr>
          <w:p>
            <w:pPr>
              <w:spacing w:after="0"/>
              <w:rPr>
                <w:sz w:val="4"/>
                <w:szCs w:val="4"/>
                <w:color w:val="auto"/>
              </w:rPr>
            </w:pPr>
          </w:p>
        </w:tc>
        <w:tc>
          <w:tcPr>
            <w:tcW w:w="1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w:t>
            </w:r>
          </w:p>
        </w:tc>
        <w:tc>
          <w:tcPr>
            <w:tcW w:w="3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Wells Fargo Bank, N.A.</w:t>
            </w:r>
          </w:p>
        </w:tc>
        <w:tc>
          <w:tcPr>
            <w:tcW w:w="1840" w:type="dxa"/>
            <w:vAlign w:val="bottom"/>
            <w:tcBorders>
              <w:bottom w:val="single" w:sz="8" w:color="CCEEFF"/>
            </w:tcBorders>
            <w:shd w:val="clear" w:color="auto" w:fill="CCEEFF"/>
          </w:tcPr>
          <w:p>
            <w:pPr>
              <w:jc w:val="center"/>
              <w:ind w:left="20"/>
              <w:spacing w:after="0"/>
              <w:rPr>
                <w:sz w:val="20"/>
                <w:szCs w:val="20"/>
                <w:color w:val="auto"/>
              </w:rPr>
            </w:pPr>
            <w:r>
              <w:rPr>
                <w:rFonts w:ascii="Arial" w:cs="Arial" w:eastAsia="Arial" w:hAnsi="Arial"/>
                <w:sz w:val="16"/>
                <w:szCs w:val="16"/>
                <w:color w:val="auto"/>
              </w:rPr>
              <w:t>A / A2 / AA-</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4,092,000</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0.68%</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52,000</w:t>
            </w: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0.22%</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3280" w:type="dxa"/>
            <w:vAlign w:val="bottom"/>
          </w:tcPr>
          <w:p>
            <w:pPr>
              <w:ind w:left="120"/>
              <w:spacing w:after="0"/>
              <w:rPr>
                <w:sz w:val="20"/>
                <w:szCs w:val="20"/>
                <w:color w:val="auto"/>
              </w:rPr>
            </w:pPr>
            <w:r>
              <w:rPr>
                <w:rFonts w:ascii="Arial" w:cs="Arial" w:eastAsia="Arial" w:hAnsi="Arial"/>
                <w:sz w:val="16"/>
                <w:szCs w:val="16"/>
                <w:color w:val="auto"/>
              </w:rPr>
              <w:t>Totals - Top 25 Tenants</w:t>
            </w:r>
          </w:p>
        </w:tc>
        <w:tc>
          <w:tcPr>
            <w:tcW w:w="18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186,971,000</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31.09%</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8,416,000</w:t>
            </w:r>
          </w:p>
        </w:tc>
        <w:tc>
          <w:tcPr>
            <w:tcW w:w="11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34.97%</w:t>
            </w:r>
          </w:p>
        </w:tc>
        <w:tc>
          <w:tcPr>
            <w:tcW w:w="7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345</w:t>
            </w:r>
          </w:p>
        </w:tc>
        <w:tc>
          <w:tcPr>
            <w:tcW w:w="0" w:type="dxa"/>
            <w:vAlign w:val="bottom"/>
          </w:tcPr>
          <w:p>
            <w:pPr>
              <w:spacing w:after="0"/>
              <w:rPr>
                <w:sz w:val="1"/>
                <w:szCs w:val="1"/>
                <w:color w:val="auto"/>
              </w:rPr>
            </w:pPr>
          </w:p>
        </w:tc>
      </w:tr>
      <w:tr>
        <w:trPr>
          <w:trHeight w:val="87"/>
        </w:trPr>
        <w:tc>
          <w:tcPr>
            <w:tcW w:w="580" w:type="dxa"/>
            <w:vAlign w:val="bottom"/>
            <w:tcBorders>
              <w:bottom w:val="single" w:sz="8" w:color="CCEEFF"/>
            </w:tcBorders>
          </w:tcPr>
          <w:p>
            <w:pPr>
              <w:spacing w:after="0"/>
              <w:rPr>
                <w:sz w:val="7"/>
                <w:szCs w:val="7"/>
                <w:color w:val="auto"/>
              </w:rPr>
            </w:pPr>
          </w:p>
        </w:tc>
        <w:tc>
          <w:tcPr>
            <w:tcW w:w="3280" w:type="dxa"/>
            <w:vAlign w:val="bottom"/>
            <w:tcBorders>
              <w:bottom w:val="single" w:sz="8" w:color="CCEEFF"/>
            </w:tcBorders>
          </w:tcPr>
          <w:p>
            <w:pPr>
              <w:spacing w:after="0"/>
              <w:rPr>
                <w:sz w:val="7"/>
                <w:szCs w:val="7"/>
                <w:color w:val="auto"/>
              </w:rPr>
            </w:pPr>
          </w:p>
        </w:tc>
        <w:tc>
          <w:tcPr>
            <w:tcW w:w="18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1"/>
        </w:trPr>
        <w:tc>
          <w:tcPr>
            <w:tcW w:w="580" w:type="dxa"/>
            <w:vAlign w:val="bottom"/>
            <w:shd w:val="clear" w:color="auto" w:fill="CCEEFF"/>
          </w:tcPr>
          <w:p>
            <w:pPr>
              <w:spacing w:after="0"/>
              <w:rPr>
                <w:sz w:val="21"/>
                <w:szCs w:val="21"/>
                <w:color w:val="auto"/>
              </w:rPr>
            </w:pPr>
          </w:p>
        </w:tc>
        <w:tc>
          <w:tcPr>
            <w:tcW w:w="328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3280" w:type="dxa"/>
            <w:vAlign w:val="bottom"/>
          </w:tcPr>
          <w:p>
            <w:pPr>
              <w:ind w:left="120"/>
              <w:spacing w:after="0"/>
              <w:rPr>
                <w:sz w:val="20"/>
                <w:szCs w:val="20"/>
                <w:color w:val="auto"/>
              </w:rPr>
            </w:pPr>
            <w:r>
              <w:rPr>
                <w:rFonts w:ascii="Arial" w:cs="Arial" w:eastAsia="Arial" w:hAnsi="Arial"/>
                <w:sz w:val="16"/>
                <w:szCs w:val="16"/>
                <w:color w:val="auto"/>
              </w:rPr>
              <w:t>Total:</w:t>
            </w:r>
          </w:p>
        </w:tc>
        <w:tc>
          <w:tcPr>
            <w:tcW w:w="18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601,428,000</w:t>
            </w:r>
          </w:p>
        </w:tc>
        <w:tc>
          <w:tcPr>
            <w:tcW w:w="1600" w:type="dxa"/>
            <w:vAlign w:val="bottom"/>
          </w:tcPr>
          <w:p>
            <w:pPr>
              <w:jc w:val="right"/>
              <w:ind w:right="1280"/>
              <w:spacing w:after="0"/>
              <w:rPr>
                <w:sz w:val="20"/>
                <w:szCs w:val="20"/>
                <w:color w:val="auto"/>
              </w:rPr>
            </w:pPr>
            <w:r>
              <w:rPr>
                <w:rFonts w:ascii="Arial" w:cs="Arial" w:eastAsia="Arial" w:hAnsi="Arial"/>
                <w:sz w:val="16"/>
                <w:szCs w:val="16"/>
                <w:color w:val="auto"/>
              </w:rPr>
              <w:t>(2)</w:t>
            </w:r>
          </w:p>
        </w:tc>
        <w:tc>
          <w:tcPr>
            <w:tcW w:w="920" w:type="dxa"/>
            <w:vAlign w:val="bottom"/>
          </w:tcPr>
          <w:p>
            <w:pPr>
              <w:jc w:val="right"/>
              <w:spacing w:after="0"/>
              <w:rPr>
                <w:sz w:val="20"/>
                <w:szCs w:val="20"/>
                <w:color w:val="auto"/>
              </w:rPr>
            </w:pPr>
            <w:r>
              <w:rPr>
                <w:rFonts w:ascii="Arial" w:cs="Arial" w:eastAsia="Arial" w:hAnsi="Arial"/>
                <w:sz w:val="16"/>
                <w:szCs w:val="16"/>
                <w:color w:val="auto"/>
              </w:rPr>
              <w:t>24,063,000</w:t>
            </w:r>
          </w:p>
        </w:tc>
        <w:tc>
          <w:tcPr>
            <w:tcW w:w="1180" w:type="dxa"/>
            <w:vAlign w:val="bottom"/>
          </w:tcPr>
          <w:p>
            <w:pPr>
              <w:jc w:val="right"/>
              <w:ind w:right="840"/>
              <w:spacing w:after="0"/>
              <w:rPr>
                <w:sz w:val="20"/>
                <w:szCs w:val="20"/>
                <w:color w:val="auto"/>
              </w:rPr>
            </w:pPr>
            <w:r>
              <w:rPr>
                <w:rFonts w:ascii="Arial" w:cs="Arial" w:eastAsia="Arial" w:hAnsi="Arial"/>
                <w:sz w:val="16"/>
                <w:szCs w:val="16"/>
                <w:color w:val="auto"/>
              </w:rPr>
              <w:t>(4)</w:t>
            </w: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2,956</w:t>
            </w:r>
          </w:p>
        </w:tc>
        <w:tc>
          <w:tcPr>
            <w:tcW w:w="0" w:type="dxa"/>
            <w:vAlign w:val="bottom"/>
          </w:tcPr>
          <w:p>
            <w:pPr>
              <w:spacing w:after="0"/>
              <w:rPr>
                <w:sz w:val="1"/>
                <w:szCs w:val="1"/>
                <w:color w:val="auto"/>
              </w:rPr>
            </w:pPr>
          </w:p>
        </w:tc>
      </w:tr>
    </w:tbl>
    <w:p>
      <w:pPr>
        <w:spacing w:after="0" w:line="347"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Notes:</w:t>
      </w:r>
    </w:p>
    <w:p>
      <w:pPr>
        <w:spacing w:after="0" w:line="73" w:lineRule="exact"/>
        <w:rPr>
          <w:sz w:val="20"/>
          <w:szCs w:val="20"/>
          <w:color w:val="auto"/>
        </w:rPr>
      </w:pPr>
    </w:p>
    <w:p>
      <w:pPr>
        <w:ind w:left="700" w:hanging="665"/>
        <w:spacing w:after="0"/>
        <w:tabs>
          <w:tab w:leader="none" w:pos="7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Credit Ratings are as of September 30, 2017. Subsequent rating changes have not been reflected.</w:t>
      </w:r>
    </w:p>
    <w:p>
      <w:pPr>
        <w:spacing w:after="0" w:line="86" w:lineRule="exact"/>
        <w:rPr>
          <w:rFonts w:ascii="Arial" w:cs="Arial" w:eastAsia="Arial" w:hAnsi="Arial"/>
          <w:sz w:val="16"/>
          <w:szCs w:val="16"/>
          <w:color w:val="auto"/>
        </w:rPr>
      </w:pPr>
    </w:p>
    <w:p>
      <w:pPr>
        <w:ind w:left="700" w:right="340" w:hanging="665"/>
        <w:spacing w:after="0" w:line="293" w:lineRule="auto"/>
        <w:tabs>
          <w:tab w:leader="none" w:pos="7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Reflects aggregate, annualized in-place contractual (defined as cash-basis excluding rent abatements) minimum rent for all occupied spaces as of September 30, 2017.</w:t>
      </w:r>
    </w:p>
    <w:p>
      <w:pPr>
        <w:spacing w:after="0" w:line="23" w:lineRule="exact"/>
        <w:rPr>
          <w:rFonts w:ascii="Arial" w:cs="Arial" w:eastAsia="Arial" w:hAnsi="Arial"/>
          <w:sz w:val="16"/>
          <w:szCs w:val="16"/>
          <w:color w:val="auto"/>
        </w:rPr>
      </w:pPr>
    </w:p>
    <w:p>
      <w:pPr>
        <w:ind w:left="700" w:hanging="665"/>
        <w:spacing w:after="0"/>
        <w:tabs>
          <w:tab w:leader="none" w:pos="7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Individual items may not add up to total due to rounding.</w:t>
      </w:r>
    </w:p>
    <w:p>
      <w:pPr>
        <w:spacing w:after="0" w:line="86" w:lineRule="exact"/>
        <w:rPr>
          <w:rFonts w:ascii="Arial" w:cs="Arial" w:eastAsia="Arial" w:hAnsi="Arial"/>
          <w:sz w:val="16"/>
          <w:szCs w:val="16"/>
          <w:color w:val="auto"/>
        </w:rPr>
      </w:pPr>
    </w:p>
    <w:p>
      <w:pPr>
        <w:ind w:left="700" w:hanging="665"/>
        <w:spacing w:after="0"/>
        <w:tabs>
          <w:tab w:leader="none" w:pos="7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Excludes redevelopment square footage not yet placed in service.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742" w:right="239" w:bottom="1440" w:gutter="0" w:footer="0" w:header="0"/>
        </w:sectPr>
      </w:pPr>
    </w:p>
    <w:bookmarkStart w:id="34" w:name="page35"/>
    <w:bookmarkEnd w:id="34"/>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Reconciliation of FFO Guidance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September 30, 2017</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following table provides a reconciliation of the range of estimated earnings per diluted share to estimated FFO per diluted share for the full year 2017.</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Estimates do not include the impact from potential acquisitions or dispositions which have not closed as of November 1, 2017.</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w w:val="90"/>
              </w:rPr>
              <w:t>Full Year 2017 Guidance Range</w:t>
            </w:r>
          </w:p>
        </w:tc>
      </w:tr>
      <w:tr>
        <w:trPr>
          <w:trHeight w:val="27"/>
        </w:trPr>
        <w:tc>
          <w:tcPr>
            <w:tcW w:w="87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480"/>
        </w:trPr>
        <w:tc>
          <w:tcPr>
            <w:tcW w:w="8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Low</w:t>
            </w:r>
          </w:p>
        </w:tc>
        <w:tc>
          <w:tcPr>
            <w:tcW w:w="280" w:type="dxa"/>
            <w:vAlign w:val="bottom"/>
          </w:tcPr>
          <w:p>
            <w:pPr>
              <w:spacing w:after="0"/>
              <w:rPr>
                <w:sz w:val="24"/>
                <w:szCs w:val="24"/>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High</w:t>
            </w:r>
          </w:p>
        </w:tc>
      </w:tr>
      <w:tr>
        <w:trPr>
          <w:trHeight w:val="27"/>
        </w:trPr>
        <w:tc>
          <w:tcPr>
            <w:tcW w:w="87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Estimated net income available to common shareholders, per diluted share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4.02</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4.05</w:t>
            </w: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Adjustments:</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Estimated gain on sale of real estate, net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(0.95)</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(0.95)</w:t>
            </w: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Estimated depreciation and amortization of real estate</w:t>
            </w: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2.57</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2.57</w:t>
            </w:r>
          </w:p>
        </w:tc>
      </w:tr>
      <w:tr>
        <w:trPr>
          <w:trHeight w:val="27"/>
        </w:trPr>
        <w:tc>
          <w:tcPr>
            <w:tcW w:w="8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Estimated amortization of initial direct costs of leases</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0.26</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0.26</w:t>
            </w:r>
          </w:p>
        </w:tc>
      </w:tr>
      <w:tr>
        <w:trPr>
          <w:trHeight w:val="257"/>
        </w:trPr>
        <w:tc>
          <w:tcPr>
            <w:tcW w:w="8700" w:type="dxa"/>
            <w:vAlign w:val="bottom"/>
          </w:tcPr>
          <w:p>
            <w:pPr>
              <w:ind w:left="40"/>
              <w:spacing w:after="0"/>
              <w:rPr>
                <w:sz w:val="20"/>
                <w:szCs w:val="20"/>
                <w:color w:val="auto"/>
              </w:rPr>
            </w:pPr>
            <w:r>
              <w:rPr>
                <w:rFonts w:ascii="Arial" w:cs="Arial" w:eastAsia="Arial" w:hAnsi="Arial"/>
                <w:sz w:val="18"/>
                <w:szCs w:val="18"/>
                <w:color w:val="auto"/>
              </w:rPr>
              <w:t>Estimated FFO per diluted share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5.89</w:t>
            </w:r>
          </w:p>
        </w:tc>
        <w:tc>
          <w:tcPr>
            <w:tcW w:w="2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5.92</w:t>
            </w:r>
          </w:p>
        </w:tc>
      </w:tr>
      <w:tr>
        <w:trPr>
          <w:trHeight w:val="20"/>
        </w:trPr>
        <w:tc>
          <w:tcPr>
            <w:tcW w:w="8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See Glossary of Terms. Individual items may not add up to total due to rounding.</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742"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Glossary of Terms</w:t>
      </w:r>
    </w:p>
    <w:p>
      <w:pPr>
        <w:spacing w:after="0" w:line="225" w:lineRule="exact"/>
        <w:rPr>
          <w:sz w:val="20"/>
          <w:szCs w:val="20"/>
          <w:color w:val="auto"/>
        </w:rPr>
      </w:pPr>
    </w:p>
    <w:p>
      <w:pPr>
        <w:ind w:right="440"/>
        <w:spacing w:after="0" w:line="258" w:lineRule="auto"/>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18"/>
          <w:szCs w:val="18"/>
          <w:color w:val="auto"/>
        </w:rPr>
        <w:t>Adjusted EBITDA is a non-GAAP measure that means net income or loss plus depreciation and amortization, net interest expense,</w:t>
      </w:r>
      <w:r>
        <w:rPr>
          <w:rFonts w:ascii="Arial" w:cs="Arial" w:eastAsia="Arial" w:hAnsi="Arial"/>
          <w:sz w:val="18"/>
          <w:szCs w:val="18"/>
          <w:b w:val="1"/>
          <w:bCs w:val="1"/>
          <w:color w:val="auto"/>
        </w:rPr>
        <w:t xml:space="preserve"> </w:t>
      </w:r>
      <w:r>
        <w:rPr>
          <w:rFonts w:ascii="Arial" w:cs="Arial" w:eastAsia="Arial" w:hAnsi="Arial"/>
          <w:sz w:val="18"/>
          <w:szCs w:val="18"/>
          <w:color w:val="auto"/>
        </w:rPr>
        <w:t>income taxes, gain or loss on sale of real estate, and impairments of real estate, if any. Adjusted EBITDA is presented because it approximates a key performance measure in our debt covenants, but it should not be considered an alternative measure of operating results or cash flow from operations as determined in accordance with GAAP. The reconciliation of net income to EBITDA and Adjusted EBITDA for the three and nine months ended September 30, 2017 and 2016 is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4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6"/>
                <w:szCs w:val="16"/>
                <w:color w:val="auto"/>
              </w:rPr>
            </w:pPr>
          </w:p>
        </w:tc>
        <w:tc>
          <w:tcPr>
            <w:tcW w:w="2180" w:type="dxa"/>
            <w:vAlign w:val="bottom"/>
            <w:gridSpan w:val="4"/>
          </w:tcPr>
          <w:p>
            <w:pPr>
              <w:jc w:val="center"/>
              <w:ind w:right="332"/>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276"/>
        </w:trPr>
        <w:tc>
          <w:tcPr>
            <w:tcW w:w="60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center"/>
              <w:ind w:left="315"/>
              <w:spacing w:after="0"/>
              <w:rPr>
                <w:sz w:val="20"/>
                <w:szCs w:val="20"/>
                <w:color w:val="auto"/>
              </w:rPr>
            </w:pPr>
            <w:r>
              <w:rPr>
                <w:rFonts w:ascii="Arial" w:cs="Arial" w:eastAsia="Arial" w:hAnsi="Arial"/>
                <w:sz w:val="14"/>
                <w:szCs w:val="14"/>
                <w:b w:val="1"/>
                <w:bCs w:val="1"/>
                <w:color w:val="auto"/>
                <w:w w:val="91"/>
              </w:rPr>
              <w:t>September 30,</w:t>
            </w: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0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6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108,882</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61,198</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245,085</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199,159</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55,611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48,903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5"/>
              <w:spacing w:after="0"/>
              <w:rPr>
                <w:sz w:val="20"/>
                <w:szCs w:val="20"/>
                <w:color w:val="auto"/>
              </w:rPr>
            </w:pPr>
            <w:r>
              <w:rPr>
                <w:rFonts w:ascii="Arial" w:cs="Arial" w:eastAsia="Arial" w:hAnsi="Arial"/>
                <w:sz w:val="18"/>
                <w:szCs w:val="18"/>
                <w:color w:val="auto"/>
              </w:rPr>
              <w:t>159,656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145,137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26,287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24,313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73,952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71,143</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 xml:space="preserve">Provision for income tax </w:t>
            </w:r>
            <w:r>
              <w:rPr>
                <w:rFonts w:ascii="Arial" w:cs="Arial" w:eastAsia="Arial" w:hAnsi="Arial"/>
                <w:sz w:val="16"/>
                <w:szCs w:val="16"/>
                <w:color w:val="auto"/>
              </w:rPr>
              <w:t>(1)</w:t>
            </w:r>
          </w:p>
        </w:tc>
        <w:tc>
          <w:tcPr>
            <w:tcW w:w="30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820" w:type="dxa"/>
            <w:vAlign w:val="bottom"/>
          </w:tcPr>
          <w:p>
            <w:pPr>
              <w:jc w:val="right"/>
              <w:ind w:right="35"/>
              <w:spacing w:after="0"/>
              <w:rPr>
                <w:sz w:val="20"/>
                <w:szCs w:val="20"/>
                <w:color w:val="auto"/>
              </w:rPr>
            </w:pPr>
            <w:r>
              <w:rPr>
                <w:rFonts w:ascii="Arial" w:cs="Arial" w:eastAsia="Arial" w:hAnsi="Arial"/>
                <w:sz w:val="18"/>
                <w:szCs w:val="18"/>
                <w:color w:val="auto"/>
              </w:rPr>
              <w:t>1,998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interest income</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37"/>
        </w:trPr>
        <w:tc>
          <w:tcPr>
            <w:tcW w:w="6060" w:type="dxa"/>
            <w:vAlign w:val="bottom"/>
          </w:tcPr>
          <w:p>
            <w:pPr>
              <w:ind w:left="380"/>
              <w:spacing w:after="0"/>
              <w:rPr>
                <w:sz w:val="20"/>
                <w:szCs w:val="20"/>
                <w:color w:val="auto"/>
              </w:rPr>
            </w:pPr>
            <w:r>
              <w:rPr>
                <w:rFonts w:ascii="Arial" w:cs="Arial" w:eastAsia="Arial" w:hAnsi="Arial"/>
                <w:sz w:val="18"/>
                <w:szCs w:val="18"/>
                <w:color w:val="auto"/>
              </w:rPr>
              <w:t>EBITDA</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191,001</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134,309</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480,438</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415,154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real estate and change in control of interests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(51,075)</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(4,945)</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(71,947)</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(32,458)</w:t>
            </w:r>
          </w:p>
        </w:tc>
        <w:tc>
          <w:tcPr>
            <w:tcW w:w="0" w:type="dxa"/>
            <w:vAlign w:val="bottom"/>
          </w:tcPr>
          <w:p>
            <w:pPr>
              <w:spacing w:after="0"/>
              <w:rPr>
                <w:sz w:val="1"/>
                <w:szCs w:val="1"/>
                <w:color w:val="auto"/>
              </w:rPr>
            </w:pPr>
          </w:p>
        </w:tc>
      </w:tr>
      <w:tr>
        <w:trPr>
          <w:trHeight w:val="257"/>
        </w:trPr>
        <w:tc>
          <w:tcPr>
            <w:tcW w:w="6060" w:type="dxa"/>
            <w:vAlign w:val="bottom"/>
          </w:tcPr>
          <w:p>
            <w:pPr>
              <w:ind w:left="380"/>
              <w:spacing w:after="0"/>
              <w:rPr>
                <w:sz w:val="20"/>
                <w:szCs w:val="20"/>
                <w:color w:val="auto"/>
              </w:rPr>
            </w:pPr>
            <w:r>
              <w:rPr>
                <w:rFonts w:ascii="Arial" w:cs="Arial" w:eastAsia="Arial" w:hAnsi="Arial"/>
                <w:sz w:val="18"/>
                <w:szCs w:val="18"/>
                <w:color w:val="auto"/>
              </w:rPr>
              <w:t>Adjusted EBITDA</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139,926</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129,364</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408,491</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382,696</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6"/>
                <w:szCs w:val="16"/>
                <w:color w:val="auto"/>
              </w:rPr>
              <w:t>(1) Provision for income tax related to condominium sales gains.</w:t>
            </w: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0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b w:val="1"/>
          <w:bCs w:val="1"/>
          <w:color w:val="auto"/>
        </w:rPr>
        <w:t xml:space="preserve">Funds From Operations (FFO): </w:t>
      </w:r>
      <w:r>
        <w:rPr>
          <w:rFonts w:ascii="Arial" w:cs="Arial" w:eastAsia="Arial" w:hAnsi="Arial"/>
          <w:sz w:val="17"/>
          <w:szCs w:val="17"/>
          <w:color w:val="auto"/>
        </w:rPr>
        <w:t>FFO is a supplemental measure of real estate companies' operating performances. The National Association of Real Estate</w:t>
      </w:r>
      <w:r>
        <w:rPr>
          <w:rFonts w:ascii="Arial" w:cs="Arial" w:eastAsia="Arial" w:hAnsi="Arial"/>
          <w:sz w:val="17"/>
          <w:szCs w:val="17"/>
          <w:b w:val="1"/>
          <w:bCs w:val="1"/>
          <w:color w:val="auto"/>
        </w:rPr>
        <w:t xml:space="preserve"> </w:t>
      </w:r>
      <w:r>
        <w:rPr>
          <w:rFonts w:ascii="Arial" w:cs="Arial" w:eastAsia="Arial" w:hAnsi="Arial"/>
          <w:sz w:val="17"/>
          <w:szCs w:val="17"/>
          <w:color w:val="auto"/>
        </w:rPr>
        <w:t>Investment Trusts (“NAREIT”) defines FFO as follows: net income, computed in accordance with GAAP plus real estate related depreciation and amortization and excluding extraordinary items and gains and losses on sale of real estate, and impairment write-downs of depreciable real estate. NAREIT developed FFO as a relative measure of performance and liquidity of an equity REIT in order to recognize that the value of income-producing real estate historically has not depreciated on the basis determined under GAAP. However, FFO does not represent cash flows from operating activities in accordance with GAAP (which, unlike FFO, generally reflects all cash effects of transactions and other events in the determination of net income); should not be considered an alternative to net income as an indication of our performance; and is not necessarily indicative of cash flow as a measure of liquidity or ability to pay dividends. We consider FFO a meaningful, additional measure of operating performance primarily because it excludes the assumption that the value of real estate assets diminishes predictably over time, and because industry analysts have accepted it as a performance measure. Comparison of our presentation of FFO to similarly titled measures for other REITs may not necessarily be meaningful due to possible differences in the application of the NAREIT definition used by such REITs.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Property Operating Income: </w:t>
      </w:r>
      <w:r>
        <w:rPr>
          <w:rFonts w:ascii="Arial" w:cs="Arial" w:eastAsia="Arial" w:hAnsi="Arial"/>
          <w:sz w:val="18"/>
          <w:szCs w:val="18"/>
          <w:color w:val="auto"/>
        </w:rPr>
        <w:t>Rental income, other property income and mortgage interest income, less rental expenses and real estate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Overall Portfolio: </w:t>
      </w:r>
      <w:r>
        <w:rPr>
          <w:rFonts w:ascii="Arial" w:cs="Arial" w:eastAsia="Arial" w:hAnsi="Arial"/>
          <w:sz w:val="18"/>
          <w:szCs w:val="18"/>
          <w:color w:val="auto"/>
        </w:rPr>
        <w:t>Includes all operating properties owned in reporting period.</w:t>
      </w:r>
    </w:p>
    <w:p>
      <w:pPr>
        <w:spacing w:after="0" w:line="225"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b w:val="1"/>
          <w:bCs w:val="1"/>
          <w:color w:val="auto"/>
        </w:rPr>
        <w:t xml:space="preserve">Same Center: </w:t>
      </w:r>
      <w:r>
        <w:rPr>
          <w:rFonts w:ascii="Arial" w:cs="Arial" w:eastAsia="Arial" w:hAnsi="Arial"/>
          <w:sz w:val="18"/>
          <w:szCs w:val="18"/>
          <w:color w:val="auto"/>
        </w:rPr>
        <w:t>Information provided on a same center basis is provided for only those properties that were owned, operated, and consolidated for the entirety</w:t>
      </w:r>
      <w:r>
        <w:rPr>
          <w:rFonts w:ascii="Arial" w:cs="Arial" w:eastAsia="Arial" w:hAnsi="Arial"/>
          <w:sz w:val="18"/>
          <w:szCs w:val="18"/>
          <w:b w:val="1"/>
          <w:bCs w:val="1"/>
          <w:color w:val="auto"/>
        </w:rPr>
        <w:t xml:space="preserve"> </w:t>
      </w:r>
      <w:r>
        <w:rPr>
          <w:rFonts w:ascii="Arial" w:cs="Arial" w:eastAsia="Arial" w:hAnsi="Arial"/>
          <w:sz w:val="18"/>
          <w:szCs w:val="18"/>
          <w:color w:val="auto"/>
        </w:rPr>
        <w:t>of both periods being compared, excludes properties that were redeveloped, expanded or under development and properties purchased or sold at any time during the periods being compared. Same center growth statistics are calculated on a GAAP basis.</w:t>
      </w:r>
    </w:p>
    <w:p>
      <w:pPr>
        <w:spacing w:after="0" w:line="176" w:lineRule="exact"/>
        <w:rPr>
          <w:sz w:val="20"/>
          <w:szCs w:val="20"/>
          <w:color w:val="auto"/>
        </w:rPr>
      </w:pPr>
    </w:p>
    <w:p>
      <w:pPr>
        <w:ind w:right="80"/>
        <w:spacing w:after="0" w:line="289" w:lineRule="auto"/>
        <w:rPr>
          <w:sz w:val="20"/>
          <w:szCs w:val="20"/>
          <w:color w:val="auto"/>
        </w:rPr>
      </w:pPr>
      <w:r>
        <w:rPr>
          <w:rFonts w:ascii="Arial" w:cs="Arial" w:eastAsia="Arial" w:hAnsi="Arial"/>
          <w:sz w:val="17"/>
          <w:szCs w:val="17"/>
          <w:b w:val="1"/>
          <w:bCs w:val="1"/>
          <w:color w:val="auto"/>
        </w:rPr>
        <w:t xml:space="preserve">Tenant Improvements and Incentives: </w:t>
      </w:r>
      <w:r>
        <w:rPr>
          <w:rFonts w:ascii="Arial" w:cs="Arial" w:eastAsia="Arial" w:hAnsi="Arial"/>
          <w:sz w:val="17"/>
          <w:szCs w:val="17"/>
          <w:color w:val="auto"/>
        </w:rPr>
        <w:t>Represents not only the total dollars committed for the improvement (fit-out) of a space as it relates to a specific</w:t>
      </w:r>
      <w:r>
        <w:rPr>
          <w:rFonts w:ascii="Arial" w:cs="Arial" w:eastAsia="Arial" w:hAnsi="Arial"/>
          <w:sz w:val="17"/>
          <w:szCs w:val="17"/>
          <w:b w:val="1"/>
          <w:bCs w:val="1"/>
          <w:color w:val="auto"/>
        </w:rPr>
        <w:t xml:space="preserve"> </w:t>
      </w:r>
      <w:r>
        <w:rPr>
          <w:rFonts w:ascii="Arial" w:cs="Arial" w:eastAsia="Arial" w:hAnsi="Arial"/>
          <w:sz w:val="17"/>
          <w:szCs w:val="17"/>
          <w:color w:val="auto"/>
        </w:rPr>
        <w:t>lease and, except for redevelopments, may also include base building costs (i.e. expansion, escalators or new entrances) which are required to make the space leasable. Incentives include amounts paid to tenants as an inducement to sign a lease that do not represent building improvements.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3"/>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1)"/>
      <w:numFmt w:val="decimal"/>
      <w:start w:val="1"/>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1)"/>
      <w:numFmt w:val="decimal"/>
      <w:start w:val="1"/>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1)"/>
      <w:numFmt w:val="decimal"/>
      <w:start w:val="1"/>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1)"/>
      <w:numFmt w:val="decimal"/>
      <w:start w:val="1"/>
    </w:lvl>
  </w:abstractNum>
  <w:abstractNum w:abstractNumId="18">
    <w:nsid w:val="436C6125"/>
    <w:multiLevelType w:val="hybridMultilevel"/>
    <w:lvl w:ilvl="0">
      <w:lvlJc w:val="left"/>
      <w:lvlText w:val="(%1)"/>
      <w:numFmt w:val="decimal"/>
      <w:start w:val="1"/>
    </w:lvl>
  </w:abstractNum>
  <w:abstractNum w:abstractNumId="19">
    <w:nsid w:val="628C895D"/>
    <w:multiLevelType w:val="hybridMultilevel"/>
    <w:lvl w:ilvl="0">
      <w:lvlJc w:val="left"/>
      <w:lvlText w:val="(%1)"/>
      <w:numFmt w:val="decimal"/>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2019-12-29T03:59:00Z</dcterms:created>
  <dcterms:modified xsi:type="dcterms:W3CDTF">2019-12-29T03:59:00Z</dcterms:modified>
</cp:coreProperties>
</file>